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52C698F9" w:rsidR="00807C36" w:rsidRPr="00B64EAD" w:rsidRDefault="001D4B6B" w:rsidP="001D4B6B">
      <w:pPr>
        <w:pStyle w:val="ProductList-Body"/>
        <w:tabs>
          <w:tab w:val="clear" w:pos="360"/>
          <w:tab w:val="clear" w:pos="720"/>
          <w:tab w:val="clear" w:pos="1080"/>
        </w:tabs>
        <w:ind w:left="360"/>
        <w:rPr>
          <w:rFonts w:asciiTheme="majorHAnsi" w:hAnsiTheme="majorHAnsi"/>
          <w:color w:val="FFFFFF" w:themeColor="background1"/>
          <w:sz w:val="6"/>
          <w:szCs w:val="6"/>
        </w:rPr>
      </w:pPr>
      <w:permStart w:id="2147031261" w:edGrp="everyone"/>
      <w:r>
        <w:rPr>
          <w:noProof/>
          <w:szCs w:val="18"/>
          <w:lang w:val="en-US" w:eastAsia="zh-CN" w:bidi="ar-SA"/>
        </w:rPr>
        <w:drawing>
          <wp:anchor distT="0" distB="0" distL="114300" distR="114300" simplePos="0" relativeHeight="251658240" behindDoc="1" locked="0" layoutInCell="1" allowOverlap="1" wp14:anchorId="01B3DF24" wp14:editId="19EE7060">
            <wp:simplePos x="0" y="0"/>
            <wp:positionH relativeFrom="page">
              <wp:posOffset>324279</wp:posOffset>
            </wp:positionH>
            <wp:positionV relativeFrom="paragraph">
              <wp:posOffset>-95250</wp:posOffset>
            </wp:positionV>
            <wp:extent cx="6202018" cy="566102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4092" t="8223" r="18561" b="35465"/>
                    <a:stretch/>
                  </pic:blipFill>
                  <pic:spPr bwMode="auto">
                    <a:xfrm>
                      <a:off x="0" y="0"/>
                      <a:ext cx="6202018" cy="5661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2147031261"/>
    </w:p>
    <w:p w14:paraId="245C5C1C" w14:textId="14FC1CEA" w:rsidR="00807C36" w:rsidRPr="002A002F" w:rsidRDefault="00807C36" w:rsidP="001D4B6B">
      <w:pPr>
        <w:pStyle w:val="ProductList-Body"/>
        <w:tabs>
          <w:tab w:val="clear" w:pos="360"/>
          <w:tab w:val="clear" w:pos="720"/>
          <w:tab w:val="clear" w:pos="1080"/>
        </w:tabs>
        <w:ind w:left="360" w:right="8064"/>
        <w:jc w:val="both"/>
        <w:rPr>
          <w:rFonts w:asciiTheme="majorHAnsi" w:hAnsiTheme="majorHAnsi"/>
          <w:color w:val="FFFFFF" w:themeColor="background1"/>
          <w:spacing w:val="-4"/>
          <w:sz w:val="32"/>
          <w:szCs w:val="32"/>
        </w:rPr>
      </w:pPr>
      <w:bookmarkStart w:id="0" w:name="CoverPage"/>
      <w:r w:rsidRPr="002A002F">
        <w:rPr>
          <w:rFonts w:asciiTheme="majorHAnsi" w:hAnsiTheme="majorHAnsi"/>
          <w:color w:val="FFFFFF" w:themeColor="background1"/>
          <w:spacing w:val="-4"/>
          <w:sz w:val="32"/>
          <w:szCs w:val="32"/>
        </w:rPr>
        <w:t xml:space="preserve">Licenciamento </w:t>
      </w:r>
      <w:bookmarkEnd w:id="0"/>
      <w:r w:rsidR="002A002F">
        <w:rPr>
          <w:rFonts w:asciiTheme="majorHAnsi" w:hAnsiTheme="majorHAnsi"/>
          <w:color w:val="FFFFFF" w:themeColor="background1"/>
          <w:spacing w:val="-4"/>
          <w:sz w:val="32"/>
          <w:szCs w:val="32"/>
        </w:rPr>
        <w:br/>
      </w:r>
      <w:r w:rsidRPr="002A002F">
        <w:rPr>
          <w:rFonts w:asciiTheme="majorHAnsi" w:hAnsiTheme="majorHAnsi"/>
          <w:color w:val="FFFFFF" w:themeColor="background1"/>
          <w:spacing w:val="-4"/>
          <w:sz w:val="32"/>
          <w:szCs w:val="32"/>
        </w:rPr>
        <w:t>em Volume</w:t>
      </w:r>
    </w:p>
    <w:p w14:paraId="06465CAA" w14:textId="04719F15" w:rsidR="00807C36" w:rsidRPr="00EF7CF9" w:rsidRDefault="00807C36" w:rsidP="001D4B6B">
      <w:pPr>
        <w:pStyle w:val="ProductList-Body"/>
        <w:tabs>
          <w:tab w:val="clear" w:pos="360"/>
          <w:tab w:val="clear" w:pos="720"/>
          <w:tab w:val="clear" w:pos="1080"/>
        </w:tabs>
        <w:ind w:left="360"/>
        <w:rPr>
          <w:color w:val="FFFFFF" w:themeColor="background1"/>
        </w:rPr>
      </w:pPr>
    </w:p>
    <w:p w14:paraId="545DABF7" w14:textId="255C0510" w:rsidR="00807C36" w:rsidRPr="00EF7CF9" w:rsidRDefault="00807C36" w:rsidP="001D4B6B">
      <w:pPr>
        <w:pStyle w:val="ProductList-Body"/>
        <w:tabs>
          <w:tab w:val="clear" w:pos="360"/>
          <w:tab w:val="clear" w:pos="720"/>
          <w:tab w:val="clear" w:pos="1080"/>
        </w:tabs>
        <w:ind w:left="360"/>
        <w:rPr>
          <w:rFonts w:asciiTheme="majorHAnsi" w:hAnsiTheme="majorHAnsi"/>
          <w:color w:val="FFFFFF" w:themeColor="background1"/>
          <w:sz w:val="72"/>
          <w:szCs w:val="72"/>
        </w:rPr>
      </w:pPr>
    </w:p>
    <w:p w14:paraId="289B0424" w14:textId="5C588A2A" w:rsidR="00807C36" w:rsidRPr="00EF7CF9" w:rsidRDefault="00807C36" w:rsidP="001D4B6B">
      <w:pPr>
        <w:pStyle w:val="ProductList-Body"/>
        <w:tabs>
          <w:tab w:val="clear" w:pos="360"/>
          <w:tab w:val="clear" w:pos="720"/>
          <w:tab w:val="clear" w:pos="1080"/>
        </w:tabs>
        <w:ind w:left="360"/>
        <w:rPr>
          <w:rFonts w:asciiTheme="majorHAnsi" w:hAnsiTheme="majorHAnsi"/>
          <w:color w:val="FFFFFF" w:themeColor="background1"/>
          <w:sz w:val="72"/>
          <w:szCs w:val="72"/>
        </w:rPr>
      </w:pPr>
    </w:p>
    <w:p w14:paraId="5DFA91A6" w14:textId="584A4866" w:rsidR="00807C36" w:rsidRPr="00EF7CF9" w:rsidRDefault="00FD4A5C" w:rsidP="001D4B6B">
      <w:pPr>
        <w:pStyle w:val="ProductList-Body"/>
        <w:tabs>
          <w:tab w:val="clear" w:pos="360"/>
          <w:tab w:val="clear" w:pos="720"/>
          <w:tab w:val="clear" w:pos="1080"/>
        </w:tabs>
        <w:ind w:left="360" w:right="2241"/>
        <w:rPr>
          <w:rFonts w:asciiTheme="majorHAnsi" w:hAnsiTheme="majorHAnsi"/>
          <w:color w:val="FFFFFF" w:themeColor="background1"/>
          <w:sz w:val="72"/>
          <w:szCs w:val="72"/>
        </w:rPr>
      </w:pPr>
      <w:r>
        <w:rPr>
          <w:rFonts w:asciiTheme="majorHAnsi" w:hAnsiTheme="majorHAnsi"/>
          <w:color w:val="FFFFFF" w:themeColor="background1"/>
          <w:sz w:val="72"/>
          <w:szCs w:val="72"/>
        </w:rPr>
        <w:t>Contrato de Nível de Serviço para os Serviços Online da Microsoft</w:t>
      </w:r>
    </w:p>
    <w:p w14:paraId="791F7AAF" w14:textId="31AA5BB4" w:rsidR="002A586E" w:rsidRPr="00EF7CF9" w:rsidRDefault="007456B1" w:rsidP="001D4B6B">
      <w:pPr>
        <w:pStyle w:val="ProductList-Body"/>
        <w:tabs>
          <w:tab w:val="clear" w:pos="360"/>
          <w:tab w:val="clear" w:pos="720"/>
          <w:tab w:val="clear" w:pos="1080"/>
        </w:tabs>
        <w:ind w:left="360"/>
        <w:jc w:val="both"/>
        <w:rPr>
          <w:rFonts w:asciiTheme="majorHAnsi" w:hAnsiTheme="majorHAnsi"/>
          <w:color w:val="FFFFFF" w:themeColor="background1"/>
          <w:sz w:val="72"/>
          <w:szCs w:val="72"/>
        </w:rPr>
      </w:pPr>
      <w:r>
        <w:rPr>
          <w:rFonts w:ascii="Calibri Light" w:hAnsi="Calibri Light" w:cs="Calibri Light"/>
          <w:color w:val="FFFFFF" w:themeColor="background1"/>
          <w:sz w:val="72"/>
          <w:szCs w:val="72"/>
        </w:rPr>
        <w:t xml:space="preserve">1 de </w:t>
      </w:r>
      <w:r w:rsidR="0092093B">
        <w:rPr>
          <w:rFonts w:ascii="Calibri Light" w:hAnsi="Calibri Light" w:cs="Calibri Light"/>
          <w:color w:val="FFFFFF" w:themeColor="background1"/>
          <w:sz w:val="72"/>
          <w:szCs w:val="72"/>
        </w:rPr>
        <w:t>setembro</w:t>
      </w:r>
      <w:r>
        <w:rPr>
          <w:rFonts w:ascii="Calibri Light" w:hAnsi="Calibri Light" w:cs="Calibri Light"/>
          <w:color w:val="FFFFFF" w:themeColor="background1"/>
          <w:sz w:val="72"/>
          <w:szCs w:val="72"/>
        </w:rPr>
        <w:t xml:space="preserve"> de </w:t>
      </w:r>
      <w:r w:rsidR="006E320D" w:rsidRPr="0070603B">
        <w:rPr>
          <w:rFonts w:ascii="Calibri Light" w:hAnsi="Calibri Light" w:cs="Calibri Light"/>
          <w:color w:val="FFFFFF" w:themeColor="background1"/>
          <w:sz w:val="72"/>
          <w:szCs w:val="72"/>
        </w:rPr>
        <w:t>202</w:t>
      </w:r>
      <w:r w:rsidR="00FF0224">
        <w:rPr>
          <w:rFonts w:ascii="Calibri Light" w:hAnsi="Calibri Light" w:cs="Calibri Light"/>
          <w:color w:val="FFFFFF" w:themeColor="background1"/>
          <w:sz w:val="72"/>
          <w:szCs w:val="72"/>
        </w:rPr>
        <w:t>6</w:t>
      </w:r>
    </w:p>
    <w:p w14:paraId="07F7DEEF" w14:textId="3FEB413B" w:rsidR="00807C36" w:rsidRPr="00EF7CF9" w:rsidRDefault="00807C36" w:rsidP="001D4B6B">
      <w:pPr>
        <w:pStyle w:val="ProductList-Body"/>
        <w:tabs>
          <w:tab w:val="clear" w:pos="360"/>
          <w:tab w:val="clear" w:pos="720"/>
          <w:tab w:val="clear" w:pos="1080"/>
        </w:tabs>
        <w:ind w:left="360"/>
        <w:rPr>
          <w:rFonts w:asciiTheme="majorHAnsi" w:hAnsiTheme="majorHAnsi"/>
          <w:color w:val="FFFFFF" w:themeColor="background1"/>
          <w:sz w:val="48"/>
          <w:szCs w:val="48"/>
        </w:rPr>
      </w:pPr>
    </w:p>
    <w:p w14:paraId="4B30383C" w14:textId="67B8A149" w:rsidR="00807C36" w:rsidRPr="00EF7CF9" w:rsidRDefault="00807C36" w:rsidP="002024BF">
      <w:pPr>
        <w:pStyle w:val="ProductList-Body"/>
        <w:tabs>
          <w:tab w:val="clear" w:pos="360"/>
          <w:tab w:val="clear" w:pos="720"/>
          <w:tab w:val="clear" w:pos="1080"/>
        </w:tabs>
      </w:pPr>
    </w:p>
    <w:p w14:paraId="60B096E1" w14:textId="77777777" w:rsidR="004D0EF2" w:rsidRPr="004D0EF2" w:rsidRDefault="004D0EF2" w:rsidP="00544654">
      <w:pPr>
        <w:tabs>
          <w:tab w:val="left" w:pos="3840"/>
        </w:tabs>
        <w:rPr>
          <w:sz w:val="18"/>
          <w:szCs w:val="18"/>
        </w:rPr>
        <w:sectPr w:rsidR="004D0EF2" w:rsidRPr="004D0EF2" w:rsidSect="008B1CA1">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8B1CA1">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Índice"/>
      <w:bookmarkStart w:id="6" w:name="_Toc239176375"/>
      <w:r>
        <w:lastRenderedPageBreak/>
        <w:t>Índice</w:t>
      </w:r>
      <w:bookmarkEnd w:id="1"/>
      <w:bookmarkEnd w:id="2"/>
      <w:bookmarkEnd w:id="3"/>
      <w:bookmarkEnd w:id="4"/>
      <w:bookmarkEnd w:id="5"/>
      <w:bookmarkEnd w:id="6"/>
    </w:p>
    <w:p w14:paraId="71F1655A" w14:textId="1C7FEBB7" w:rsidR="004F0B8A"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9176375" w:history="1">
        <w:r w:rsidR="004F0B8A" w:rsidRPr="005D6259">
          <w:rPr>
            <w:rStyle w:val="Hyperlink"/>
            <w:noProof/>
          </w:rPr>
          <w:t>Índice</w:t>
        </w:r>
        <w:r w:rsidR="004F0B8A">
          <w:rPr>
            <w:noProof/>
            <w:webHidden/>
          </w:rPr>
          <w:tab/>
        </w:r>
        <w:r w:rsidR="004F0B8A">
          <w:rPr>
            <w:noProof/>
            <w:webHidden/>
          </w:rPr>
          <w:fldChar w:fldCharType="begin"/>
        </w:r>
        <w:r w:rsidR="004F0B8A">
          <w:rPr>
            <w:noProof/>
            <w:webHidden/>
          </w:rPr>
          <w:instrText xml:space="preserve"> PAGEREF _Toc239176375 \h </w:instrText>
        </w:r>
        <w:r w:rsidR="004F0B8A">
          <w:rPr>
            <w:noProof/>
            <w:webHidden/>
          </w:rPr>
        </w:r>
        <w:r w:rsidR="004F0B8A">
          <w:rPr>
            <w:noProof/>
            <w:webHidden/>
          </w:rPr>
          <w:fldChar w:fldCharType="separate"/>
        </w:r>
        <w:r w:rsidR="004F0B8A">
          <w:rPr>
            <w:noProof/>
            <w:webHidden/>
          </w:rPr>
          <w:t>2</w:t>
        </w:r>
        <w:r w:rsidR="004F0B8A">
          <w:rPr>
            <w:noProof/>
            <w:webHidden/>
          </w:rPr>
          <w:fldChar w:fldCharType="end"/>
        </w:r>
      </w:hyperlink>
    </w:p>
    <w:p w14:paraId="54CA104D" w14:textId="13F6E70C" w:rsidR="004F0B8A" w:rsidRDefault="004F0B8A">
      <w:pPr>
        <w:pStyle w:val="TOC1"/>
        <w:rPr>
          <w:rFonts w:eastAsiaTheme="minorEastAsia"/>
          <w:b w:val="0"/>
          <w:caps w:val="0"/>
          <w:noProof/>
          <w:kern w:val="2"/>
          <w:sz w:val="24"/>
          <w:szCs w:val="24"/>
          <w:lang w:val="en-US" w:eastAsia="zh-CN" w:bidi="he-IL"/>
          <w14:ligatures w14:val="standardContextual"/>
        </w:rPr>
      </w:pPr>
      <w:hyperlink w:anchor="_Toc239176376" w:history="1">
        <w:r w:rsidRPr="005D6259">
          <w:rPr>
            <w:rStyle w:val="Hyperlink"/>
            <w:noProof/>
          </w:rPr>
          <w:t>Introdução</w:t>
        </w:r>
        <w:r>
          <w:rPr>
            <w:noProof/>
            <w:webHidden/>
          </w:rPr>
          <w:tab/>
        </w:r>
        <w:r>
          <w:rPr>
            <w:noProof/>
            <w:webHidden/>
          </w:rPr>
          <w:fldChar w:fldCharType="begin"/>
        </w:r>
        <w:r>
          <w:rPr>
            <w:noProof/>
            <w:webHidden/>
          </w:rPr>
          <w:instrText xml:space="preserve"> PAGEREF _Toc239176376 \h </w:instrText>
        </w:r>
        <w:r>
          <w:rPr>
            <w:noProof/>
            <w:webHidden/>
          </w:rPr>
        </w:r>
        <w:r>
          <w:rPr>
            <w:noProof/>
            <w:webHidden/>
          </w:rPr>
          <w:fldChar w:fldCharType="separate"/>
        </w:r>
        <w:r>
          <w:rPr>
            <w:noProof/>
            <w:webHidden/>
          </w:rPr>
          <w:t>4</w:t>
        </w:r>
        <w:r>
          <w:rPr>
            <w:noProof/>
            <w:webHidden/>
          </w:rPr>
          <w:fldChar w:fldCharType="end"/>
        </w:r>
      </w:hyperlink>
    </w:p>
    <w:p w14:paraId="66E0354F" w14:textId="68717A38" w:rsidR="004F0B8A" w:rsidRDefault="004F0B8A">
      <w:pPr>
        <w:pStyle w:val="TOC1"/>
        <w:rPr>
          <w:rFonts w:eastAsiaTheme="minorEastAsia"/>
          <w:b w:val="0"/>
          <w:caps w:val="0"/>
          <w:noProof/>
          <w:kern w:val="2"/>
          <w:sz w:val="24"/>
          <w:szCs w:val="24"/>
          <w:lang w:val="en-US" w:eastAsia="zh-CN" w:bidi="he-IL"/>
          <w14:ligatures w14:val="standardContextual"/>
        </w:rPr>
      </w:pPr>
      <w:hyperlink w:anchor="_Toc239176377" w:history="1">
        <w:r w:rsidRPr="005D6259">
          <w:rPr>
            <w:rStyle w:val="Hyperlink"/>
            <w:noProof/>
          </w:rPr>
          <w:t>Termos Gerais</w:t>
        </w:r>
        <w:r>
          <w:rPr>
            <w:noProof/>
            <w:webHidden/>
          </w:rPr>
          <w:tab/>
        </w:r>
        <w:r>
          <w:rPr>
            <w:noProof/>
            <w:webHidden/>
          </w:rPr>
          <w:fldChar w:fldCharType="begin"/>
        </w:r>
        <w:r>
          <w:rPr>
            <w:noProof/>
            <w:webHidden/>
          </w:rPr>
          <w:instrText xml:space="preserve"> PAGEREF _Toc239176377 \h </w:instrText>
        </w:r>
        <w:r>
          <w:rPr>
            <w:noProof/>
            <w:webHidden/>
          </w:rPr>
        </w:r>
        <w:r>
          <w:rPr>
            <w:noProof/>
            <w:webHidden/>
          </w:rPr>
          <w:fldChar w:fldCharType="separate"/>
        </w:r>
        <w:r>
          <w:rPr>
            <w:noProof/>
            <w:webHidden/>
          </w:rPr>
          <w:t>5</w:t>
        </w:r>
        <w:r>
          <w:rPr>
            <w:noProof/>
            <w:webHidden/>
          </w:rPr>
          <w:fldChar w:fldCharType="end"/>
        </w:r>
      </w:hyperlink>
    </w:p>
    <w:p w14:paraId="426A01A6" w14:textId="67CB3C81" w:rsidR="004F0B8A" w:rsidRDefault="004F0B8A">
      <w:pPr>
        <w:pStyle w:val="TOC1"/>
        <w:rPr>
          <w:rFonts w:eastAsiaTheme="minorEastAsia"/>
          <w:b w:val="0"/>
          <w:caps w:val="0"/>
          <w:noProof/>
          <w:kern w:val="2"/>
          <w:sz w:val="24"/>
          <w:szCs w:val="24"/>
          <w:lang w:val="en-US" w:eastAsia="zh-CN" w:bidi="he-IL"/>
          <w14:ligatures w14:val="standardContextual"/>
        </w:rPr>
      </w:pPr>
      <w:hyperlink w:anchor="_Toc239176378" w:history="1">
        <w:r w:rsidRPr="005D6259">
          <w:rPr>
            <w:rStyle w:val="Hyperlink"/>
            <w:noProof/>
          </w:rPr>
          <w:t>Termos Específicos do Serviço</w:t>
        </w:r>
        <w:r>
          <w:rPr>
            <w:noProof/>
            <w:webHidden/>
          </w:rPr>
          <w:tab/>
        </w:r>
        <w:r>
          <w:rPr>
            <w:noProof/>
            <w:webHidden/>
          </w:rPr>
          <w:fldChar w:fldCharType="begin"/>
        </w:r>
        <w:r>
          <w:rPr>
            <w:noProof/>
            <w:webHidden/>
          </w:rPr>
          <w:instrText xml:space="preserve"> PAGEREF _Toc239176378 \h </w:instrText>
        </w:r>
        <w:r>
          <w:rPr>
            <w:noProof/>
            <w:webHidden/>
          </w:rPr>
        </w:r>
        <w:r>
          <w:rPr>
            <w:noProof/>
            <w:webHidden/>
          </w:rPr>
          <w:fldChar w:fldCharType="separate"/>
        </w:r>
        <w:r>
          <w:rPr>
            <w:noProof/>
            <w:webHidden/>
          </w:rPr>
          <w:t>7</w:t>
        </w:r>
        <w:r>
          <w:rPr>
            <w:noProof/>
            <w:webHidden/>
          </w:rPr>
          <w:fldChar w:fldCharType="end"/>
        </w:r>
      </w:hyperlink>
    </w:p>
    <w:p w14:paraId="77CE10FF" w14:textId="0EC64C4F" w:rsidR="004F0B8A" w:rsidRDefault="004F0B8A">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6379" w:history="1">
        <w:r w:rsidRPr="005D6259">
          <w:rPr>
            <w:rStyle w:val="Hyperlink"/>
            <w:noProof/>
          </w:rPr>
          <w:t>Microsoft Dynamics 365</w:t>
        </w:r>
        <w:r>
          <w:rPr>
            <w:noProof/>
            <w:webHidden/>
          </w:rPr>
          <w:tab/>
        </w:r>
        <w:r>
          <w:rPr>
            <w:noProof/>
            <w:webHidden/>
          </w:rPr>
          <w:fldChar w:fldCharType="begin"/>
        </w:r>
        <w:r>
          <w:rPr>
            <w:noProof/>
            <w:webHidden/>
          </w:rPr>
          <w:instrText xml:space="preserve"> PAGEREF _Toc239176379 \h </w:instrText>
        </w:r>
        <w:r>
          <w:rPr>
            <w:noProof/>
            <w:webHidden/>
          </w:rPr>
        </w:r>
        <w:r>
          <w:rPr>
            <w:noProof/>
            <w:webHidden/>
          </w:rPr>
          <w:fldChar w:fldCharType="separate"/>
        </w:r>
        <w:r>
          <w:rPr>
            <w:noProof/>
            <w:webHidden/>
          </w:rPr>
          <w:t>7</w:t>
        </w:r>
        <w:r>
          <w:rPr>
            <w:noProof/>
            <w:webHidden/>
          </w:rPr>
          <w:fldChar w:fldCharType="end"/>
        </w:r>
      </w:hyperlink>
    </w:p>
    <w:p w14:paraId="376F02B8" w14:textId="4E1BBD6E"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0" w:history="1">
        <w:r w:rsidRPr="005D6259">
          <w:rPr>
            <w:rStyle w:val="Hyperlink"/>
            <w:noProof/>
          </w:rPr>
          <w:t>Dynamics 365 Business Central</w:t>
        </w:r>
        <w:r>
          <w:rPr>
            <w:noProof/>
            <w:webHidden/>
          </w:rPr>
          <w:tab/>
        </w:r>
        <w:r>
          <w:rPr>
            <w:noProof/>
            <w:webHidden/>
          </w:rPr>
          <w:fldChar w:fldCharType="begin"/>
        </w:r>
        <w:r>
          <w:rPr>
            <w:noProof/>
            <w:webHidden/>
          </w:rPr>
          <w:instrText xml:space="preserve"> PAGEREF _Toc239176380 \h </w:instrText>
        </w:r>
        <w:r>
          <w:rPr>
            <w:noProof/>
            <w:webHidden/>
          </w:rPr>
        </w:r>
        <w:r>
          <w:rPr>
            <w:noProof/>
            <w:webHidden/>
          </w:rPr>
          <w:fldChar w:fldCharType="separate"/>
        </w:r>
        <w:r>
          <w:rPr>
            <w:noProof/>
            <w:webHidden/>
          </w:rPr>
          <w:t>7</w:t>
        </w:r>
        <w:r>
          <w:rPr>
            <w:noProof/>
            <w:webHidden/>
          </w:rPr>
          <w:fldChar w:fldCharType="end"/>
        </w:r>
      </w:hyperlink>
    </w:p>
    <w:p w14:paraId="38C81EE4" w14:textId="20491594"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1" w:history="1">
        <w:r w:rsidRPr="005D6259">
          <w:rPr>
            <w:rStyle w:val="Hyperlink"/>
            <w:noProof/>
          </w:rPr>
          <w:t>Dynamics 365 Commerce</w:t>
        </w:r>
        <w:r>
          <w:rPr>
            <w:noProof/>
            <w:webHidden/>
          </w:rPr>
          <w:tab/>
        </w:r>
        <w:r>
          <w:rPr>
            <w:noProof/>
            <w:webHidden/>
          </w:rPr>
          <w:fldChar w:fldCharType="begin"/>
        </w:r>
        <w:r>
          <w:rPr>
            <w:noProof/>
            <w:webHidden/>
          </w:rPr>
          <w:instrText xml:space="preserve"> PAGEREF _Toc239176381 \h </w:instrText>
        </w:r>
        <w:r>
          <w:rPr>
            <w:noProof/>
            <w:webHidden/>
          </w:rPr>
        </w:r>
        <w:r>
          <w:rPr>
            <w:noProof/>
            <w:webHidden/>
          </w:rPr>
          <w:fldChar w:fldCharType="separate"/>
        </w:r>
        <w:r>
          <w:rPr>
            <w:noProof/>
            <w:webHidden/>
          </w:rPr>
          <w:t>7</w:t>
        </w:r>
        <w:r>
          <w:rPr>
            <w:noProof/>
            <w:webHidden/>
          </w:rPr>
          <w:fldChar w:fldCharType="end"/>
        </w:r>
      </w:hyperlink>
    </w:p>
    <w:p w14:paraId="7055E6B1" w14:textId="1FEA3517"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2" w:history="1">
        <w:r w:rsidRPr="005D6259">
          <w:rPr>
            <w:rStyle w:val="Hyperlink"/>
            <w:noProof/>
          </w:rPr>
          <w:t>Dynamics 365 Contact Center</w:t>
        </w:r>
        <w:r>
          <w:rPr>
            <w:noProof/>
            <w:webHidden/>
          </w:rPr>
          <w:tab/>
        </w:r>
        <w:r>
          <w:rPr>
            <w:noProof/>
            <w:webHidden/>
          </w:rPr>
          <w:fldChar w:fldCharType="begin"/>
        </w:r>
        <w:r>
          <w:rPr>
            <w:noProof/>
            <w:webHidden/>
          </w:rPr>
          <w:instrText xml:space="preserve"> PAGEREF _Toc239176382 \h </w:instrText>
        </w:r>
        <w:r>
          <w:rPr>
            <w:noProof/>
            <w:webHidden/>
          </w:rPr>
        </w:r>
        <w:r>
          <w:rPr>
            <w:noProof/>
            <w:webHidden/>
          </w:rPr>
          <w:fldChar w:fldCharType="separate"/>
        </w:r>
        <w:r>
          <w:rPr>
            <w:noProof/>
            <w:webHidden/>
          </w:rPr>
          <w:t>8</w:t>
        </w:r>
        <w:r>
          <w:rPr>
            <w:noProof/>
            <w:webHidden/>
          </w:rPr>
          <w:fldChar w:fldCharType="end"/>
        </w:r>
      </w:hyperlink>
    </w:p>
    <w:p w14:paraId="2A801AA6" w14:textId="5B5B6AB8"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3" w:history="1">
        <w:r w:rsidRPr="005D6259">
          <w:rPr>
            <w:rStyle w:val="Hyperlink"/>
            <w:noProof/>
          </w:rPr>
          <w:t>Dynamics 365 Customer Insights</w:t>
        </w:r>
        <w:r>
          <w:rPr>
            <w:noProof/>
            <w:webHidden/>
          </w:rPr>
          <w:tab/>
        </w:r>
        <w:r>
          <w:rPr>
            <w:noProof/>
            <w:webHidden/>
          </w:rPr>
          <w:fldChar w:fldCharType="begin"/>
        </w:r>
        <w:r>
          <w:rPr>
            <w:noProof/>
            <w:webHidden/>
          </w:rPr>
          <w:instrText xml:space="preserve"> PAGEREF _Toc239176383 \h </w:instrText>
        </w:r>
        <w:r>
          <w:rPr>
            <w:noProof/>
            <w:webHidden/>
          </w:rPr>
        </w:r>
        <w:r>
          <w:rPr>
            <w:noProof/>
            <w:webHidden/>
          </w:rPr>
          <w:fldChar w:fldCharType="separate"/>
        </w:r>
        <w:r>
          <w:rPr>
            <w:noProof/>
            <w:webHidden/>
          </w:rPr>
          <w:t>8</w:t>
        </w:r>
        <w:r>
          <w:rPr>
            <w:noProof/>
            <w:webHidden/>
          </w:rPr>
          <w:fldChar w:fldCharType="end"/>
        </w:r>
      </w:hyperlink>
    </w:p>
    <w:p w14:paraId="0F8B2002" w14:textId="47A9F874"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4" w:history="1">
        <w:r w:rsidRPr="005D6259">
          <w:rPr>
            <w:rStyle w:val="Hyperlink"/>
            <w:noProof/>
            <w:lang w:val="en-IN"/>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_Toc239176384 \h </w:instrText>
        </w:r>
        <w:r>
          <w:rPr>
            <w:noProof/>
            <w:webHidden/>
          </w:rPr>
        </w:r>
        <w:r>
          <w:rPr>
            <w:noProof/>
            <w:webHidden/>
          </w:rPr>
          <w:fldChar w:fldCharType="separate"/>
        </w:r>
        <w:r>
          <w:rPr>
            <w:noProof/>
            <w:webHidden/>
          </w:rPr>
          <w:t>9</w:t>
        </w:r>
        <w:r>
          <w:rPr>
            <w:noProof/>
            <w:webHidden/>
          </w:rPr>
          <w:fldChar w:fldCharType="end"/>
        </w:r>
      </w:hyperlink>
    </w:p>
    <w:p w14:paraId="6757AE10" w14:textId="38A9EACF"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5" w:history="1">
        <w:r w:rsidRPr="005D6259">
          <w:rPr>
            <w:rStyle w:val="Hyperlink"/>
            <w:noProof/>
          </w:rPr>
          <w:t>Guias do Dynamics 365</w:t>
        </w:r>
        <w:r>
          <w:rPr>
            <w:noProof/>
            <w:webHidden/>
          </w:rPr>
          <w:tab/>
        </w:r>
        <w:r>
          <w:rPr>
            <w:noProof/>
            <w:webHidden/>
          </w:rPr>
          <w:fldChar w:fldCharType="begin"/>
        </w:r>
        <w:r>
          <w:rPr>
            <w:noProof/>
            <w:webHidden/>
          </w:rPr>
          <w:instrText xml:space="preserve"> PAGEREF _Toc239176385 \h </w:instrText>
        </w:r>
        <w:r>
          <w:rPr>
            <w:noProof/>
            <w:webHidden/>
          </w:rPr>
        </w:r>
        <w:r>
          <w:rPr>
            <w:noProof/>
            <w:webHidden/>
          </w:rPr>
          <w:fldChar w:fldCharType="separate"/>
        </w:r>
        <w:r>
          <w:rPr>
            <w:noProof/>
            <w:webHidden/>
          </w:rPr>
          <w:t>9</w:t>
        </w:r>
        <w:r>
          <w:rPr>
            <w:noProof/>
            <w:webHidden/>
          </w:rPr>
          <w:fldChar w:fldCharType="end"/>
        </w:r>
      </w:hyperlink>
    </w:p>
    <w:p w14:paraId="29BD84A4" w14:textId="7EC236A7"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6" w:history="1">
        <w:r w:rsidRPr="005D6259">
          <w:rPr>
            <w:rStyle w:val="Hyperlink"/>
            <w:noProof/>
          </w:rPr>
          <w:t>Dynamics 365 Human Resources</w:t>
        </w:r>
        <w:r>
          <w:rPr>
            <w:noProof/>
            <w:webHidden/>
          </w:rPr>
          <w:tab/>
        </w:r>
        <w:r>
          <w:rPr>
            <w:noProof/>
            <w:webHidden/>
          </w:rPr>
          <w:fldChar w:fldCharType="begin"/>
        </w:r>
        <w:r>
          <w:rPr>
            <w:noProof/>
            <w:webHidden/>
          </w:rPr>
          <w:instrText xml:space="preserve"> PAGEREF _Toc239176386 \h </w:instrText>
        </w:r>
        <w:r>
          <w:rPr>
            <w:noProof/>
            <w:webHidden/>
          </w:rPr>
        </w:r>
        <w:r>
          <w:rPr>
            <w:noProof/>
            <w:webHidden/>
          </w:rPr>
          <w:fldChar w:fldCharType="separate"/>
        </w:r>
        <w:r>
          <w:rPr>
            <w:noProof/>
            <w:webHidden/>
          </w:rPr>
          <w:t>9</w:t>
        </w:r>
        <w:r>
          <w:rPr>
            <w:noProof/>
            <w:webHidden/>
          </w:rPr>
          <w:fldChar w:fldCharType="end"/>
        </w:r>
      </w:hyperlink>
    </w:p>
    <w:p w14:paraId="66963F79" w14:textId="4C62B19B"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7" w:history="1">
        <w:r w:rsidRPr="005D6259">
          <w:rPr>
            <w:rStyle w:val="Hyperlink"/>
            <w:noProof/>
          </w:rPr>
          <w:t>Dynamics 365 Intelligent Order Management</w:t>
        </w:r>
        <w:r>
          <w:rPr>
            <w:noProof/>
            <w:webHidden/>
          </w:rPr>
          <w:tab/>
        </w:r>
        <w:r>
          <w:rPr>
            <w:noProof/>
            <w:webHidden/>
          </w:rPr>
          <w:fldChar w:fldCharType="begin"/>
        </w:r>
        <w:r>
          <w:rPr>
            <w:noProof/>
            <w:webHidden/>
          </w:rPr>
          <w:instrText xml:space="preserve"> PAGEREF _Toc239176387 \h </w:instrText>
        </w:r>
        <w:r>
          <w:rPr>
            <w:noProof/>
            <w:webHidden/>
          </w:rPr>
        </w:r>
        <w:r>
          <w:rPr>
            <w:noProof/>
            <w:webHidden/>
          </w:rPr>
          <w:fldChar w:fldCharType="separate"/>
        </w:r>
        <w:r>
          <w:rPr>
            <w:noProof/>
            <w:webHidden/>
          </w:rPr>
          <w:t>10</w:t>
        </w:r>
        <w:r>
          <w:rPr>
            <w:noProof/>
            <w:webHidden/>
          </w:rPr>
          <w:fldChar w:fldCharType="end"/>
        </w:r>
      </w:hyperlink>
    </w:p>
    <w:p w14:paraId="2D0DF221" w14:textId="39F06237"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8" w:history="1">
        <w:r w:rsidRPr="005D6259">
          <w:rPr>
            <w:rStyle w:val="Hyperlink"/>
            <w:noProof/>
          </w:rPr>
          <w:t>Dynamics 365 Remote Assist</w:t>
        </w:r>
        <w:r>
          <w:rPr>
            <w:noProof/>
            <w:webHidden/>
          </w:rPr>
          <w:tab/>
        </w:r>
        <w:r>
          <w:rPr>
            <w:noProof/>
            <w:webHidden/>
          </w:rPr>
          <w:fldChar w:fldCharType="begin"/>
        </w:r>
        <w:r>
          <w:rPr>
            <w:noProof/>
            <w:webHidden/>
          </w:rPr>
          <w:instrText xml:space="preserve"> PAGEREF _Toc239176388 \h </w:instrText>
        </w:r>
        <w:r>
          <w:rPr>
            <w:noProof/>
            <w:webHidden/>
          </w:rPr>
        </w:r>
        <w:r>
          <w:rPr>
            <w:noProof/>
            <w:webHidden/>
          </w:rPr>
          <w:fldChar w:fldCharType="separate"/>
        </w:r>
        <w:r>
          <w:rPr>
            <w:noProof/>
            <w:webHidden/>
          </w:rPr>
          <w:t>10</w:t>
        </w:r>
        <w:r>
          <w:rPr>
            <w:noProof/>
            <w:webHidden/>
          </w:rPr>
          <w:fldChar w:fldCharType="end"/>
        </w:r>
      </w:hyperlink>
    </w:p>
    <w:p w14:paraId="0B0EA86B" w14:textId="267C2C41" w:rsidR="004F0B8A" w:rsidRDefault="004F0B8A">
      <w:pPr>
        <w:pStyle w:val="TOC4"/>
        <w:rPr>
          <w:rFonts w:eastAsiaTheme="minorEastAsia"/>
          <w:smallCaps w:val="0"/>
          <w:noProof/>
          <w:kern w:val="2"/>
          <w:sz w:val="24"/>
          <w:szCs w:val="24"/>
          <w:lang w:val="en-US" w:eastAsia="zh-CN" w:bidi="he-IL"/>
          <w14:ligatures w14:val="standardContextual"/>
        </w:rPr>
      </w:pPr>
      <w:hyperlink w:anchor="_Toc239176389" w:history="1">
        <w:r w:rsidRPr="005D6259">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_Toc239176389 \h </w:instrText>
        </w:r>
        <w:r>
          <w:rPr>
            <w:noProof/>
            <w:webHidden/>
          </w:rPr>
        </w:r>
        <w:r>
          <w:rPr>
            <w:noProof/>
            <w:webHidden/>
          </w:rPr>
          <w:fldChar w:fldCharType="separate"/>
        </w:r>
        <w:r>
          <w:rPr>
            <w:noProof/>
            <w:webHidden/>
          </w:rPr>
          <w:t>11</w:t>
        </w:r>
        <w:r>
          <w:rPr>
            <w:noProof/>
            <w:webHidden/>
          </w:rPr>
          <w:fldChar w:fldCharType="end"/>
        </w:r>
      </w:hyperlink>
    </w:p>
    <w:p w14:paraId="4C5FCED6" w14:textId="04643E91"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0" w:history="1">
        <w:r w:rsidRPr="005D6259">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_Toc239176390 \h </w:instrText>
        </w:r>
        <w:r>
          <w:rPr>
            <w:noProof/>
            <w:webHidden/>
          </w:rPr>
        </w:r>
        <w:r>
          <w:rPr>
            <w:noProof/>
            <w:webHidden/>
          </w:rPr>
          <w:fldChar w:fldCharType="separate"/>
        </w:r>
        <w:r>
          <w:rPr>
            <w:noProof/>
            <w:webHidden/>
          </w:rPr>
          <w:t>11</w:t>
        </w:r>
        <w:r>
          <w:rPr>
            <w:noProof/>
            <w:webHidden/>
          </w:rPr>
          <w:fldChar w:fldCharType="end"/>
        </w:r>
      </w:hyperlink>
    </w:p>
    <w:p w14:paraId="128EC9E7" w14:textId="49FBA6FC" w:rsidR="004F0B8A" w:rsidRDefault="004F0B8A">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6391" w:history="1">
        <w:r w:rsidRPr="005D6259">
          <w:rPr>
            <w:rStyle w:val="Hyperlink"/>
            <w:noProof/>
          </w:rPr>
          <w:t>Serviços do Office 365</w:t>
        </w:r>
        <w:r>
          <w:rPr>
            <w:noProof/>
            <w:webHidden/>
          </w:rPr>
          <w:tab/>
        </w:r>
        <w:r>
          <w:rPr>
            <w:noProof/>
            <w:webHidden/>
          </w:rPr>
          <w:fldChar w:fldCharType="begin"/>
        </w:r>
        <w:r>
          <w:rPr>
            <w:noProof/>
            <w:webHidden/>
          </w:rPr>
          <w:instrText xml:space="preserve"> PAGEREF _Toc239176391 \h </w:instrText>
        </w:r>
        <w:r>
          <w:rPr>
            <w:noProof/>
            <w:webHidden/>
          </w:rPr>
        </w:r>
        <w:r>
          <w:rPr>
            <w:noProof/>
            <w:webHidden/>
          </w:rPr>
          <w:fldChar w:fldCharType="separate"/>
        </w:r>
        <w:r>
          <w:rPr>
            <w:noProof/>
            <w:webHidden/>
          </w:rPr>
          <w:t>12</w:t>
        </w:r>
        <w:r>
          <w:rPr>
            <w:noProof/>
            <w:webHidden/>
          </w:rPr>
          <w:fldChar w:fldCharType="end"/>
        </w:r>
      </w:hyperlink>
    </w:p>
    <w:p w14:paraId="0AE45473" w14:textId="3BA2131C"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2" w:history="1">
        <w:r w:rsidRPr="005D6259">
          <w:rPr>
            <w:rStyle w:val="Hyperlink"/>
            <w:noProof/>
          </w:rPr>
          <w:t>Duet Enterprise Online</w:t>
        </w:r>
        <w:r>
          <w:rPr>
            <w:noProof/>
            <w:webHidden/>
          </w:rPr>
          <w:tab/>
        </w:r>
        <w:r>
          <w:rPr>
            <w:noProof/>
            <w:webHidden/>
          </w:rPr>
          <w:fldChar w:fldCharType="begin"/>
        </w:r>
        <w:r>
          <w:rPr>
            <w:noProof/>
            <w:webHidden/>
          </w:rPr>
          <w:instrText xml:space="preserve"> PAGEREF _Toc239176392 \h </w:instrText>
        </w:r>
        <w:r>
          <w:rPr>
            <w:noProof/>
            <w:webHidden/>
          </w:rPr>
        </w:r>
        <w:r>
          <w:rPr>
            <w:noProof/>
            <w:webHidden/>
          </w:rPr>
          <w:fldChar w:fldCharType="separate"/>
        </w:r>
        <w:r>
          <w:rPr>
            <w:noProof/>
            <w:webHidden/>
          </w:rPr>
          <w:t>12</w:t>
        </w:r>
        <w:r>
          <w:rPr>
            <w:noProof/>
            <w:webHidden/>
          </w:rPr>
          <w:fldChar w:fldCharType="end"/>
        </w:r>
      </w:hyperlink>
    </w:p>
    <w:p w14:paraId="748875B9" w14:textId="1DF87B27"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3" w:history="1">
        <w:r w:rsidRPr="005D6259">
          <w:rPr>
            <w:rStyle w:val="Hyperlink"/>
            <w:noProof/>
          </w:rPr>
          <w:t>Exchange Online</w:t>
        </w:r>
        <w:r>
          <w:rPr>
            <w:noProof/>
            <w:webHidden/>
          </w:rPr>
          <w:tab/>
        </w:r>
        <w:r>
          <w:rPr>
            <w:noProof/>
            <w:webHidden/>
          </w:rPr>
          <w:fldChar w:fldCharType="begin"/>
        </w:r>
        <w:r>
          <w:rPr>
            <w:noProof/>
            <w:webHidden/>
          </w:rPr>
          <w:instrText xml:space="preserve"> PAGEREF _Toc239176393 \h </w:instrText>
        </w:r>
        <w:r>
          <w:rPr>
            <w:noProof/>
            <w:webHidden/>
          </w:rPr>
        </w:r>
        <w:r>
          <w:rPr>
            <w:noProof/>
            <w:webHidden/>
          </w:rPr>
          <w:fldChar w:fldCharType="separate"/>
        </w:r>
        <w:r>
          <w:rPr>
            <w:noProof/>
            <w:webHidden/>
          </w:rPr>
          <w:t>12</w:t>
        </w:r>
        <w:r>
          <w:rPr>
            <w:noProof/>
            <w:webHidden/>
          </w:rPr>
          <w:fldChar w:fldCharType="end"/>
        </w:r>
      </w:hyperlink>
    </w:p>
    <w:p w14:paraId="32193205" w14:textId="75DB0A87"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4" w:history="1">
        <w:r w:rsidRPr="005D6259">
          <w:rPr>
            <w:rStyle w:val="Hyperlink"/>
            <w:noProof/>
          </w:rPr>
          <w:t>Arquivo de Exchange Online</w:t>
        </w:r>
        <w:r>
          <w:rPr>
            <w:noProof/>
            <w:webHidden/>
          </w:rPr>
          <w:tab/>
        </w:r>
        <w:r>
          <w:rPr>
            <w:noProof/>
            <w:webHidden/>
          </w:rPr>
          <w:fldChar w:fldCharType="begin"/>
        </w:r>
        <w:r>
          <w:rPr>
            <w:noProof/>
            <w:webHidden/>
          </w:rPr>
          <w:instrText xml:space="preserve"> PAGEREF _Toc239176394 \h </w:instrText>
        </w:r>
        <w:r>
          <w:rPr>
            <w:noProof/>
            <w:webHidden/>
          </w:rPr>
        </w:r>
        <w:r>
          <w:rPr>
            <w:noProof/>
            <w:webHidden/>
          </w:rPr>
          <w:fldChar w:fldCharType="separate"/>
        </w:r>
        <w:r>
          <w:rPr>
            <w:noProof/>
            <w:webHidden/>
          </w:rPr>
          <w:t>14</w:t>
        </w:r>
        <w:r>
          <w:rPr>
            <w:noProof/>
            <w:webHidden/>
          </w:rPr>
          <w:fldChar w:fldCharType="end"/>
        </w:r>
      </w:hyperlink>
    </w:p>
    <w:p w14:paraId="0BA0AE61" w14:textId="17BB08EB"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5" w:history="1">
        <w:r w:rsidRPr="005D6259">
          <w:rPr>
            <w:rStyle w:val="Hyperlink"/>
            <w:noProof/>
          </w:rPr>
          <w:t>Proteção do Exchange Online</w:t>
        </w:r>
        <w:r>
          <w:rPr>
            <w:noProof/>
            <w:webHidden/>
          </w:rPr>
          <w:tab/>
        </w:r>
        <w:r>
          <w:rPr>
            <w:noProof/>
            <w:webHidden/>
          </w:rPr>
          <w:fldChar w:fldCharType="begin"/>
        </w:r>
        <w:r>
          <w:rPr>
            <w:noProof/>
            <w:webHidden/>
          </w:rPr>
          <w:instrText xml:space="preserve"> PAGEREF _Toc239176395 \h </w:instrText>
        </w:r>
        <w:r>
          <w:rPr>
            <w:noProof/>
            <w:webHidden/>
          </w:rPr>
        </w:r>
        <w:r>
          <w:rPr>
            <w:noProof/>
            <w:webHidden/>
          </w:rPr>
          <w:fldChar w:fldCharType="separate"/>
        </w:r>
        <w:r>
          <w:rPr>
            <w:noProof/>
            <w:webHidden/>
          </w:rPr>
          <w:t>15</w:t>
        </w:r>
        <w:r>
          <w:rPr>
            <w:noProof/>
            <w:webHidden/>
          </w:rPr>
          <w:fldChar w:fldCharType="end"/>
        </w:r>
      </w:hyperlink>
    </w:p>
    <w:p w14:paraId="2E4E7A6F" w14:textId="493A87AC"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6" w:history="1">
        <w:r w:rsidRPr="005D6259">
          <w:rPr>
            <w:rStyle w:val="Hyperlink"/>
            <w:noProof/>
          </w:rPr>
          <w:t>Microsoft MyAnalytics</w:t>
        </w:r>
        <w:r>
          <w:rPr>
            <w:noProof/>
            <w:webHidden/>
          </w:rPr>
          <w:tab/>
        </w:r>
        <w:r>
          <w:rPr>
            <w:noProof/>
            <w:webHidden/>
          </w:rPr>
          <w:fldChar w:fldCharType="begin"/>
        </w:r>
        <w:r>
          <w:rPr>
            <w:noProof/>
            <w:webHidden/>
          </w:rPr>
          <w:instrText xml:space="preserve"> PAGEREF _Toc239176396 \h </w:instrText>
        </w:r>
        <w:r>
          <w:rPr>
            <w:noProof/>
            <w:webHidden/>
          </w:rPr>
        </w:r>
        <w:r>
          <w:rPr>
            <w:noProof/>
            <w:webHidden/>
          </w:rPr>
          <w:fldChar w:fldCharType="separate"/>
        </w:r>
        <w:r>
          <w:rPr>
            <w:noProof/>
            <w:webHidden/>
          </w:rPr>
          <w:t>16</w:t>
        </w:r>
        <w:r>
          <w:rPr>
            <w:noProof/>
            <w:webHidden/>
          </w:rPr>
          <w:fldChar w:fldCharType="end"/>
        </w:r>
      </w:hyperlink>
    </w:p>
    <w:p w14:paraId="13BBBAD6" w14:textId="239CC883"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7" w:history="1">
        <w:r w:rsidRPr="005D6259">
          <w:rPr>
            <w:rStyle w:val="Hyperlink"/>
            <w:noProof/>
          </w:rPr>
          <w:t>Microsoft Stream (Clássico)</w:t>
        </w:r>
        <w:r>
          <w:rPr>
            <w:noProof/>
            <w:webHidden/>
          </w:rPr>
          <w:tab/>
        </w:r>
        <w:r>
          <w:rPr>
            <w:noProof/>
            <w:webHidden/>
          </w:rPr>
          <w:fldChar w:fldCharType="begin"/>
        </w:r>
        <w:r>
          <w:rPr>
            <w:noProof/>
            <w:webHidden/>
          </w:rPr>
          <w:instrText xml:space="preserve"> PAGEREF _Toc239176397 \h </w:instrText>
        </w:r>
        <w:r>
          <w:rPr>
            <w:noProof/>
            <w:webHidden/>
          </w:rPr>
        </w:r>
        <w:r>
          <w:rPr>
            <w:noProof/>
            <w:webHidden/>
          </w:rPr>
          <w:fldChar w:fldCharType="separate"/>
        </w:r>
        <w:r>
          <w:rPr>
            <w:noProof/>
            <w:webHidden/>
          </w:rPr>
          <w:t>16</w:t>
        </w:r>
        <w:r>
          <w:rPr>
            <w:noProof/>
            <w:webHidden/>
          </w:rPr>
          <w:fldChar w:fldCharType="end"/>
        </w:r>
      </w:hyperlink>
    </w:p>
    <w:p w14:paraId="23FB544C" w14:textId="34BC5258"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8" w:history="1">
        <w:r w:rsidRPr="005D6259">
          <w:rPr>
            <w:rStyle w:val="Hyperlink"/>
            <w:noProof/>
          </w:rPr>
          <w:t>Microsoft Teams</w:t>
        </w:r>
        <w:r>
          <w:rPr>
            <w:noProof/>
            <w:webHidden/>
          </w:rPr>
          <w:tab/>
        </w:r>
        <w:r>
          <w:rPr>
            <w:noProof/>
            <w:webHidden/>
          </w:rPr>
          <w:fldChar w:fldCharType="begin"/>
        </w:r>
        <w:r>
          <w:rPr>
            <w:noProof/>
            <w:webHidden/>
          </w:rPr>
          <w:instrText xml:space="preserve"> PAGEREF _Toc239176398 \h </w:instrText>
        </w:r>
        <w:r>
          <w:rPr>
            <w:noProof/>
            <w:webHidden/>
          </w:rPr>
        </w:r>
        <w:r>
          <w:rPr>
            <w:noProof/>
            <w:webHidden/>
          </w:rPr>
          <w:fldChar w:fldCharType="separate"/>
        </w:r>
        <w:r>
          <w:rPr>
            <w:noProof/>
            <w:webHidden/>
          </w:rPr>
          <w:t>16</w:t>
        </w:r>
        <w:r>
          <w:rPr>
            <w:noProof/>
            <w:webHidden/>
          </w:rPr>
          <w:fldChar w:fldCharType="end"/>
        </w:r>
      </w:hyperlink>
    </w:p>
    <w:p w14:paraId="7BDDB60E" w14:textId="6BC5A741" w:rsidR="004F0B8A" w:rsidRDefault="004F0B8A">
      <w:pPr>
        <w:pStyle w:val="TOC4"/>
        <w:rPr>
          <w:rFonts w:eastAsiaTheme="minorEastAsia"/>
          <w:smallCaps w:val="0"/>
          <w:noProof/>
          <w:kern w:val="2"/>
          <w:sz w:val="24"/>
          <w:szCs w:val="24"/>
          <w:lang w:val="en-US" w:eastAsia="zh-CN" w:bidi="he-IL"/>
          <w14:ligatures w14:val="standardContextual"/>
        </w:rPr>
      </w:pPr>
      <w:hyperlink w:anchor="_Toc239176399" w:history="1">
        <w:r w:rsidRPr="005D6259">
          <w:rPr>
            <w:rStyle w:val="Hyperlink"/>
            <w:noProof/>
          </w:rPr>
          <w:t>Microsoft 365 Apps para Pequenas e Médias Empresas</w:t>
        </w:r>
        <w:r>
          <w:rPr>
            <w:noProof/>
            <w:webHidden/>
          </w:rPr>
          <w:tab/>
        </w:r>
        <w:r>
          <w:rPr>
            <w:noProof/>
            <w:webHidden/>
          </w:rPr>
          <w:fldChar w:fldCharType="begin"/>
        </w:r>
        <w:r>
          <w:rPr>
            <w:noProof/>
            <w:webHidden/>
          </w:rPr>
          <w:instrText xml:space="preserve"> PAGEREF _Toc239176399 \h </w:instrText>
        </w:r>
        <w:r>
          <w:rPr>
            <w:noProof/>
            <w:webHidden/>
          </w:rPr>
        </w:r>
        <w:r>
          <w:rPr>
            <w:noProof/>
            <w:webHidden/>
          </w:rPr>
          <w:fldChar w:fldCharType="separate"/>
        </w:r>
        <w:r>
          <w:rPr>
            <w:noProof/>
            <w:webHidden/>
          </w:rPr>
          <w:t>17</w:t>
        </w:r>
        <w:r>
          <w:rPr>
            <w:noProof/>
            <w:webHidden/>
          </w:rPr>
          <w:fldChar w:fldCharType="end"/>
        </w:r>
      </w:hyperlink>
    </w:p>
    <w:p w14:paraId="039E3E1C" w14:textId="724ED5D4"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0" w:history="1">
        <w:r w:rsidRPr="005D6259">
          <w:rPr>
            <w:rStyle w:val="Hyperlink"/>
            <w:noProof/>
          </w:rPr>
          <w:t>Microsoft 365 Apps para Grandes Empresas</w:t>
        </w:r>
        <w:r>
          <w:rPr>
            <w:noProof/>
            <w:webHidden/>
          </w:rPr>
          <w:tab/>
        </w:r>
        <w:r>
          <w:rPr>
            <w:noProof/>
            <w:webHidden/>
          </w:rPr>
          <w:fldChar w:fldCharType="begin"/>
        </w:r>
        <w:r>
          <w:rPr>
            <w:noProof/>
            <w:webHidden/>
          </w:rPr>
          <w:instrText xml:space="preserve"> PAGEREF _Toc239176400 \h </w:instrText>
        </w:r>
        <w:r>
          <w:rPr>
            <w:noProof/>
            <w:webHidden/>
          </w:rPr>
        </w:r>
        <w:r>
          <w:rPr>
            <w:noProof/>
            <w:webHidden/>
          </w:rPr>
          <w:fldChar w:fldCharType="separate"/>
        </w:r>
        <w:r>
          <w:rPr>
            <w:noProof/>
            <w:webHidden/>
          </w:rPr>
          <w:t>17</w:t>
        </w:r>
        <w:r>
          <w:rPr>
            <w:noProof/>
            <w:webHidden/>
          </w:rPr>
          <w:fldChar w:fldCharType="end"/>
        </w:r>
      </w:hyperlink>
    </w:p>
    <w:p w14:paraId="68C177EF" w14:textId="7ED3D778"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1" w:history="1">
        <w:r w:rsidRPr="005D6259">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_Toc239176401 \h </w:instrText>
        </w:r>
        <w:r>
          <w:rPr>
            <w:noProof/>
            <w:webHidden/>
          </w:rPr>
        </w:r>
        <w:r>
          <w:rPr>
            <w:noProof/>
            <w:webHidden/>
          </w:rPr>
          <w:fldChar w:fldCharType="separate"/>
        </w:r>
        <w:r>
          <w:rPr>
            <w:noProof/>
            <w:webHidden/>
          </w:rPr>
          <w:t>17</w:t>
        </w:r>
        <w:r>
          <w:rPr>
            <w:noProof/>
            <w:webHidden/>
          </w:rPr>
          <w:fldChar w:fldCharType="end"/>
        </w:r>
      </w:hyperlink>
    </w:p>
    <w:p w14:paraId="6122FBC4" w14:textId="6F421E82"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2" w:history="1">
        <w:r w:rsidRPr="005D6259">
          <w:rPr>
            <w:rStyle w:val="Hyperlink"/>
            <w:noProof/>
          </w:rPr>
          <w:t>Office 365 Advanced Compliance</w:t>
        </w:r>
        <w:r>
          <w:rPr>
            <w:noProof/>
            <w:webHidden/>
          </w:rPr>
          <w:tab/>
        </w:r>
        <w:r>
          <w:rPr>
            <w:noProof/>
            <w:webHidden/>
          </w:rPr>
          <w:fldChar w:fldCharType="begin"/>
        </w:r>
        <w:r>
          <w:rPr>
            <w:noProof/>
            <w:webHidden/>
          </w:rPr>
          <w:instrText xml:space="preserve"> PAGEREF _Toc239176402 \h </w:instrText>
        </w:r>
        <w:r>
          <w:rPr>
            <w:noProof/>
            <w:webHidden/>
          </w:rPr>
        </w:r>
        <w:r>
          <w:rPr>
            <w:noProof/>
            <w:webHidden/>
          </w:rPr>
          <w:fldChar w:fldCharType="separate"/>
        </w:r>
        <w:r>
          <w:rPr>
            <w:noProof/>
            <w:webHidden/>
          </w:rPr>
          <w:t>18</w:t>
        </w:r>
        <w:r>
          <w:rPr>
            <w:noProof/>
            <w:webHidden/>
          </w:rPr>
          <w:fldChar w:fldCharType="end"/>
        </w:r>
      </w:hyperlink>
    </w:p>
    <w:p w14:paraId="16217648" w14:textId="55C2A4B4"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3" w:history="1">
        <w:r w:rsidRPr="005D6259">
          <w:rPr>
            <w:rStyle w:val="Hyperlink"/>
            <w:noProof/>
          </w:rPr>
          <w:t>Office Online</w:t>
        </w:r>
        <w:r>
          <w:rPr>
            <w:noProof/>
            <w:webHidden/>
          </w:rPr>
          <w:tab/>
        </w:r>
        <w:r>
          <w:rPr>
            <w:noProof/>
            <w:webHidden/>
          </w:rPr>
          <w:fldChar w:fldCharType="begin"/>
        </w:r>
        <w:r>
          <w:rPr>
            <w:noProof/>
            <w:webHidden/>
          </w:rPr>
          <w:instrText xml:space="preserve"> PAGEREF _Toc239176403 \h </w:instrText>
        </w:r>
        <w:r>
          <w:rPr>
            <w:noProof/>
            <w:webHidden/>
          </w:rPr>
        </w:r>
        <w:r>
          <w:rPr>
            <w:noProof/>
            <w:webHidden/>
          </w:rPr>
          <w:fldChar w:fldCharType="separate"/>
        </w:r>
        <w:r>
          <w:rPr>
            <w:noProof/>
            <w:webHidden/>
          </w:rPr>
          <w:t>18</w:t>
        </w:r>
        <w:r>
          <w:rPr>
            <w:noProof/>
            <w:webHidden/>
          </w:rPr>
          <w:fldChar w:fldCharType="end"/>
        </w:r>
      </w:hyperlink>
    </w:p>
    <w:p w14:paraId="1CC36719" w14:textId="4883A00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4" w:history="1">
        <w:r w:rsidRPr="005D6259">
          <w:rPr>
            <w:rStyle w:val="Hyperlink"/>
            <w:noProof/>
          </w:rPr>
          <w:t>Vídeo do Office 365</w:t>
        </w:r>
        <w:r>
          <w:rPr>
            <w:noProof/>
            <w:webHidden/>
          </w:rPr>
          <w:tab/>
        </w:r>
        <w:r>
          <w:rPr>
            <w:noProof/>
            <w:webHidden/>
          </w:rPr>
          <w:fldChar w:fldCharType="begin"/>
        </w:r>
        <w:r>
          <w:rPr>
            <w:noProof/>
            <w:webHidden/>
          </w:rPr>
          <w:instrText xml:space="preserve"> PAGEREF _Toc239176404 \h </w:instrText>
        </w:r>
        <w:r>
          <w:rPr>
            <w:noProof/>
            <w:webHidden/>
          </w:rPr>
        </w:r>
        <w:r>
          <w:rPr>
            <w:noProof/>
            <w:webHidden/>
          </w:rPr>
          <w:fldChar w:fldCharType="separate"/>
        </w:r>
        <w:r>
          <w:rPr>
            <w:noProof/>
            <w:webHidden/>
          </w:rPr>
          <w:t>18</w:t>
        </w:r>
        <w:r>
          <w:rPr>
            <w:noProof/>
            <w:webHidden/>
          </w:rPr>
          <w:fldChar w:fldCharType="end"/>
        </w:r>
      </w:hyperlink>
    </w:p>
    <w:p w14:paraId="0F56F3BD" w14:textId="2BB3E72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5" w:history="1">
        <w:r w:rsidRPr="005D6259">
          <w:rPr>
            <w:rStyle w:val="Hyperlink"/>
            <w:noProof/>
          </w:rPr>
          <w:t>OneDrive trabalho ou escola</w:t>
        </w:r>
        <w:r>
          <w:rPr>
            <w:noProof/>
            <w:webHidden/>
          </w:rPr>
          <w:tab/>
        </w:r>
        <w:r>
          <w:rPr>
            <w:noProof/>
            <w:webHidden/>
          </w:rPr>
          <w:fldChar w:fldCharType="begin"/>
        </w:r>
        <w:r>
          <w:rPr>
            <w:noProof/>
            <w:webHidden/>
          </w:rPr>
          <w:instrText xml:space="preserve"> PAGEREF _Toc239176405 \h </w:instrText>
        </w:r>
        <w:r>
          <w:rPr>
            <w:noProof/>
            <w:webHidden/>
          </w:rPr>
        </w:r>
        <w:r>
          <w:rPr>
            <w:noProof/>
            <w:webHidden/>
          </w:rPr>
          <w:fldChar w:fldCharType="separate"/>
        </w:r>
        <w:r>
          <w:rPr>
            <w:noProof/>
            <w:webHidden/>
          </w:rPr>
          <w:t>19</w:t>
        </w:r>
        <w:r>
          <w:rPr>
            <w:noProof/>
            <w:webHidden/>
          </w:rPr>
          <w:fldChar w:fldCharType="end"/>
        </w:r>
      </w:hyperlink>
    </w:p>
    <w:p w14:paraId="15D16258" w14:textId="5CA33CFE"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6" w:history="1">
        <w:r w:rsidRPr="005D6259">
          <w:rPr>
            <w:rStyle w:val="Hyperlink"/>
            <w:noProof/>
          </w:rPr>
          <w:t>Project</w:t>
        </w:r>
        <w:r>
          <w:rPr>
            <w:noProof/>
            <w:webHidden/>
          </w:rPr>
          <w:tab/>
        </w:r>
        <w:r>
          <w:rPr>
            <w:noProof/>
            <w:webHidden/>
          </w:rPr>
          <w:fldChar w:fldCharType="begin"/>
        </w:r>
        <w:r>
          <w:rPr>
            <w:noProof/>
            <w:webHidden/>
          </w:rPr>
          <w:instrText xml:space="preserve"> PAGEREF _Toc239176406 \h </w:instrText>
        </w:r>
        <w:r>
          <w:rPr>
            <w:noProof/>
            <w:webHidden/>
          </w:rPr>
        </w:r>
        <w:r>
          <w:rPr>
            <w:noProof/>
            <w:webHidden/>
          </w:rPr>
          <w:fldChar w:fldCharType="separate"/>
        </w:r>
        <w:r>
          <w:rPr>
            <w:noProof/>
            <w:webHidden/>
          </w:rPr>
          <w:t>19</w:t>
        </w:r>
        <w:r>
          <w:rPr>
            <w:noProof/>
            <w:webHidden/>
          </w:rPr>
          <w:fldChar w:fldCharType="end"/>
        </w:r>
      </w:hyperlink>
    </w:p>
    <w:p w14:paraId="1CB684CA" w14:textId="1276DD88"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7" w:history="1">
        <w:r w:rsidRPr="005D6259">
          <w:rPr>
            <w:rStyle w:val="Hyperlink"/>
            <w:noProof/>
          </w:rPr>
          <w:t>SharePoint Online</w:t>
        </w:r>
        <w:r>
          <w:rPr>
            <w:noProof/>
            <w:webHidden/>
          </w:rPr>
          <w:tab/>
        </w:r>
        <w:r>
          <w:rPr>
            <w:noProof/>
            <w:webHidden/>
          </w:rPr>
          <w:fldChar w:fldCharType="begin"/>
        </w:r>
        <w:r>
          <w:rPr>
            <w:noProof/>
            <w:webHidden/>
          </w:rPr>
          <w:instrText xml:space="preserve"> PAGEREF _Toc239176407 \h </w:instrText>
        </w:r>
        <w:r>
          <w:rPr>
            <w:noProof/>
            <w:webHidden/>
          </w:rPr>
        </w:r>
        <w:r>
          <w:rPr>
            <w:noProof/>
            <w:webHidden/>
          </w:rPr>
          <w:fldChar w:fldCharType="separate"/>
        </w:r>
        <w:r>
          <w:rPr>
            <w:noProof/>
            <w:webHidden/>
          </w:rPr>
          <w:t>19</w:t>
        </w:r>
        <w:r>
          <w:rPr>
            <w:noProof/>
            <w:webHidden/>
          </w:rPr>
          <w:fldChar w:fldCharType="end"/>
        </w:r>
      </w:hyperlink>
    </w:p>
    <w:p w14:paraId="2111036A" w14:textId="05C0D515"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8" w:history="1">
        <w:r w:rsidRPr="005D6259">
          <w:rPr>
            <w:rStyle w:val="Hyperlink"/>
            <w:noProof/>
          </w:rPr>
          <w:t>Microsoft Teams – Planos de Chamadas, Telefóne do Teams e Conferências de Áudio</w:t>
        </w:r>
        <w:r>
          <w:rPr>
            <w:noProof/>
            <w:webHidden/>
          </w:rPr>
          <w:tab/>
        </w:r>
        <w:r>
          <w:rPr>
            <w:noProof/>
            <w:webHidden/>
          </w:rPr>
          <w:fldChar w:fldCharType="begin"/>
        </w:r>
        <w:r>
          <w:rPr>
            <w:noProof/>
            <w:webHidden/>
          </w:rPr>
          <w:instrText xml:space="preserve"> PAGEREF _Toc239176408 \h </w:instrText>
        </w:r>
        <w:r>
          <w:rPr>
            <w:noProof/>
            <w:webHidden/>
          </w:rPr>
        </w:r>
        <w:r>
          <w:rPr>
            <w:noProof/>
            <w:webHidden/>
          </w:rPr>
          <w:fldChar w:fldCharType="separate"/>
        </w:r>
        <w:r>
          <w:rPr>
            <w:noProof/>
            <w:webHidden/>
          </w:rPr>
          <w:t>20</w:t>
        </w:r>
        <w:r>
          <w:rPr>
            <w:noProof/>
            <w:webHidden/>
          </w:rPr>
          <w:fldChar w:fldCharType="end"/>
        </w:r>
      </w:hyperlink>
    </w:p>
    <w:p w14:paraId="24BCBEAB" w14:textId="18AAD8B9" w:rsidR="004F0B8A" w:rsidRDefault="004F0B8A">
      <w:pPr>
        <w:pStyle w:val="TOC4"/>
        <w:rPr>
          <w:rFonts w:eastAsiaTheme="minorEastAsia"/>
          <w:smallCaps w:val="0"/>
          <w:noProof/>
          <w:kern w:val="2"/>
          <w:sz w:val="24"/>
          <w:szCs w:val="24"/>
          <w:lang w:val="en-US" w:eastAsia="zh-CN" w:bidi="he-IL"/>
          <w14:ligatures w14:val="standardContextual"/>
        </w:rPr>
      </w:pPr>
      <w:hyperlink w:anchor="_Toc239176409" w:history="1">
        <w:r w:rsidRPr="005D6259">
          <w:rPr>
            <w:rStyle w:val="Hyperlink"/>
            <w:noProof/>
          </w:rPr>
          <w:t>Microsoft Teams – Qualidade da Voz</w:t>
        </w:r>
        <w:r>
          <w:rPr>
            <w:noProof/>
            <w:webHidden/>
          </w:rPr>
          <w:tab/>
        </w:r>
        <w:r>
          <w:rPr>
            <w:noProof/>
            <w:webHidden/>
          </w:rPr>
          <w:fldChar w:fldCharType="begin"/>
        </w:r>
        <w:r>
          <w:rPr>
            <w:noProof/>
            <w:webHidden/>
          </w:rPr>
          <w:instrText xml:space="preserve"> PAGEREF _Toc239176409 \h </w:instrText>
        </w:r>
        <w:r>
          <w:rPr>
            <w:noProof/>
            <w:webHidden/>
          </w:rPr>
        </w:r>
        <w:r>
          <w:rPr>
            <w:noProof/>
            <w:webHidden/>
          </w:rPr>
          <w:fldChar w:fldCharType="separate"/>
        </w:r>
        <w:r>
          <w:rPr>
            <w:noProof/>
            <w:webHidden/>
          </w:rPr>
          <w:t>20</w:t>
        </w:r>
        <w:r>
          <w:rPr>
            <w:noProof/>
            <w:webHidden/>
          </w:rPr>
          <w:fldChar w:fldCharType="end"/>
        </w:r>
      </w:hyperlink>
    </w:p>
    <w:p w14:paraId="77EB72B2" w14:textId="20F299D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0" w:history="1">
        <w:r w:rsidRPr="005D6259">
          <w:rPr>
            <w:rStyle w:val="Hyperlink"/>
            <w:noProof/>
          </w:rPr>
          <w:t>Informações sobre Tendências Empresariais</w:t>
        </w:r>
        <w:r>
          <w:rPr>
            <w:noProof/>
            <w:webHidden/>
          </w:rPr>
          <w:tab/>
        </w:r>
        <w:r>
          <w:rPr>
            <w:noProof/>
            <w:webHidden/>
          </w:rPr>
          <w:fldChar w:fldCharType="begin"/>
        </w:r>
        <w:r>
          <w:rPr>
            <w:noProof/>
            <w:webHidden/>
          </w:rPr>
          <w:instrText xml:space="preserve"> PAGEREF _Toc239176410 \h </w:instrText>
        </w:r>
        <w:r>
          <w:rPr>
            <w:noProof/>
            <w:webHidden/>
          </w:rPr>
        </w:r>
        <w:r>
          <w:rPr>
            <w:noProof/>
            <w:webHidden/>
          </w:rPr>
          <w:fldChar w:fldCharType="separate"/>
        </w:r>
        <w:r>
          <w:rPr>
            <w:noProof/>
            <w:webHidden/>
          </w:rPr>
          <w:t>21</w:t>
        </w:r>
        <w:r>
          <w:rPr>
            <w:noProof/>
            <w:webHidden/>
          </w:rPr>
          <w:fldChar w:fldCharType="end"/>
        </w:r>
      </w:hyperlink>
    </w:p>
    <w:p w14:paraId="1E9C08EF" w14:textId="26049389"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1" w:history="1">
        <w:r w:rsidRPr="005D6259">
          <w:rPr>
            <w:rStyle w:val="Hyperlink"/>
            <w:noProof/>
          </w:rPr>
          <w:t>Viva Engage</w:t>
        </w:r>
        <w:r>
          <w:rPr>
            <w:noProof/>
            <w:webHidden/>
          </w:rPr>
          <w:tab/>
        </w:r>
        <w:r>
          <w:rPr>
            <w:noProof/>
            <w:webHidden/>
          </w:rPr>
          <w:fldChar w:fldCharType="begin"/>
        </w:r>
        <w:r>
          <w:rPr>
            <w:noProof/>
            <w:webHidden/>
          </w:rPr>
          <w:instrText xml:space="preserve"> PAGEREF _Toc239176411 \h </w:instrText>
        </w:r>
        <w:r>
          <w:rPr>
            <w:noProof/>
            <w:webHidden/>
          </w:rPr>
        </w:r>
        <w:r>
          <w:rPr>
            <w:noProof/>
            <w:webHidden/>
          </w:rPr>
          <w:fldChar w:fldCharType="separate"/>
        </w:r>
        <w:r>
          <w:rPr>
            <w:noProof/>
            <w:webHidden/>
          </w:rPr>
          <w:t>21</w:t>
        </w:r>
        <w:r>
          <w:rPr>
            <w:noProof/>
            <w:webHidden/>
          </w:rPr>
          <w:fldChar w:fldCharType="end"/>
        </w:r>
      </w:hyperlink>
    </w:p>
    <w:p w14:paraId="630F6C73" w14:textId="50812916" w:rsidR="004F0B8A" w:rsidRDefault="004F0B8A">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6412" w:history="1">
        <w:r w:rsidRPr="005D6259">
          <w:rPr>
            <w:rStyle w:val="Hyperlink"/>
            <w:noProof/>
          </w:rPr>
          <w:t>Serviços e Planos do Microsoft Azure</w:t>
        </w:r>
        <w:r>
          <w:rPr>
            <w:noProof/>
            <w:webHidden/>
          </w:rPr>
          <w:tab/>
        </w:r>
        <w:r>
          <w:rPr>
            <w:noProof/>
            <w:webHidden/>
          </w:rPr>
          <w:fldChar w:fldCharType="begin"/>
        </w:r>
        <w:r>
          <w:rPr>
            <w:noProof/>
            <w:webHidden/>
          </w:rPr>
          <w:instrText xml:space="preserve"> PAGEREF _Toc239176412 \h </w:instrText>
        </w:r>
        <w:r>
          <w:rPr>
            <w:noProof/>
            <w:webHidden/>
          </w:rPr>
        </w:r>
        <w:r>
          <w:rPr>
            <w:noProof/>
            <w:webHidden/>
          </w:rPr>
          <w:fldChar w:fldCharType="separate"/>
        </w:r>
        <w:r>
          <w:rPr>
            <w:noProof/>
            <w:webHidden/>
          </w:rPr>
          <w:t>22</w:t>
        </w:r>
        <w:r>
          <w:rPr>
            <w:noProof/>
            <w:webHidden/>
          </w:rPr>
          <w:fldChar w:fldCharType="end"/>
        </w:r>
      </w:hyperlink>
    </w:p>
    <w:p w14:paraId="61C05762" w14:textId="7E8F4F87"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3" w:history="1">
        <w:r w:rsidRPr="005D6259">
          <w:rPr>
            <w:rStyle w:val="Hyperlink"/>
            <w:noProof/>
            <w:lang w:val="pt-BR"/>
          </w:rPr>
          <w:t>Microsoft Entra ID</w:t>
        </w:r>
        <w:r>
          <w:rPr>
            <w:noProof/>
            <w:webHidden/>
          </w:rPr>
          <w:tab/>
        </w:r>
        <w:r>
          <w:rPr>
            <w:noProof/>
            <w:webHidden/>
          </w:rPr>
          <w:fldChar w:fldCharType="begin"/>
        </w:r>
        <w:r>
          <w:rPr>
            <w:noProof/>
            <w:webHidden/>
          </w:rPr>
          <w:instrText xml:space="preserve"> PAGEREF _Toc239176413 \h </w:instrText>
        </w:r>
        <w:r>
          <w:rPr>
            <w:noProof/>
            <w:webHidden/>
          </w:rPr>
        </w:r>
        <w:r>
          <w:rPr>
            <w:noProof/>
            <w:webHidden/>
          </w:rPr>
          <w:fldChar w:fldCharType="separate"/>
        </w:r>
        <w:r>
          <w:rPr>
            <w:noProof/>
            <w:webHidden/>
          </w:rPr>
          <w:t>22</w:t>
        </w:r>
        <w:r>
          <w:rPr>
            <w:noProof/>
            <w:webHidden/>
          </w:rPr>
          <w:fldChar w:fldCharType="end"/>
        </w:r>
      </w:hyperlink>
    </w:p>
    <w:p w14:paraId="2AE5421D" w14:textId="0252722C"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4" w:history="1">
        <w:r w:rsidRPr="005D6259">
          <w:rPr>
            <w:rStyle w:val="Hyperlink"/>
            <w:noProof/>
          </w:rPr>
          <w:t>Azure Active Directory B2C</w:t>
        </w:r>
        <w:r>
          <w:rPr>
            <w:noProof/>
            <w:webHidden/>
          </w:rPr>
          <w:tab/>
        </w:r>
        <w:r>
          <w:rPr>
            <w:noProof/>
            <w:webHidden/>
          </w:rPr>
          <w:fldChar w:fldCharType="begin"/>
        </w:r>
        <w:r>
          <w:rPr>
            <w:noProof/>
            <w:webHidden/>
          </w:rPr>
          <w:instrText xml:space="preserve"> PAGEREF _Toc239176414 \h </w:instrText>
        </w:r>
        <w:r>
          <w:rPr>
            <w:noProof/>
            <w:webHidden/>
          </w:rPr>
        </w:r>
        <w:r>
          <w:rPr>
            <w:noProof/>
            <w:webHidden/>
          </w:rPr>
          <w:fldChar w:fldCharType="separate"/>
        </w:r>
        <w:r>
          <w:rPr>
            <w:noProof/>
            <w:webHidden/>
          </w:rPr>
          <w:t>22</w:t>
        </w:r>
        <w:r>
          <w:rPr>
            <w:noProof/>
            <w:webHidden/>
          </w:rPr>
          <w:fldChar w:fldCharType="end"/>
        </w:r>
      </w:hyperlink>
    </w:p>
    <w:p w14:paraId="38262183" w14:textId="0C002EDE"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5" w:history="1">
        <w:r w:rsidRPr="005D6259">
          <w:rPr>
            <w:rStyle w:val="Hyperlink"/>
            <w:noProof/>
          </w:rPr>
          <w:t>Microsoft Entra Domain Services</w:t>
        </w:r>
        <w:r>
          <w:rPr>
            <w:noProof/>
            <w:webHidden/>
          </w:rPr>
          <w:tab/>
        </w:r>
        <w:r>
          <w:rPr>
            <w:noProof/>
            <w:webHidden/>
          </w:rPr>
          <w:fldChar w:fldCharType="begin"/>
        </w:r>
        <w:r>
          <w:rPr>
            <w:noProof/>
            <w:webHidden/>
          </w:rPr>
          <w:instrText xml:space="preserve"> PAGEREF _Toc239176415 \h </w:instrText>
        </w:r>
        <w:r>
          <w:rPr>
            <w:noProof/>
            <w:webHidden/>
          </w:rPr>
        </w:r>
        <w:r>
          <w:rPr>
            <w:noProof/>
            <w:webHidden/>
          </w:rPr>
          <w:fldChar w:fldCharType="separate"/>
        </w:r>
        <w:r>
          <w:rPr>
            <w:noProof/>
            <w:webHidden/>
          </w:rPr>
          <w:t>22</w:t>
        </w:r>
        <w:r>
          <w:rPr>
            <w:noProof/>
            <w:webHidden/>
          </w:rPr>
          <w:fldChar w:fldCharType="end"/>
        </w:r>
      </w:hyperlink>
    </w:p>
    <w:p w14:paraId="29E0634D" w14:textId="2BAF2A52"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6" w:history="1">
        <w:r w:rsidRPr="005D6259">
          <w:rPr>
            <w:rStyle w:val="Hyperlink"/>
            <w:noProof/>
          </w:rPr>
          <w:t>Analysis Services</w:t>
        </w:r>
        <w:r>
          <w:rPr>
            <w:noProof/>
            <w:webHidden/>
          </w:rPr>
          <w:tab/>
        </w:r>
        <w:r>
          <w:rPr>
            <w:noProof/>
            <w:webHidden/>
          </w:rPr>
          <w:fldChar w:fldCharType="begin"/>
        </w:r>
        <w:r>
          <w:rPr>
            <w:noProof/>
            <w:webHidden/>
          </w:rPr>
          <w:instrText xml:space="preserve"> PAGEREF _Toc239176416 \h </w:instrText>
        </w:r>
        <w:r>
          <w:rPr>
            <w:noProof/>
            <w:webHidden/>
          </w:rPr>
        </w:r>
        <w:r>
          <w:rPr>
            <w:noProof/>
            <w:webHidden/>
          </w:rPr>
          <w:fldChar w:fldCharType="separate"/>
        </w:r>
        <w:r>
          <w:rPr>
            <w:noProof/>
            <w:webHidden/>
          </w:rPr>
          <w:t>23</w:t>
        </w:r>
        <w:r>
          <w:rPr>
            <w:noProof/>
            <w:webHidden/>
          </w:rPr>
          <w:fldChar w:fldCharType="end"/>
        </w:r>
      </w:hyperlink>
    </w:p>
    <w:p w14:paraId="204E4A1B" w14:textId="1DE3DE23"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7" w:history="1">
        <w:r w:rsidRPr="005D6259">
          <w:rPr>
            <w:rStyle w:val="Hyperlink"/>
            <w:noProof/>
          </w:rPr>
          <w:t>Azure API for FHIR</w:t>
        </w:r>
        <w:r>
          <w:rPr>
            <w:noProof/>
            <w:webHidden/>
          </w:rPr>
          <w:tab/>
        </w:r>
        <w:r>
          <w:rPr>
            <w:noProof/>
            <w:webHidden/>
          </w:rPr>
          <w:fldChar w:fldCharType="begin"/>
        </w:r>
        <w:r>
          <w:rPr>
            <w:noProof/>
            <w:webHidden/>
          </w:rPr>
          <w:instrText xml:space="preserve"> PAGEREF _Toc239176417 \h </w:instrText>
        </w:r>
        <w:r>
          <w:rPr>
            <w:noProof/>
            <w:webHidden/>
          </w:rPr>
        </w:r>
        <w:r>
          <w:rPr>
            <w:noProof/>
            <w:webHidden/>
          </w:rPr>
          <w:fldChar w:fldCharType="separate"/>
        </w:r>
        <w:r>
          <w:rPr>
            <w:noProof/>
            <w:webHidden/>
          </w:rPr>
          <w:t>23</w:t>
        </w:r>
        <w:r>
          <w:rPr>
            <w:noProof/>
            <w:webHidden/>
          </w:rPr>
          <w:fldChar w:fldCharType="end"/>
        </w:r>
      </w:hyperlink>
    </w:p>
    <w:p w14:paraId="767DAC12" w14:textId="6F31E306"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8" w:history="1">
        <w:r w:rsidRPr="005D6259">
          <w:rPr>
            <w:rStyle w:val="Hyperlink"/>
            <w:noProof/>
          </w:rPr>
          <w:t>Servi</w:t>
        </w:r>
        <w:r w:rsidRPr="005D6259">
          <w:rPr>
            <w:rStyle w:val="Hyperlink"/>
            <w:rFonts w:ascii="Calibri Light (Heading)" w:hAnsi="Calibri Light (Heading)" w:cs="Calibri Light"/>
            <w:noProof/>
          </w:rPr>
          <w:t>ços do Centro de APIs</w:t>
        </w:r>
        <w:r>
          <w:rPr>
            <w:noProof/>
            <w:webHidden/>
          </w:rPr>
          <w:tab/>
        </w:r>
        <w:r>
          <w:rPr>
            <w:noProof/>
            <w:webHidden/>
          </w:rPr>
          <w:fldChar w:fldCharType="begin"/>
        </w:r>
        <w:r>
          <w:rPr>
            <w:noProof/>
            <w:webHidden/>
          </w:rPr>
          <w:instrText xml:space="preserve"> PAGEREF _Toc239176418 \h </w:instrText>
        </w:r>
        <w:r>
          <w:rPr>
            <w:noProof/>
            <w:webHidden/>
          </w:rPr>
        </w:r>
        <w:r>
          <w:rPr>
            <w:noProof/>
            <w:webHidden/>
          </w:rPr>
          <w:fldChar w:fldCharType="separate"/>
        </w:r>
        <w:r>
          <w:rPr>
            <w:noProof/>
            <w:webHidden/>
          </w:rPr>
          <w:t>24</w:t>
        </w:r>
        <w:r>
          <w:rPr>
            <w:noProof/>
            <w:webHidden/>
          </w:rPr>
          <w:fldChar w:fldCharType="end"/>
        </w:r>
      </w:hyperlink>
    </w:p>
    <w:p w14:paraId="4E3F2C91" w14:textId="7AE6BA32" w:rsidR="004F0B8A" w:rsidRDefault="004F0B8A">
      <w:pPr>
        <w:pStyle w:val="TOC4"/>
        <w:rPr>
          <w:rFonts w:eastAsiaTheme="minorEastAsia"/>
          <w:smallCaps w:val="0"/>
          <w:noProof/>
          <w:kern w:val="2"/>
          <w:sz w:val="24"/>
          <w:szCs w:val="24"/>
          <w:lang w:val="en-US" w:eastAsia="zh-CN" w:bidi="he-IL"/>
          <w14:ligatures w14:val="standardContextual"/>
        </w:rPr>
      </w:pPr>
      <w:hyperlink w:anchor="_Toc239176419" w:history="1">
        <w:r w:rsidRPr="005D6259">
          <w:rPr>
            <w:rStyle w:val="Hyperlink"/>
            <w:noProof/>
          </w:rPr>
          <w:t>API Management Services</w:t>
        </w:r>
        <w:r>
          <w:rPr>
            <w:noProof/>
            <w:webHidden/>
          </w:rPr>
          <w:tab/>
        </w:r>
        <w:r>
          <w:rPr>
            <w:noProof/>
            <w:webHidden/>
          </w:rPr>
          <w:fldChar w:fldCharType="begin"/>
        </w:r>
        <w:r>
          <w:rPr>
            <w:noProof/>
            <w:webHidden/>
          </w:rPr>
          <w:instrText xml:space="preserve"> PAGEREF _Toc239176419 \h </w:instrText>
        </w:r>
        <w:r>
          <w:rPr>
            <w:noProof/>
            <w:webHidden/>
          </w:rPr>
        </w:r>
        <w:r>
          <w:rPr>
            <w:noProof/>
            <w:webHidden/>
          </w:rPr>
          <w:fldChar w:fldCharType="separate"/>
        </w:r>
        <w:r>
          <w:rPr>
            <w:noProof/>
            <w:webHidden/>
          </w:rPr>
          <w:t>24</w:t>
        </w:r>
        <w:r>
          <w:rPr>
            <w:noProof/>
            <w:webHidden/>
          </w:rPr>
          <w:fldChar w:fldCharType="end"/>
        </w:r>
      </w:hyperlink>
    </w:p>
    <w:p w14:paraId="689DA498" w14:textId="183F1D62"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0" w:history="1">
        <w:r w:rsidRPr="005D6259">
          <w:rPr>
            <w:rStyle w:val="Hyperlink"/>
            <w:noProof/>
          </w:rPr>
          <w:t>App Center</w:t>
        </w:r>
        <w:r>
          <w:rPr>
            <w:noProof/>
            <w:webHidden/>
          </w:rPr>
          <w:tab/>
        </w:r>
        <w:r>
          <w:rPr>
            <w:noProof/>
            <w:webHidden/>
          </w:rPr>
          <w:fldChar w:fldCharType="begin"/>
        </w:r>
        <w:r>
          <w:rPr>
            <w:noProof/>
            <w:webHidden/>
          </w:rPr>
          <w:instrText xml:space="preserve"> PAGEREF _Toc239176420 \h </w:instrText>
        </w:r>
        <w:r>
          <w:rPr>
            <w:noProof/>
            <w:webHidden/>
          </w:rPr>
        </w:r>
        <w:r>
          <w:rPr>
            <w:noProof/>
            <w:webHidden/>
          </w:rPr>
          <w:fldChar w:fldCharType="separate"/>
        </w:r>
        <w:r>
          <w:rPr>
            <w:noProof/>
            <w:webHidden/>
          </w:rPr>
          <w:t>25</w:t>
        </w:r>
        <w:r>
          <w:rPr>
            <w:noProof/>
            <w:webHidden/>
          </w:rPr>
          <w:fldChar w:fldCharType="end"/>
        </w:r>
      </w:hyperlink>
    </w:p>
    <w:p w14:paraId="02C046F8" w14:textId="4D299038"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1" w:history="1">
        <w:r w:rsidRPr="005D6259">
          <w:rPr>
            <w:rStyle w:val="Hyperlink"/>
            <w:noProof/>
          </w:rPr>
          <w:t>App Configuration</w:t>
        </w:r>
        <w:r>
          <w:rPr>
            <w:noProof/>
            <w:webHidden/>
          </w:rPr>
          <w:tab/>
        </w:r>
        <w:r>
          <w:rPr>
            <w:noProof/>
            <w:webHidden/>
          </w:rPr>
          <w:fldChar w:fldCharType="begin"/>
        </w:r>
        <w:r>
          <w:rPr>
            <w:noProof/>
            <w:webHidden/>
          </w:rPr>
          <w:instrText xml:space="preserve"> PAGEREF _Toc239176421 \h </w:instrText>
        </w:r>
        <w:r>
          <w:rPr>
            <w:noProof/>
            <w:webHidden/>
          </w:rPr>
        </w:r>
        <w:r>
          <w:rPr>
            <w:noProof/>
            <w:webHidden/>
          </w:rPr>
          <w:fldChar w:fldCharType="separate"/>
        </w:r>
        <w:r>
          <w:rPr>
            <w:noProof/>
            <w:webHidden/>
          </w:rPr>
          <w:t>26</w:t>
        </w:r>
        <w:r>
          <w:rPr>
            <w:noProof/>
            <w:webHidden/>
          </w:rPr>
          <w:fldChar w:fldCharType="end"/>
        </w:r>
      </w:hyperlink>
    </w:p>
    <w:p w14:paraId="256F5337" w14:textId="4DBAD534"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2" w:history="1">
        <w:r w:rsidRPr="005D6259">
          <w:rPr>
            <w:rStyle w:val="Hyperlink"/>
            <w:noProof/>
          </w:rPr>
          <w:t>App Service</w:t>
        </w:r>
        <w:r>
          <w:rPr>
            <w:noProof/>
            <w:webHidden/>
          </w:rPr>
          <w:tab/>
        </w:r>
        <w:r>
          <w:rPr>
            <w:noProof/>
            <w:webHidden/>
          </w:rPr>
          <w:fldChar w:fldCharType="begin"/>
        </w:r>
        <w:r>
          <w:rPr>
            <w:noProof/>
            <w:webHidden/>
          </w:rPr>
          <w:instrText xml:space="preserve"> PAGEREF _Toc239176422 \h </w:instrText>
        </w:r>
        <w:r>
          <w:rPr>
            <w:noProof/>
            <w:webHidden/>
          </w:rPr>
        </w:r>
        <w:r>
          <w:rPr>
            <w:noProof/>
            <w:webHidden/>
          </w:rPr>
          <w:fldChar w:fldCharType="separate"/>
        </w:r>
        <w:r>
          <w:rPr>
            <w:noProof/>
            <w:webHidden/>
          </w:rPr>
          <w:t>26</w:t>
        </w:r>
        <w:r>
          <w:rPr>
            <w:noProof/>
            <w:webHidden/>
          </w:rPr>
          <w:fldChar w:fldCharType="end"/>
        </w:r>
      </w:hyperlink>
    </w:p>
    <w:p w14:paraId="3AD82486" w14:textId="641DC6AA"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3" w:history="1">
        <w:r w:rsidRPr="005D6259">
          <w:rPr>
            <w:rStyle w:val="Hyperlink"/>
            <w:noProof/>
          </w:rPr>
          <w:t>Gateway de Aplicação</w:t>
        </w:r>
        <w:r>
          <w:rPr>
            <w:noProof/>
            <w:webHidden/>
          </w:rPr>
          <w:tab/>
        </w:r>
        <w:r>
          <w:rPr>
            <w:noProof/>
            <w:webHidden/>
          </w:rPr>
          <w:fldChar w:fldCharType="begin"/>
        </w:r>
        <w:r>
          <w:rPr>
            <w:noProof/>
            <w:webHidden/>
          </w:rPr>
          <w:instrText xml:space="preserve"> PAGEREF _Toc239176423 \h </w:instrText>
        </w:r>
        <w:r>
          <w:rPr>
            <w:noProof/>
            <w:webHidden/>
          </w:rPr>
        </w:r>
        <w:r>
          <w:rPr>
            <w:noProof/>
            <w:webHidden/>
          </w:rPr>
          <w:fldChar w:fldCharType="separate"/>
        </w:r>
        <w:r>
          <w:rPr>
            <w:noProof/>
            <w:webHidden/>
          </w:rPr>
          <w:t>27</w:t>
        </w:r>
        <w:r>
          <w:rPr>
            <w:noProof/>
            <w:webHidden/>
          </w:rPr>
          <w:fldChar w:fldCharType="end"/>
        </w:r>
      </w:hyperlink>
    </w:p>
    <w:p w14:paraId="10FDF45C" w14:textId="7B1B234A"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4" w:history="1">
        <w:r w:rsidRPr="005D6259">
          <w:rPr>
            <w:rStyle w:val="Hyperlink"/>
            <w:noProof/>
          </w:rPr>
          <w:t>Gateway de Aplicação para Contentores</w:t>
        </w:r>
        <w:r>
          <w:rPr>
            <w:noProof/>
            <w:webHidden/>
          </w:rPr>
          <w:tab/>
        </w:r>
        <w:r>
          <w:rPr>
            <w:noProof/>
            <w:webHidden/>
          </w:rPr>
          <w:fldChar w:fldCharType="begin"/>
        </w:r>
        <w:r>
          <w:rPr>
            <w:noProof/>
            <w:webHidden/>
          </w:rPr>
          <w:instrText xml:space="preserve"> PAGEREF _Toc239176424 \h </w:instrText>
        </w:r>
        <w:r>
          <w:rPr>
            <w:noProof/>
            <w:webHidden/>
          </w:rPr>
        </w:r>
        <w:r>
          <w:rPr>
            <w:noProof/>
            <w:webHidden/>
          </w:rPr>
          <w:fldChar w:fldCharType="separate"/>
        </w:r>
        <w:r>
          <w:rPr>
            <w:noProof/>
            <w:webHidden/>
          </w:rPr>
          <w:t>28</w:t>
        </w:r>
        <w:r>
          <w:rPr>
            <w:noProof/>
            <w:webHidden/>
          </w:rPr>
          <w:fldChar w:fldCharType="end"/>
        </w:r>
      </w:hyperlink>
    </w:p>
    <w:p w14:paraId="7994326D" w14:textId="55D882D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5" w:history="1">
        <w:r w:rsidRPr="005D6259">
          <w:rPr>
            <w:rStyle w:val="Hyperlink"/>
            <w:noProof/>
          </w:rPr>
          <w:t>Application Insights</w:t>
        </w:r>
        <w:r>
          <w:rPr>
            <w:noProof/>
            <w:webHidden/>
          </w:rPr>
          <w:tab/>
        </w:r>
        <w:r>
          <w:rPr>
            <w:noProof/>
            <w:webHidden/>
          </w:rPr>
          <w:fldChar w:fldCharType="begin"/>
        </w:r>
        <w:r>
          <w:rPr>
            <w:noProof/>
            <w:webHidden/>
          </w:rPr>
          <w:instrText xml:space="preserve"> PAGEREF _Toc239176425 \h </w:instrText>
        </w:r>
        <w:r>
          <w:rPr>
            <w:noProof/>
            <w:webHidden/>
          </w:rPr>
        </w:r>
        <w:r>
          <w:rPr>
            <w:noProof/>
            <w:webHidden/>
          </w:rPr>
          <w:fldChar w:fldCharType="separate"/>
        </w:r>
        <w:r>
          <w:rPr>
            <w:noProof/>
            <w:webHidden/>
          </w:rPr>
          <w:t>28</w:t>
        </w:r>
        <w:r>
          <w:rPr>
            <w:noProof/>
            <w:webHidden/>
          </w:rPr>
          <w:fldChar w:fldCharType="end"/>
        </w:r>
      </w:hyperlink>
    </w:p>
    <w:p w14:paraId="455F8AF7" w14:textId="17A75060"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6" w:history="1">
        <w:r w:rsidRPr="005D6259">
          <w:rPr>
            <w:rStyle w:val="Hyperlink"/>
            <w:noProof/>
          </w:rPr>
          <w:t>Azure Arc</w:t>
        </w:r>
        <w:r>
          <w:rPr>
            <w:noProof/>
            <w:webHidden/>
          </w:rPr>
          <w:tab/>
        </w:r>
        <w:r>
          <w:rPr>
            <w:noProof/>
            <w:webHidden/>
          </w:rPr>
          <w:fldChar w:fldCharType="begin"/>
        </w:r>
        <w:r>
          <w:rPr>
            <w:noProof/>
            <w:webHidden/>
          </w:rPr>
          <w:instrText xml:space="preserve"> PAGEREF _Toc239176426 \h </w:instrText>
        </w:r>
        <w:r>
          <w:rPr>
            <w:noProof/>
            <w:webHidden/>
          </w:rPr>
        </w:r>
        <w:r>
          <w:rPr>
            <w:noProof/>
            <w:webHidden/>
          </w:rPr>
          <w:fldChar w:fldCharType="separate"/>
        </w:r>
        <w:r>
          <w:rPr>
            <w:noProof/>
            <w:webHidden/>
          </w:rPr>
          <w:t>29</w:t>
        </w:r>
        <w:r>
          <w:rPr>
            <w:noProof/>
            <w:webHidden/>
          </w:rPr>
          <w:fldChar w:fldCharType="end"/>
        </w:r>
      </w:hyperlink>
    </w:p>
    <w:p w14:paraId="7D62F9DF" w14:textId="4540B2B9"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7" w:history="1">
        <w:r w:rsidRPr="005D6259">
          <w:rPr>
            <w:rStyle w:val="Hyperlink"/>
            <w:noProof/>
          </w:rPr>
          <w:t>Automatização</w:t>
        </w:r>
        <w:r>
          <w:rPr>
            <w:noProof/>
            <w:webHidden/>
          </w:rPr>
          <w:tab/>
        </w:r>
        <w:r>
          <w:rPr>
            <w:noProof/>
            <w:webHidden/>
          </w:rPr>
          <w:fldChar w:fldCharType="begin"/>
        </w:r>
        <w:r>
          <w:rPr>
            <w:noProof/>
            <w:webHidden/>
          </w:rPr>
          <w:instrText xml:space="preserve"> PAGEREF _Toc239176427 \h </w:instrText>
        </w:r>
        <w:r>
          <w:rPr>
            <w:noProof/>
            <w:webHidden/>
          </w:rPr>
        </w:r>
        <w:r>
          <w:rPr>
            <w:noProof/>
            <w:webHidden/>
          </w:rPr>
          <w:fldChar w:fldCharType="separate"/>
        </w:r>
        <w:r>
          <w:rPr>
            <w:noProof/>
            <w:webHidden/>
          </w:rPr>
          <w:t>29</w:t>
        </w:r>
        <w:r>
          <w:rPr>
            <w:noProof/>
            <w:webHidden/>
          </w:rPr>
          <w:fldChar w:fldCharType="end"/>
        </w:r>
      </w:hyperlink>
    </w:p>
    <w:p w14:paraId="5918DF8A" w14:textId="721E2CA5"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8" w:history="1">
        <w:r w:rsidRPr="005D6259">
          <w:rPr>
            <w:rStyle w:val="Hyperlink"/>
            <w:noProof/>
          </w:rPr>
          <w:t>Azure Backup</w:t>
        </w:r>
        <w:r>
          <w:rPr>
            <w:noProof/>
            <w:webHidden/>
          </w:rPr>
          <w:tab/>
        </w:r>
        <w:r>
          <w:rPr>
            <w:noProof/>
            <w:webHidden/>
          </w:rPr>
          <w:fldChar w:fldCharType="begin"/>
        </w:r>
        <w:r>
          <w:rPr>
            <w:noProof/>
            <w:webHidden/>
          </w:rPr>
          <w:instrText xml:space="preserve"> PAGEREF _Toc239176428 \h </w:instrText>
        </w:r>
        <w:r>
          <w:rPr>
            <w:noProof/>
            <w:webHidden/>
          </w:rPr>
        </w:r>
        <w:r>
          <w:rPr>
            <w:noProof/>
            <w:webHidden/>
          </w:rPr>
          <w:fldChar w:fldCharType="separate"/>
        </w:r>
        <w:r>
          <w:rPr>
            <w:noProof/>
            <w:webHidden/>
          </w:rPr>
          <w:t>30</w:t>
        </w:r>
        <w:r>
          <w:rPr>
            <w:noProof/>
            <w:webHidden/>
          </w:rPr>
          <w:fldChar w:fldCharType="end"/>
        </w:r>
      </w:hyperlink>
    </w:p>
    <w:p w14:paraId="2A4490F8" w14:textId="45FCB646" w:rsidR="004F0B8A" w:rsidRDefault="004F0B8A">
      <w:pPr>
        <w:pStyle w:val="TOC4"/>
        <w:rPr>
          <w:rFonts w:eastAsiaTheme="minorEastAsia"/>
          <w:smallCaps w:val="0"/>
          <w:noProof/>
          <w:kern w:val="2"/>
          <w:sz w:val="24"/>
          <w:szCs w:val="24"/>
          <w:lang w:val="en-US" w:eastAsia="zh-CN" w:bidi="he-IL"/>
          <w14:ligatures w14:val="standardContextual"/>
        </w:rPr>
      </w:pPr>
      <w:hyperlink w:anchor="_Toc239176429" w:history="1">
        <w:r w:rsidRPr="005D6259">
          <w:rPr>
            <w:rStyle w:val="Hyperlink"/>
            <w:noProof/>
          </w:rPr>
          <w:t>Azure Bastion</w:t>
        </w:r>
        <w:r>
          <w:rPr>
            <w:noProof/>
            <w:webHidden/>
          </w:rPr>
          <w:tab/>
        </w:r>
        <w:r>
          <w:rPr>
            <w:noProof/>
            <w:webHidden/>
          </w:rPr>
          <w:fldChar w:fldCharType="begin"/>
        </w:r>
        <w:r>
          <w:rPr>
            <w:noProof/>
            <w:webHidden/>
          </w:rPr>
          <w:instrText xml:space="preserve"> PAGEREF _Toc239176429 \h </w:instrText>
        </w:r>
        <w:r>
          <w:rPr>
            <w:noProof/>
            <w:webHidden/>
          </w:rPr>
        </w:r>
        <w:r>
          <w:rPr>
            <w:noProof/>
            <w:webHidden/>
          </w:rPr>
          <w:fldChar w:fldCharType="separate"/>
        </w:r>
        <w:r>
          <w:rPr>
            <w:noProof/>
            <w:webHidden/>
          </w:rPr>
          <w:t>30</w:t>
        </w:r>
        <w:r>
          <w:rPr>
            <w:noProof/>
            <w:webHidden/>
          </w:rPr>
          <w:fldChar w:fldCharType="end"/>
        </w:r>
      </w:hyperlink>
    </w:p>
    <w:p w14:paraId="237A39C9" w14:textId="39C603EB"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0" w:history="1">
        <w:r w:rsidRPr="005D6259">
          <w:rPr>
            <w:rStyle w:val="Hyperlink"/>
            <w:noProof/>
          </w:rPr>
          <w:t>Batch</w:t>
        </w:r>
        <w:r>
          <w:rPr>
            <w:noProof/>
            <w:webHidden/>
          </w:rPr>
          <w:tab/>
        </w:r>
        <w:r>
          <w:rPr>
            <w:noProof/>
            <w:webHidden/>
          </w:rPr>
          <w:fldChar w:fldCharType="begin"/>
        </w:r>
        <w:r>
          <w:rPr>
            <w:noProof/>
            <w:webHidden/>
          </w:rPr>
          <w:instrText xml:space="preserve"> PAGEREF _Toc239176430 \h </w:instrText>
        </w:r>
        <w:r>
          <w:rPr>
            <w:noProof/>
            <w:webHidden/>
          </w:rPr>
        </w:r>
        <w:r>
          <w:rPr>
            <w:noProof/>
            <w:webHidden/>
          </w:rPr>
          <w:fldChar w:fldCharType="separate"/>
        </w:r>
        <w:r>
          <w:rPr>
            <w:noProof/>
            <w:webHidden/>
          </w:rPr>
          <w:t>31</w:t>
        </w:r>
        <w:r>
          <w:rPr>
            <w:noProof/>
            <w:webHidden/>
          </w:rPr>
          <w:fldChar w:fldCharType="end"/>
        </w:r>
      </w:hyperlink>
    </w:p>
    <w:p w14:paraId="230796A2" w14:textId="68A38712"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1" w:history="1">
        <w:r w:rsidRPr="005D6259">
          <w:rPr>
            <w:rStyle w:val="Hyperlink"/>
            <w:noProof/>
          </w:rPr>
          <w:t>Serviços BizTalk</w:t>
        </w:r>
        <w:r>
          <w:rPr>
            <w:noProof/>
            <w:webHidden/>
          </w:rPr>
          <w:tab/>
        </w:r>
        <w:r>
          <w:rPr>
            <w:noProof/>
            <w:webHidden/>
          </w:rPr>
          <w:fldChar w:fldCharType="begin"/>
        </w:r>
        <w:r>
          <w:rPr>
            <w:noProof/>
            <w:webHidden/>
          </w:rPr>
          <w:instrText xml:space="preserve"> PAGEREF _Toc239176431 \h </w:instrText>
        </w:r>
        <w:r>
          <w:rPr>
            <w:noProof/>
            <w:webHidden/>
          </w:rPr>
        </w:r>
        <w:r>
          <w:rPr>
            <w:noProof/>
            <w:webHidden/>
          </w:rPr>
          <w:fldChar w:fldCharType="separate"/>
        </w:r>
        <w:r>
          <w:rPr>
            <w:noProof/>
            <w:webHidden/>
          </w:rPr>
          <w:t>31</w:t>
        </w:r>
        <w:r>
          <w:rPr>
            <w:noProof/>
            <w:webHidden/>
          </w:rPr>
          <w:fldChar w:fldCharType="end"/>
        </w:r>
      </w:hyperlink>
    </w:p>
    <w:p w14:paraId="752A8AAF" w14:textId="5D7ED48B"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2" w:history="1">
        <w:r w:rsidRPr="005D6259">
          <w:rPr>
            <w:rStyle w:val="Hyperlink"/>
            <w:noProof/>
          </w:rPr>
          <w:t>Azure Bot Service</w:t>
        </w:r>
        <w:r>
          <w:rPr>
            <w:noProof/>
            <w:webHidden/>
          </w:rPr>
          <w:tab/>
        </w:r>
        <w:r>
          <w:rPr>
            <w:noProof/>
            <w:webHidden/>
          </w:rPr>
          <w:fldChar w:fldCharType="begin"/>
        </w:r>
        <w:r>
          <w:rPr>
            <w:noProof/>
            <w:webHidden/>
          </w:rPr>
          <w:instrText xml:space="preserve"> PAGEREF _Toc239176432 \h </w:instrText>
        </w:r>
        <w:r>
          <w:rPr>
            <w:noProof/>
            <w:webHidden/>
          </w:rPr>
        </w:r>
        <w:r>
          <w:rPr>
            <w:noProof/>
            <w:webHidden/>
          </w:rPr>
          <w:fldChar w:fldCharType="separate"/>
        </w:r>
        <w:r>
          <w:rPr>
            <w:noProof/>
            <w:webHidden/>
          </w:rPr>
          <w:t>32</w:t>
        </w:r>
        <w:r>
          <w:rPr>
            <w:noProof/>
            <w:webHidden/>
          </w:rPr>
          <w:fldChar w:fldCharType="end"/>
        </w:r>
      </w:hyperlink>
    </w:p>
    <w:p w14:paraId="7C174080" w14:textId="2ED4CCC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3" w:history="1">
        <w:r w:rsidRPr="005D6259">
          <w:rPr>
            <w:rStyle w:val="Hyperlink"/>
            <w:noProof/>
          </w:rPr>
          <w:t>Cache do Azure para Redis</w:t>
        </w:r>
        <w:r>
          <w:rPr>
            <w:noProof/>
            <w:webHidden/>
          </w:rPr>
          <w:tab/>
        </w:r>
        <w:r>
          <w:rPr>
            <w:noProof/>
            <w:webHidden/>
          </w:rPr>
          <w:fldChar w:fldCharType="begin"/>
        </w:r>
        <w:r>
          <w:rPr>
            <w:noProof/>
            <w:webHidden/>
          </w:rPr>
          <w:instrText xml:space="preserve"> PAGEREF _Toc239176433 \h </w:instrText>
        </w:r>
        <w:r>
          <w:rPr>
            <w:noProof/>
            <w:webHidden/>
          </w:rPr>
        </w:r>
        <w:r>
          <w:rPr>
            <w:noProof/>
            <w:webHidden/>
          </w:rPr>
          <w:fldChar w:fldCharType="separate"/>
        </w:r>
        <w:r>
          <w:rPr>
            <w:noProof/>
            <w:webHidden/>
          </w:rPr>
          <w:t>32</w:t>
        </w:r>
        <w:r>
          <w:rPr>
            <w:noProof/>
            <w:webHidden/>
          </w:rPr>
          <w:fldChar w:fldCharType="end"/>
        </w:r>
      </w:hyperlink>
    </w:p>
    <w:p w14:paraId="2312621E" w14:textId="107DC3AC"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4" w:history="1">
        <w:r w:rsidRPr="005D6259">
          <w:rPr>
            <w:rStyle w:val="Hyperlink"/>
            <w:rFonts w:ascii="Calibri Light" w:hAnsi="Calibri Light" w:cs="Calibri Light"/>
            <w:noProof/>
          </w:rPr>
          <w:t>Blocos de Capacidade</w:t>
        </w:r>
        <w:r>
          <w:rPr>
            <w:noProof/>
            <w:webHidden/>
          </w:rPr>
          <w:tab/>
        </w:r>
        <w:r>
          <w:rPr>
            <w:noProof/>
            <w:webHidden/>
          </w:rPr>
          <w:fldChar w:fldCharType="begin"/>
        </w:r>
        <w:r>
          <w:rPr>
            <w:noProof/>
            <w:webHidden/>
          </w:rPr>
          <w:instrText xml:space="preserve"> PAGEREF _Toc239176434 \h </w:instrText>
        </w:r>
        <w:r>
          <w:rPr>
            <w:noProof/>
            <w:webHidden/>
          </w:rPr>
        </w:r>
        <w:r>
          <w:rPr>
            <w:noProof/>
            <w:webHidden/>
          </w:rPr>
          <w:fldChar w:fldCharType="separate"/>
        </w:r>
        <w:r>
          <w:rPr>
            <w:noProof/>
            <w:webHidden/>
          </w:rPr>
          <w:t>33</w:t>
        </w:r>
        <w:r>
          <w:rPr>
            <w:noProof/>
            <w:webHidden/>
          </w:rPr>
          <w:fldChar w:fldCharType="end"/>
        </w:r>
      </w:hyperlink>
    </w:p>
    <w:p w14:paraId="134AD6DE" w14:textId="7594CD85"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5" w:history="1">
        <w:r w:rsidRPr="005D6259">
          <w:rPr>
            <w:rStyle w:val="Hyperlink"/>
            <w:noProof/>
          </w:rPr>
          <w:t>Azure Managed Redis</w:t>
        </w:r>
        <w:r>
          <w:rPr>
            <w:noProof/>
            <w:webHidden/>
          </w:rPr>
          <w:tab/>
        </w:r>
        <w:r>
          <w:rPr>
            <w:noProof/>
            <w:webHidden/>
          </w:rPr>
          <w:fldChar w:fldCharType="begin"/>
        </w:r>
        <w:r>
          <w:rPr>
            <w:noProof/>
            <w:webHidden/>
          </w:rPr>
          <w:instrText xml:space="preserve"> PAGEREF _Toc239176435 \h </w:instrText>
        </w:r>
        <w:r>
          <w:rPr>
            <w:noProof/>
            <w:webHidden/>
          </w:rPr>
        </w:r>
        <w:r>
          <w:rPr>
            <w:noProof/>
            <w:webHidden/>
          </w:rPr>
          <w:fldChar w:fldCharType="separate"/>
        </w:r>
        <w:r>
          <w:rPr>
            <w:noProof/>
            <w:webHidden/>
          </w:rPr>
          <w:t>34</w:t>
        </w:r>
        <w:r>
          <w:rPr>
            <w:noProof/>
            <w:webHidden/>
          </w:rPr>
          <w:fldChar w:fldCharType="end"/>
        </w:r>
      </w:hyperlink>
    </w:p>
    <w:p w14:paraId="3921BE71" w14:textId="79B5E9C4"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6" w:history="1">
        <w:r w:rsidRPr="005D6259">
          <w:rPr>
            <w:rStyle w:val="Hyperlink"/>
            <w:noProof/>
          </w:rPr>
          <w:t>Azure Chaos Studio</w:t>
        </w:r>
        <w:r>
          <w:rPr>
            <w:noProof/>
            <w:webHidden/>
          </w:rPr>
          <w:tab/>
        </w:r>
        <w:r>
          <w:rPr>
            <w:noProof/>
            <w:webHidden/>
          </w:rPr>
          <w:fldChar w:fldCharType="begin"/>
        </w:r>
        <w:r>
          <w:rPr>
            <w:noProof/>
            <w:webHidden/>
          </w:rPr>
          <w:instrText xml:space="preserve"> PAGEREF _Toc239176436 \h </w:instrText>
        </w:r>
        <w:r>
          <w:rPr>
            <w:noProof/>
            <w:webHidden/>
          </w:rPr>
        </w:r>
        <w:r>
          <w:rPr>
            <w:noProof/>
            <w:webHidden/>
          </w:rPr>
          <w:fldChar w:fldCharType="separate"/>
        </w:r>
        <w:r>
          <w:rPr>
            <w:noProof/>
            <w:webHidden/>
          </w:rPr>
          <w:t>35</w:t>
        </w:r>
        <w:r>
          <w:rPr>
            <w:noProof/>
            <w:webHidden/>
          </w:rPr>
          <w:fldChar w:fldCharType="end"/>
        </w:r>
      </w:hyperlink>
    </w:p>
    <w:p w14:paraId="5E93CCF1" w14:textId="7800B51D"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7" w:history="1">
        <w:r w:rsidRPr="005D6259">
          <w:rPr>
            <w:rStyle w:val="Hyperlink"/>
            <w:rFonts w:ascii="Calibri Light" w:hAnsi="Calibri Light" w:cs="Calibri Light"/>
            <w:noProof/>
          </w:rPr>
          <w:t>Cloud MSH do Azure</w:t>
        </w:r>
        <w:r>
          <w:rPr>
            <w:noProof/>
            <w:webHidden/>
          </w:rPr>
          <w:tab/>
        </w:r>
        <w:r>
          <w:rPr>
            <w:noProof/>
            <w:webHidden/>
          </w:rPr>
          <w:fldChar w:fldCharType="begin"/>
        </w:r>
        <w:r>
          <w:rPr>
            <w:noProof/>
            <w:webHidden/>
          </w:rPr>
          <w:instrText xml:space="preserve"> PAGEREF _Toc239176437 \h </w:instrText>
        </w:r>
        <w:r>
          <w:rPr>
            <w:noProof/>
            <w:webHidden/>
          </w:rPr>
        </w:r>
        <w:r>
          <w:rPr>
            <w:noProof/>
            <w:webHidden/>
          </w:rPr>
          <w:fldChar w:fldCharType="separate"/>
        </w:r>
        <w:r>
          <w:rPr>
            <w:noProof/>
            <w:webHidden/>
          </w:rPr>
          <w:t>36</w:t>
        </w:r>
        <w:r>
          <w:rPr>
            <w:noProof/>
            <w:webHidden/>
          </w:rPr>
          <w:fldChar w:fldCharType="end"/>
        </w:r>
      </w:hyperlink>
    </w:p>
    <w:p w14:paraId="672A15DC" w14:textId="4B1FEBB7"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8" w:history="1">
        <w:r w:rsidRPr="005D6259">
          <w:rPr>
            <w:rStyle w:val="Hyperlink"/>
            <w:noProof/>
          </w:rPr>
          <w:t>Serviços em Nuvem</w:t>
        </w:r>
        <w:r>
          <w:rPr>
            <w:noProof/>
            <w:webHidden/>
          </w:rPr>
          <w:tab/>
        </w:r>
        <w:r>
          <w:rPr>
            <w:noProof/>
            <w:webHidden/>
          </w:rPr>
          <w:fldChar w:fldCharType="begin"/>
        </w:r>
        <w:r>
          <w:rPr>
            <w:noProof/>
            <w:webHidden/>
          </w:rPr>
          <w:instrText xml:space="preserve"> PAGEREF _Toc239176438 \h </w:instrText>
        </w:r>
        <w:r>
          <w:rPr>
            <w:noProof/>
            <w:webHidden/>
          </w:rPr>
        </w:r>
        <w:r>
          <w:rPr>
            <w:noProof/>
            <w:webHidden/>
          </w:rPr>
          <w:fldChar w:fldCharType="separate"/>
        </w:r>
        <w:r>
          <w:rPr>
            <w:noProof/>
            <w:webHidden/>
          </w:rPr>
          <w:t>36</w:t>
        </w:r>
        <w:r>
          <w:rPr>
            <w:noProof/>
            <w:webHidden/>
          </w:rPr>
          <w:fldChar w:fldCharType="end"/>
        </w:r>
      </w:hyperlink>
    </w:p>
    <w:p w14:paraId="549590BB" w14:textId="578A0B7B" w:rsidR="004F0B8A" w:rsidRDefault="004F0B8A">
      <w:pPr>
        <w:pStyle w:val="TOC4"/>
        <w:rPr>
          <w:rFonts w:eastAsiaTheme="minorEastAsia"/>
          <w:smallCaps w:val="0"/>
          <w:noProof/>
          <w:kern w:val="2"/>
          <w:sz w:val="24"/>
          <w:szCs w:val="24"/>
          <w:lang w:val="en-US" w:eastAsia="zh-CN" w:bidi="he-IL"/>
          <w14:ligatures w14:val="standardContextual"/>
        </w:rPr>
      </w:pPr>
      <w:hyperlink w:anchor="_Toc239176439" w:history="1">
        <w:r w:rsidRPr="005D6259">
          <w:rPr>
            <w:rStyle w:val="Hyperlink"/>
            <w:noProof/>
          </w:rPr>
          <w:t>Azure AI Search</w:t>
        </w:r>
        <w:r>
          <w:rPr>
            <w:noProof/>
            <w:webHidden/>
          </w:rPr>
          <w:tab/>
        </w:r>
        <w:r>
          <w:rPr>
            <w:noProof/>
            <w:webHidden/>
          </w:rPr>
          <w:fldChar w:fldCharType="begin"/>
        </w:r>
        <w:r>
          <w:rPr>
            <w:noProof/>
            <w:webHidden/>
          </w:rPr>
          <w:instrText xml:space="preserve"> PAGEREF _Toc239176439 \h </w:instrText>
        </w:r>
        <w:r>
          <w:rPr>
            <w:noProof/>
            <w:webHidden/>
          </w:rPr>
        </w:r>
        <w:r>
          <w:rPr>
            <w:noProof/>
            <w:webHidden/>
          </w:rPr>
          <w:fldChar w:fldCharType="separate"/>
        </w:r>
        <w:r>
          <w:rPr>
            <w:noProof/>
            <w:webHidden/>
          </w:rPr>
          <w:t>37</w:t>
        </w:r>
        <w:r>
          <w:rPr>
            <w:noProof/>
            <w:webHidden/>
          </w:rPr>
          <w:fldChar w:fldCharType="end"/>
        </w:r>
      </w:hyperlink>
    </w:p>
    <w:p w14:paraId="08DE40C9" w14:textId="781C69E7"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0" w:history="1">
        <w:r w:rsidRPr="005D6259">
          <w:rPr>
            <w:rStyle w:val="Hyperlink"/>
            <w:noProof/>
          </w:rPr>
          <w:t xml:space="preserve">Serviços </w:t>
        </w:r>
        <w:r w:rsidRPr="005D6259">
          <w:rPr>
            <w:rStyle w:val="Hyperlink"/>
            <w:rFonts w:ascii="Calibri Light" w:hAnsi="Calibri Light" w:cs="Calibri Light"/>
            <w:noProof/>
          </w:rPr>
          <w:t xml:space="preserve">de IA do </w:t>
        </w:r>
        <w:r w:rsidRPr="005D6259">
          <w:rPr>
            <w:rStyle w:val="Hyperlink"/>
            <w:noProof/>
          </w:rPr>
          <w:t>Azure</w:t>
        </w:r>
        <w:r>
          <w:rPr>
            <w:noProof/>
            <w:webHidden/>
          </w:rPr>
          <w:tab/>
        </w:r>
        <w:r>
          <w:rPr>
            <w:noProof/>
            <w:webHidden/>
          </w:rPr>
          <w:fldChar w:fldCharType="begin"/>
        </w:r>
        <w:r>
          <w:rPr>
            <w:noProof/>
            <w:webHidden/>
          </w:rPr>
          <w:instrText xml:space="preserve"> PAGEREF _Toc239176440 \h </w:instrText>
        </w:r>
        <w:r>
          <w:rPr>
            <w:noProof/>
            <w:webHidden/>
          </w:rPr>
        </w:r>
        <w:r>
          <w:rPr>
            <w:noProof/>
            <w:webHidden/>
          </w:rPr>
          <w:fldChar w:fldCharType="separate"/>
        </w:r>
        <w:r>
          <w:rPr>
            <w:noProof/>
            <w:webHidden/>
          </w:rPr>
          <w:t>37</w:t>
        </w:r>
        <w:r>
          <w:rPr>
            <w:noProof/>
            <w:webHidden/>
          </w:rPr>
          <w:fldChar w:fldCharType="end"/>
        </w:r>
      </w:hyperlink>
    </w:p>
    <w:p w14:paraId="5168133E" w14:textId="2CEFDF36"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1" w:history="1">
        <w:r w:rsidRPr="005D6259">
          <w:rPr>
            <w:rStyle w:val="Hyperlink"/>
            <w:noProof/>
          </w:rPr>
          <w:t>Azure Communication Gateway</w:t>
        </w:r>
        <w:r>
          <w:rPr>
            <w:noProof/>
            <w:webHidden/>
          </w:rPr>
          <w:tab/>
        </w:r>
        <w:r>
          <w:rPr>
            <w:noProof/>
            <w:webHidden/>
          </w:rPr>
          <w:fldChar w:fldCharType="begin"/>
        </w:r>
        <w:r>
          <w:rPr>
            <w:noProof/>
            <w:webHidden/>
          </w:rPr>
          <w:instrText xml:space="preserve"> PAGEREF _Toc239176441 \h </w:instrText>
        </w:r>
        <w:r>
          <w:rPr>
            <w:noProof/>
            <w:webHidden/>
          </w:rPr>
        </w:r>
        <w:r>
          <w:rPr>
            <w:noProof/>
            <w:webHidden/>
          </w:rPr>
          <w:fldChar w:fldCharType="separate"/>
        </w:r>
        <w:r>
          <w:rPr>
            <w:noProof/>
            <w:webHidden/>
          </w:rPr>
          <w:t>38</w:t>
        </w:r>
        <w:r>
          <w:rPr>
            <w:noProof/>
            <w:webHidden/>
          </w:rPr>
          <w:fldChar w:fldCharType="end"/>
        </w:r>
      </w:hyperlink>
    </w:p>
    <w:p w14:paraId="20B72284" w14:textId="4E78FE2D"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2" w:history="1">
        <w:r w:rsidRPr="005D6259">
          <w:rPr>
            <w:rStyle w:val="Hyperlink"/>
            <w:noProof/>
          </w:rPr>
          <w:t>Azure Communication Services</w:t>
        </w:r>
        <w:r>
          <w:rPr>
            <w:noProof/>
            <w:webHidden/>
          </w:rPr>
          <w:tab/>
        </w:r>
        <w:r>
          <w:rPr>
            <w:noProof/>
            <w:webHidden/>
          </w:rPr>
          <w:fldChar w:fldCharType="begin"/>
        </w:r>
        <w:r>
          <w:rPr>
            <w:noProof/>
            <w:webHidden/>
          </w:rPr>
          <w:instrText xml:space="preserve"> PAGEREF _Toc239176442 \h </w:instrText>
        </w:r>
        <w:r>
          <w:rPr>
            <w:noProof/>
            <w:webHidden/>
          </w:rPr>
        </w:r>
        <w:r>
          <w:rPr>
            <w:noProof/>
            <w:webHidden/>
          </w:rPr>
          <w:fldChar w:fldCharType="separate"/>
        </w:r>
        <w:r>
          <w:rPr>
            <w:noProof/>
            <w:webHidden/>
          </w:rPr>
          <w:t>38</w:t>
        </w:r>
        <w:r>
          <w:rPr>
            <w:noProof/>
            <w:webHidden/>
          </w:rPr>
          <w:fldChar w:fldCharType="end"/>
        </w:r>
      </w:hyperlink>
    </w:p>
    <w:p w14:paraId="2CB3F87F" w14:textId="4C3669E3"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3" w:history="1">
        <w:r w:rsidRPr="005D6259">
          <w:rPr>
            <w:rStyle w:val="Hyperlink"/>
            <w:noProof/>
          </w:rPr>
          <w:t>Azure Confidential Ledger</w:t>
        </w:r>
        <w:r>
          <w:rPr>
            <w:noProof/>
            <w:webHidden/>
          </w:rPr>
          <w:tab/>
        </w:r>
        <w:r>
          <w:rPr>
            <w:noProof/>
            <w:webHidden/>
          </w:rPr>
          <w:fldChar w:fldCharType="begin"/>
        </w:r>
        <w:r>
          <w:rPr>
            <w:noProof/>
            <w:webHidden/>
          </w:rPr>
          <w:instrText xml:space="preserve"> PAGEREF _Toc239176443 \h </w:instrText>
        </w:r>
        <w:r>
          <w:rPr>
            <w:noProof/>
            <w:webHidden/>
          </w:rPr>
        </w:r>
        <w:r>
          <w:rPr>
            <w:noProof/>
            <w:webHidden/>
          </w:rPr>
          <w:fldChar w:fldCharType="separate"/>
        </w:r>
        <w:r>
          <w:rPr>
            <w:noProof/>
            <w:webHidden/>
          </w:rPr>
          <w:t>38</w:t>
        </w:r>
        <w:r>
          <w:rPr>
            <w:noProof/>
            <w:webHidden/>
          </w:rPr>
          <w:fldChar w:fldCharType="end"/>
        </w:r>
      </w:hyperlink>
    </w:p>
    <w:p w14:paraId="0F50F21D" w14:textId="47343152"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4" w:history="1">
        <w:r w:rsidRPr="005D6259">
          <w:rPr>
            <w:rStyle w:val="Hyperlink"/>
            <w:noProof/>
          </w:rPr>
          <w:t>Azure Container Apps</w:t>
        </w:r>
        <w:r>
          <w:rPr>
            <w:noProof/>
            <w:webHidden/>
          </w:rPr>
          <w:tab/>
        </w:r>
        <w:r>
          <w:rPr>
            <w:noProof/>
            <w:webHidden/>
          </w:rPr>
          <w:fldChar w:fldCharType="begin"/>
        </w:r>
        <w:r>
          <w:rPr>
            <w:noProof/>
            <w:webHidden/>
          </w:rPr>
          <w:instrText xml:space="preserve"> PAGEREF _Toc239176444 \h </w:instrText>
        </w:r>
        <w:r>
          <w:rPr>
            <w:noProof/>
            <w:webHidden/>
          </w:rPr>
        </w:r>
        <w:r>
          <w:rPr>
            <w:noProof/>
            <w:webHidden/>
          </w:rPr>
          <w:fldChar w:fldCharType="separate"/>
        </w:r>
        <w:r>
          <w:rPr>
            <w:noProof/>
            <w:webHidden/>
          </w:rPr>
          <w:t>39</w:t>
        </w:r>
        <w:r>
          <w:rPr>
            <w:noProof/>
            <w:webHidden/>
          </w:rPr>
          <w:fldChar w:fldCharType="end"/>
        </w:r>
      </w:hyperlink>
    </w:p>
    <w:p w14:paraId="2F64EB13" w14:textId="2EAE560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5" w:history="1">
        <w:r w:rsidRPr="005D6259">
          <w:rPr>
            <w:rStyle w:val="Hyperlink"/>
            <w:noProof/>
          </w:rPr>
          <w:t>Azure Container Instances</w:t>
        </w:r>
        <w:r>
          <w:rPr>
            <w:noProof/>
            <w:webHidden/>
          </w:rPr>
          <w:tab/>
        </w:r>
        <w:r>
          <w:rPr>
            <w:noProof/>
            <w:webHidden/>
          </w:rPr>
          <w:fldChar w:fldCharType="begin"/>
        </w:r>
        <w:r>
          <w:rPr>
            <w:noProof/>
            <w:webHidden/>
          </w:rPr>
          <w:instrText xml:space="preserve"> PAGEREF _Toc239176445 \h </w:instrText>
        </w:r>
        <w:r>
          <w:rPr>
            <w:noProof/>
            <w:webHidden/>
          </w:rPr>
        </w:r>
        <w:r>
          <w:rPr>
            <w:noProof/>
            <w:webHidden/>
          </w:rPr>
          <w:fldChar w:fldCharType="separate"/>
        </w:r>
        <w:r>
          <w:rPr>
            <w:noProof/>
            <w:webHidden/>
          </w:rPr>
          <w:t>39</w:t>
        </w:r>
        <w:r>
          <w:rPr>
            <w:noProof/>
            <w:webHidden/>
          </w:rPr>
          <w:fldChar w:fldCharType="end"/>
        </w:r>
      </w:hyperlink>
    </w:p>
    <w:p w14:paraId="4D9AF5A5" w14:textId="628C29CE"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6" w:history="1">
        <w:r w:rsidRPr="005D6259">
          <w:rPr>
            <w:rStyle w:val="Hyperlink"/>
            <w:noProof/>
          </w:rPr>
          <w:t>Azure Container Registry</w:t>
        </w:r>
        <w:r>
          <w:rPr>
            <w:noProof/>
            <w:webHidden/>
          </w:rPr>
          <w:tab/>
        </w:r>
        <w:r>
          <w:rPr>
            <w:noProof/>
            <w:webHidden/>
          </w:rPr>
          <w:fldChar w:fldCharType="begin"/>
        </w:r>
        <w:r>
          <w:rPr>
            <w:noProof/>
            <w:webHidden/>
          </w:rPr>
          <w:instrText xml:space="preserve"> PAGEREF _Toc239176446 \h </w:instrText>
        </w:r>
        <w:r>
          <w:rPr>
            <w:noProof/>
            <w:webHidden/>
          </w:rPr>
        </w:r>
        <w:r>
          <w:rPr>
            <w:noProof/>
            <w:webHidden/>
          </w:rPr>
          <w:fldChar w:fldCharType="separate"/>
        </w:r>
        <w:r>
          <w:rPr>
            <w:noProof/>
            <w:webHidden/>
          </w:rPr>
          <w:t>40</w:t>
        </w:r>
        <w:r>
          <w:rPr>
            <w:noProof/>
            <w:webHidden/>
          </w:rPr>
          <w:fldChar w:fldCharType="end"/>
        </w:r>
      </w:hyperlink>
    </w:p>
    <w:p w14:paraId="4CCE8831" w14:textId="68B54700"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7" w:history="1">
        <w:r w:rsidRPr="005D6259">
          <w:rPr>
            <w:rStyle w:val="Hyperlink"/>
            <w:noProof/>
          </w:rPr>
          <w:t>Rede de Distribuição de Conteúdos (CDN)</w:t>
        </w:r>
        <w:r>
          <w:rPr>
            <w:noProof/>
            <w:webHidden/>
          </w:rPr>
          <w:tab/>
        </w:r>
        <w:r>
          <w:rPr>
            <w:noProof/>
            <w:webHidden/>
          </w:rPr>
          <w:fldChar w:fldCharType="begin"/>
        </w:r>
        <w:r>
          <w:rPr>
            <w:noProof/>
            <w:webHidden/>
          </w:rPr>
          <w:instrText xml:space="preserve"> PAGEREF _Toc239176447 \h </w:instrText>
        </w:r>
        <w:r>
          <w:rPr>
            <w:noProof/>
            <w:webHidden/>
          </w:rPr>
        </w:r>
        <w:r>
          <w:rPr>
            <w:noProof/>
            <w:webHidden/>
          </w:rPr>
          <w:fldChar w:fldCharType="separate"/>
        </w:r>
        <w:r>
          <w:rPr>
            <w:noProof/>
            <w:webHidden/>
          </w:rPr>
          <w:t>40</w:t>
        </w:r>
        <w:r>
          <w:rPr>
            <w:noProof/>
            <w:webHidden/>
          </w:rPr>
          <w:fldChar w:fldCharType="end"/>
        </w:r>
      </w:hyperlink>
    </w:p>
    <w:p w14:paraId="2A4BA40E" w14:textId="5F03B8CA"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8" w:history="1">
        <w:r w:rsidRPr="005D6259">
          <w:rPr>
            <w:rStyle w:val="Hyperlink"/>
            <w:noProof/>
          </w:rPr>
          <w:t>Azure Cosmos DB</w:t>
        </w:r>
        <w:r>
          <w:rPr>
            <w:noProof/>
            <w:webHidden/>
          </w:rPr>
          <w:tab/>
        </w:r>
        <w:r>
          <w:rPr>
            <w:noProof/>
            <w:webHidden/>
          </w:rPr>
          <w:fldChar w:fldCharType="begin"/>
        </w:r>
        <w:r>
          <w:rPr>
            <w:noProof/>
            <w:webHidden/>
          </w:rPr>
          <w:instrText xml:space="preserve"> PAGEREF _Toc239176448 \h </w:instrText>
        </w:r>
        <w:r>
          <w:rPr>
            <w:noProof/>
            <w:webHidden/>
          </w:rPr>
        </w:r>
        <w:r>
          <w:rPr>
            <w:noProof/>
            <w:webHidden/>
          </w:rPr>
          <w:fldChar w:fldCharType="separate"/>
        </w:r>
        <w:r>
          <w:rPr>
            <w:noProof/>
            <w:webHidden/>
          </w:rPr>
          <w:t>41</w:t>
        </w:r>
        <w:r>
          <w:rPr>
            <w:noProof/>
            <w:webHidden/>
          </w:rPr>
          <w:fldChar w:fldCharType="end"/>
        </w:r>
      </w:hyperlink>
    </w:p>
    <w:p w14:paraId="32E18846" w14:textId="02A405CB" w:rsidR="004F0B8A" w:rsidRDefault="004F0B8A">
      <w:pPr>
        <w:pStyle w:val="TOC4"/>
        <w:rPr>
          <w:rFonts w:eastAsiaTheme="minorEastAsia"/>
          <w:smallCaps w:val="0"/>
          <w:noProof/>
          <w:kern w:val="2"/>
          <w:sz w:val="24"/>
          <w:szCs w:val="24"/>
          <w:lang w:val="en-US" w:eastAsia="zh-CN" w:bidi="he-IL"/>
          <w14:ligatures w14:val="standardContextual"/>
        </w:rPr>
      </w:pPr>
      <w:hyperlink w:anchor="_Toc239176449" w:history="1">
        <w:r w:rsidRPr="005D6259">
          <w:rPr>
            <w:rStyle w:val="Hyperlink"/>
            <w:noProof/>
          </w:rPr>
          <w:t>Catálogo de Dados</w:t>
        </w:r>
        <w:r>
          <w:rPr>
            <w:noProof/>
            <w:webHidden/>
          </w:rPr>
          <w:tab/>
        </w:r>
        <w:r>
          <w:rPr>
            <w:noProof/>
            <w:webHidden/>
          </w:rPr>
          <w:fldChar w:fldCharType="begin"/>
        </w:r>
        <w:r>
          <w:rPr>
            <w:noProof/>
            <w:webHidden/>
          </w:rPr>
          <w:instrText xml:space="preserve"> PAGEREF _Toc239176449 \h </w:instrText>
        </w:r>
        <w:r>
          <w:rPr>
            <w:noProof/>
            <w:webHidden/>
          </w:rPr>
        </w:r>
        <w:r>
          <w:rPr>
            <w:noProof/>
            <w:webHidden/>
          </w:rPr>
          <w:fldChar w:fldCharType="separate"/>
        </w:r>
        <w:r>
          <w:rPr>
            <w:noProof/>
            <w:webHidden/>
          </w:rPr>
          <w:t>44</w:t>
        </w:r>
        <w:r>
          <w:rPr>
            <w:noProof/>
            <w:webHidden/>
          </w:rPr>
          <w:fldChar w:fldCharType="end"/>
        </w:r>
      </w:hyperlink>
    </w:p>
    <w:p w14:paraId="1135C172" w14:textId="4800334B"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0" w:history="1">
        <w:r w:rsidRPr="005D6259">
          <w:rPr>
            <w:rStyle w:val="Hyperlink"/>
            <w:noProof/>
          </w:rPr>
          <w:t>Azure Data Explorer (Kusto)</w:t>
        </w:r>
        <w:r>
          <w:rPr>
            <w:noProof/>
            <w:webHidden/>
          </w:rPr>
          <w:tab/>
        </w:r>
        <w:r>
          <w:rPr>
            <w:noProof/>
            <w:webHidden/>
          </w:rPr>
          <w:fldChar w:fldCharType="begin"/>
        </w:r>
        <w:r>
          <w:rPr>
            <w:noProof/>
            <w:webHidden/>
          </w:rPr>
          <w:instrText xml:space="preserve"> PAGEREF _Toc239176450 \h </w:instrText>
        </w:r>
        <w:r>
          <w:rPr>
            <w:noProof/>
            <w:webHidden/>
          </w:rPr>
        </w:r>
        <w:r>
          <w:rPr>
            <w:noProof/>
            <w:webHidden/>
          </w:rPr>
          <w:fldChar w:fldCharType="separate"/>
        </w:r>
        <w:r>
          <w:rPr>
            <w:noProof/>
            <w:webHidden/>
          </w:rPr>
          <w:t>45</w:t>
        </w:r>
        <w:r>
          <w:rPr>
            <w:noProof/>
            <w:webHidden/>
          </w:rPr>
          <w:fldChar w:fldCharType="end"/>
        </w:r>
      </w:hyperlink>
    </w:p>
    <w:p w14:paraId="564AE7FD" w14:textId="3F96B459"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1" w:history="1">
        <w:r w:rsidRPr="005D6259">
          <w:rPr>
            <w:rStyle w:val="Hyperlink"/>
            <w:noProof/>
          </w:rPr>
          <w:t>Azure Data Factory</w:t>
        </w:r>
        <w:r>
          <w:rPr>
            <w:noProof/>
            <w:webHidden/>
          </w:rPr>
          <w:tab/>
        </w:r>
        <w:r>
          <w:rPr>
            <w:noProof/>
            <w:webHidden/>
          </w:rPr>
          <w:fldChar w:fldCharType="begin"/>
        </w:r>
        <w:r>
          <w:rPr>
            <w:noProof/>
            <w:webHidden/>
          </w:rPr>
          <w:instrText xml:space="preserve"> PAGEREF _Toc239176451 \h </w:instrText>
        </w:r>
        <w:r>
          <w:rPr>
            <w:noProof/>
            <w:webHidden/>
          </w:rPr>
        </w:r>
        <w:r>
          <w:rPr>
            <w:noProof/>
            <w:webHidden/>
          </w:rPr>
          <w:fldChar w:fldCharType="separate"/>
        </w:r>
        <w:r>
          <w:rPr>
            <w:noProof/>
            <w:webHidden/>
          </w:rPr>
          <w:t>45</w:t>
        </w:r>
        <w:r>
          <w:rPr>
            <w:noProof/>
            <w:webHidden/>
          </w:rPr>
          <w:fldChar w:fldCharType="end"/>
        </w:r>
      </w:hyperlink>
    </w:p>
    <w:p w14:paraId="12B2A9E2" w14:textId="520B17D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2" w:history="1">
        <w:r w:rsidRPr="005D6259">
          <w:rPr>
            <w:rStyle w:val="Hyperlink"/>
            <w:noProof/>
          </w:rPr>
          <w:t>Data Lake Analytics</w:t>
        </w:r>
        <w:r>
          <w:rPr>
            <w:noProof/>
            <w:webHidden/>
          </w:rPr>
          <w:tab/>
        </w:r>
        <w:r>
          <w:rPr>
            <w:noProof/>
            <w:webHidden/>
          </w:rPr>
          <w:fldChar w:fldCharType="begin"/>
        </w:r>
        <w:r>
          <w:rPr>
            <w:noProof/>
            <w:webHidden/>
          </w:rPr>
          <w:instrText xml:space="preserve"> PAGEREF _Toc239176452 \h </w:instrText>
        </w:r>
        <w:r>
          <w:rPr>
            <w:noProof/>
            <w:webHidden/>
          </w:rPr>
        </w:r>
        <w:r>
          <w:rPr>
            <w:noProof/>
            <w:webHidden/>
          </w:rPr>
          <w:fldChar w:fldCharType="separate"/>
        </w:r>
        <w:r>
          <w:rPr>
            <w:noProof/>
            <w:webHidden/>
          </w:rPr>
          <w:t>46</w:t>
        </w:r>
        <w:r>
          <w:rPr>
            <w:noProof/>
            <w:webHidden/>
          </w:rPr>
          <w:fldChar w:fldCharType="end"/>
        </w:r>
      </w:hyperlink>
    </w:p>
    <w:p w14:paraId="6B2BF5D3" w14:textId="1F7EC07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3" w:history="1">
        <w:r w:rsidRPr="005D6259">
          <w:rPr>
            <w:rStyle w:val="Hyperlink"/>
            <w:noProof/>
          </w:rPr>
          <w:t>Data Lake Storage Gen1</w:t>
        </w:r>
        <w:r>
          <w:rPr>
            <w:noProof/>
            <w:webHidden/>
          </w:rPr>
          <w:tab/>
        </w:r>
        <w:r>
          <w:rPr>
            <w:noProof/>
            <w:webHidden/>
          </w:rPr>
          <w:fldChar w:fldCharType="begin"/>
        </w:r>
        <w:r>
          <w:rPr>
            <w:noProof/>
            <w:webHidden/>
          </w:rPr>
          <w:instrText xml:space="preserve"> PAGEREF _Toc239176453 \h </w:instrText>
        </w:r>
        <w:r>
          <w:rPr>
            <w:noProof/>
            <w:webHidden/>
          </w:rPr>
        </w:r>
        <w:r>
          <w:rPr>
            <w:noProof/>
            <w:webHidden/>
          </w:rPr>
          <w:fldChar w:fldCharType="separate"/>
        </w:r>
        <w:r>
          <w:rPr>
            <w:noProof/>
            <w:webHidden/>
          </w:rPr>
          <w:t>46</w:t>
        </w:r>
        <w:r>
          <w:rPr>
            <w:noProof/>
            <w:webHidden/>
          </w:rPr>
          <w:fldChar w:fldCharType="end"/>
        </w:r>
      </w:hyperlink>
    </w:p>
    <w:p w14:paraId="10829EBC" w14:textId="6E4BCC2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4" w:history="1">
        <w:r w:rsidRPr="005D6259">
          <w:rPr>
            <w:rStyle w:val="Hyperlink"/>
            <w:noProof/>
          </w:rPr>
          <w:t>Azure Database for MariaDB</w:t>
        </w:r>
        <w:r>
          <w:rPr>
            <w:noProof/>
            <w:webHidden/>
          </w:rPr>
          <w:tab/>
        </w:r>
        <w:r>
          <w:rPr>
            <w:noProof/>
            <w:webHidden/>
          </w:rPr>
          <w:fldChar w:fldCharType="begin"/>
        </w:r>
        <w:r>
          <w:rPr>
            <w:noProof/>
            <w:webHidden/>
          </w:rPr>
          <w:instrText xml:space="preserve"> PAGEREF _Toc239176454 \h </w:instrText>
        </w:r>
        <w:r>
          <w:rPr>
            <w:noProof/>
            <w:webHidden/>
          </w:rPr>
        </w:r>
        <w:r>
          <w:rPr>
            <w:noProof/>
            <w:webHidden/>
          </w:rPr>
          <w:fldChar w:fldCharType="separate"/>
        </w:r>
        <w:r>
          <w:rPr>
            <w:noProof/>
            <w:webHidden/>
          </w:rPr>
          <w:t>47</w:t>
        </w:r>
        <w:r>
          <w:rPr>
            <w:noProof/>
            <w:webHidden/>
          </w:rPr>
          <w:fldChar w:fldCharType="end"/>
        </w:r>
      </w:hyperlink>
    </w:p>
    <w:p w14:paraId="7E10482B" w14:textId="59C48C3D"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5" w:history="1">
        <w:r w:rsidRPr="005D6259">
          <w:rPr>
            <w:rStyle w:val="Hyperlink"/>
            <w:noProof/>
          </w:rPr>
          <w:t>Base de Dados do Azure para MySQL</w:t>
        </w:r>
        <w:r>
          <w:rPr>
            <w:noProof/>
            <w:webHidden/>
          </w:rPr>
          <w:tab/>
        </w:r>
        <w:r>
          <w:rPr>
            <w:noProof/>
            <w:webHidden/>
          </w:rPr>
          <w:fldChar w:fldCharType="begin"/>
        </w:r>
        <w:r>
          <w:rPr>
            <w:noProof/>
            <w:webHidden/>
          </w:rPr>
          <w:instrText xml:space="preserve"> PAGEREF _Toc239176455 \h </w:instrText>
        </w:r>
        <w:r>
          <w:rPr>
            <w:noProof/>
            <w:webHidden/>
          </w:rPr>
        </w:r>
        <w:r>
          <w:rPr>
            <w:noProof/>
            <w:webHidden/>
          </w:rPr>
          <w:fldChar w:fldCharType="separate"/>
        </w:r>
        <w:r>
          <w:rPr>
            <w:noProof/>
            <w:webHidden/>
          </w:rPr>
          <w:t>47</w:t>
        </w:r>
        <w:r>
          <w:rPr>
            <w:noProof/>
            <w:webHidden/>
          </w:rPr>
          <w:fldChar w:fldCharType="end"/>
        </w:r>
      </w:hyperlink>
    </w:p>
    <w:p w14:paraId="51AD8A76" w14:textId="42CD684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6" w:history="1">
        <w:r w:rsidRPr="005D6259">
          <w:rPr>
            <w:rStyle w:val="Hyperlink"/>
            <w:noProof/>
          </w:rPr>
          <w:t>Base de Dados do Azure para PostgreSQL</w:t>
        </w:r>
        <w:r>
          <w:rPr>
            <w:noProof/>
            <w:webHidden/>
          </w:rPr>
          <w:tab/>
        </w:r>
        <w:r>
          <w:rPr>
            <w:noProof/>
            <w:webHidden/>
          </w:rPr>
          <w:fldChar w:fldCharType="begin"/>
        </w:r>
        <w:r>
          <w:rPr>
            <w:noProof/>
            <w:webHidden/>
          </w:rPr>
          <w:instrText xml:space="preserve"> PAGEREF _Toc239176456 \h </w:instrText>
        </w:r>
        <w:r>
          <w:rPr>
            <w:noProof/>
            <w:webHidden/>
          </w:rPr>
        </w:r>
        <w:r>
          <w:rPr>
            <w:noProof/>
            <w:webHidden/>
          </w:rPr>
          <w:fldChar w:fldCharType="separate"/>
        </w:r>
        <w:r>
          <w:rPr>
            <w:noProof/>
            <w:webHidden/>
          </w:rPr>
          <w:t>48</w:t>
        </w:r>
        <w:r>
          <w:rPr>
            <w:noProof/>
            <w:webHidden/>
          </w:rPr>
          <w:fldChar w:fldCharType="end"/>
        </w:r>
      </w:hyperlink>
    </w:p>
    <w:p w14:paraId="09A5BFFD" w14:textId="7F07E895"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7" w:history="1">
        <w:r w:rsidRPr="005D6259">
          <w:rPr>
            <w:rStyle w:val="Hyperlink"/>
            <w:noProof/>
          </w:rPr>
          <w:t>Azure Databricks</w:t>
        </w:r>
        <w:r>
          <w:rPr>
            <w:noProof/>
            <w:webHidden/>
          </w:rPr>
          <w:tab/>
        </w:r>
        <w:r>
          <w:rPr>
            <w:noProof/>
            <w:webHidden/>
          </w:rPr>
          <w:fldChar w:fldCharType="begin"/>
        </w:r>
        <w:r>
          <w:rPr>
            <w:noProof/>
            <w:webHidden/>
          </w:rPr>
          <w:instrText xml:space="preserve"> PAGEREF _Toc239176457 \h </w:instrText>
        </w:r>
        <w:r>
          <w:rPr>
            <w:noProof/>
            <w:webHidden/>
          </w:rPr>
        </w:r>
        <w:r>
          <w:rPr>
            <w:noProof/>
            <w:webHidden/>
          </w:rPr>
          <w:fldChar w:fldCharType="separate"/>
        </w:r>
        <w:r>
          <w:rPr>
            <w:noProof/>
            <w:webHidden/>
          </w:rPr>
          <w:t>50</w:t>
        </w:r>
        <w:r>
          <w:rPr>
            <w:noProof/>
            <w:webHidden/>
          </w:rPr>
          <w:fldChar w:fldCharType="end"/>
        </w:r>
      </w:hyperlink>
    </w:p>
    <w:p w14:paraId="36C30EB3" w14:textId="61E12F3E"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8" w:history="1">
        <w:r w:rsidRPr="005D6259">
          <w:rPr>
            <w:rStyle w:val="Hyperlink"/>
            <w:noProof/>
          </w:rPr>
          <w:t>Azure Databricks Lakebase</w:t>
        </w:r>
        <w:r>
          <w:rPr>
            <w:noProof/>
            <w:webHidden/>
          </w:rPr>
          <w:tab/>
        </w:r>
        <w:r>
          <w:rPr>
            <w:noProof/>
            <w:webHidden/>
          </w:rPr>
          <w:fldChar w:fldCharType="begin"/>
        </w:r>
        <w:r>
          <w:rPr>
            <w:noProof/>
            <w:webHidden/>
          </w:rPr>
          <w:instrText xml:space="preserve"> PAGEREF _Toc239176458 \h </w:instrText>
        </w:r>
        <w:r>
          <w:rPr>
            <w:noProof/>
            <w:webHidden/>
          </w:rPr>
        </w:r>
        <w:r>
          <w:rPr>
            <w:noProof/>
            <w:webHidden/>
          </w:rPr>
          <w:fldChar w:fldCharType="separate"/>
        </w:r>
        <w:r>
          <w:rPr>
            <w:noProof/>
            <w:webHidden/>
          </w:rPr>
          <w:t>50</w:t>
        </w:r>
        <w:r>
          <w:rPr>
            <w:noProof/>
            <w:webHidden/>
          </w:rPr>
          <w:fldChar w:fldCharType="end"/>
        </w:r>
      </w:hyperlink>
    </w:p>
    <w:p w14:paraId="7417AEEF" w14:textId="6A208CDD" w:rsidR="004F0B8A" w:rsidRDefault="004F0B8A">
      <w:pPr>
        <w:pStyle w:val="TOC4"/>
        <w:rPr>
          <w:rFonts w:eastAsiaTheme="minorEastAsia"/>
          <w:smallCaps w:val="0"/>
          <w:noProof/>
          <w:kern w:val="2"/>
          <w:sz w:val="24"/>
          <w:szCs w:val="24"/>
          <w:lang w:val="en-US" w:eastAsia="zh-CN" w:bidi="he-IL"/>
          <w14:ligatures w14:val="standardContextual"/>
        </w:rPr>
      </w:pPr>
      <w:hyperlink w:anchor="_Toc239176459" w:history="1">
        <w:r w:rsidRPr="005D6259">
          <w:rPr>
            <w:rStyle w:val="Hyperlink"/>
            <w:noProof/>
          </w:rPr>
          <w:t>Gestor de Dados para Energia do Microsoft Azure</w:t>
        </w:r>
        <w:r>
          <w:rPr>
            <w:noProof/>
            <w:webHidden/>
          </w:rPr>
          <w:tab/>
        </w:r>
        <w:r>
          <w:rPr>
            <w:noProof/>
            <w:webHidden/>
          </w:rPr>
          <w:fldChar w:fldCharType="begin"/>
        </w:r>
        <w:r>
          <w:rPr>
            <w:noProof/>
            <w:webHidden/>
          </w:rPr>
          <w:instrText xml:space="preserve"> PAGEREF _Toc239176459 \h </w:instrText>
        </w:r>
        <w:r>
          <w:rPr>
            <w:noProof/>
            <w:webHidden/>
          </w:rPr>
        </w:r>
        <w:r>
          <w:rPr>
            <w:noProof/>
            <w:webHidden/>
          </w:rPr>
          <w:fldChar w:fldCharType="separate"/>
        </w:r>
        <w:r>
          <w:rPr>
            <w:noProof/>
            <w:webHidden/>
          </w:rPr>
          <w:t>51</w:t>
        </w:r>
        <w:r>
          <w:rPr>
            <w:noProof/>
            <w:webHidden/>
          </w:rPr>
          <w:fldChar w:fldCharType="end"/>
        </w:r>
      </w:hyperlink>
    </w:p>
    <w:p w14:paraId="4B9EF2B8" w14:textId="1F1F4309"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0" w:history="1">
        <w:r w:rsidRPr="005D6259">
          <w:rPr>
            <w:rStyle w:val="Hyperlink"/>
            <w:noProof/>
          </w:rPr>
          <w:t>Azure DDoS Protection</w:t>
        </w:r>
        <w:r>
          <w:rPr>
            <w:noProof/>
            <w:webHidden/>
          </w:rPr>
          <w:tab/>
        </w:r>
        <w:r>
          <w:rPr>
            <w:noProof/>
            <w:webHidden/>
          </w:rPr>
          <w:fldChar w:fldCharType="begin"/>
        </w:r>
        <w:r>
          <w:rPr>
            <w:noProof/>
            <w:webHidden/>
          </w:rPr>
          <w:instrText xml:space="preserve"> PAGEREF _Toc239176460 \h </w:instrText>
        </w:r>
        <w:r>
          <w:rPr>
            <w:noProof/>
            <w:webHidden/>
          </w:rPr>
        </w:r>
        <w:r>
          <w:rPr>
            <w:noProof/>
            <w:webHidden/>
          </w:rPr>
          <w:fldChar w:fldCharType="separate"/>
        </w:r>
        <w:r>
          <w:rPr>
            <w:noProof/>
            <w:webHidden/>
          </w:rPr>
          <w:t>51</w:t>
        </w:r>
        <w:r>
          <w:rPr>
            <w:noProof/>
            <w:webHidden/>
          </w:rPr>
          <w:fldChar w:fldCharType="end"/>
        </w:r>
      </w:hyperlink>
    </w:p>
    <w:p w14:paraId="2BD26C44" w14:textId="0AF3AFAD"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1" w:history="1">
        <w:r w:rsidRPr="005D6259">
          <w:rPr>
            <w:rStyle w:val="Hyperlink"/>
            <w:noProof/>
          </w:rPr>
          <w:t>Azure Defender</w:t>
        </w:r>
        <w:r>
          <w:rPr>
            <w:noProof/>
            <w:webHidden/>
          </w:rPr>
          <w:tab/>
        </w:r>
        <w:r>
          <w:rPr>
            <w:noProof/>
            <w:webHidden/>
          </w:rPr>
          <w:fldChar w:fldCharType="begin"/>
        </w:r>
        <w:r>
          <w:rPr>
            <w:noProof/>
            <w:webHidden/>
          </w:rPr>
          <w:instrText xml:space="preserve"> PAGEREF _Toc239176461 \h </w:instrText>
        </w:r>
        <w:r>
          <w:rPr>
            <w:noProof/>
            <w:webHidden/>
          </w:rPr>
        </w:r>
        <w:r>
          <w:rPr>
            <w:noProof/>
            <w:webHidden/>
          </w:rPr>
          <w:fldChar w:fldCharType="separate"/>
        </w:r>
        <w:r>
          <w:rPr>
            <w:noProof/>
            <w:webHidden/>
          </w:rPr>
          <w:t>52</w:t>
        </w:r>
        <w:r>
          <w:rPr>
            <w:noProof/>
            <w:webHidden/>
          </w:rPr>
          <w:fldChar w:fldCharType="end"/>
        </w:r>
      </w:hyperlink>
    </w:p>
    <w:p w14:paraId="42902400" w14:textId="4748FEBD"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2" w:history="1">
        <w:r w:rsidRPr="005D6259">
          <w:rPr>
            <w:rStyle w:val="Hyperlink"/>
            <w:noProof/>
          </w:rPr>
          <w:t>Defender External Attack Surface Management</w:t>
        </w:r>
        <w:r>
          <w:rPr>
            <w:noProof/>
            <w:webHidden/>
          </w:rPr>
          <w:tab/>
        </w:r>
        <w:r>
          <w:rPr>
            <w:noProof/>
            <w:webHidden/>
          </w:rPr>
          <w:fldChar w:fldCharType="begin"/>
        </w:r>
        <w:r>
          <w:rPr>
            <w:noProof/>
            <w:webHidden/>
          </w:rPr>
          <w:instrText xml:space="preserve"> PAGEREF _Toc239176462 \h </w:instrText>
        </w:r>
        <w:r>
          <w:rPr>
            <w:noProof/>
            <w:webHidden/>
          </w:rPr>
        </w:r>
        <w:r>
          <w:rPr>
            <w:noProof/>
            <w:webHidden/>
          </w:rPr>
          <w:fldChar w:fldCharType="separate"/>
        </w:r>
        <w:r>
          <w:rPr>
            <w:noProof/>
            <w:webHidden/>
          </w:rPr>
          <w:t>52</w:t>
        </w:r>
        <w:r>
          <w:rPr>
            <w:noProof/>
            <w:webHidden/>
          </w:rPr>
          <w:fldChar w:fldCharType="end"/>
        </w:r>
      </w:hyperlink>
    </w:p>
    <w:p w14:paraId="2EC1EFCA" w14:textId="71338409"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3" w:history="1">
        <w:r w:rsidRPr="005D6259">
          <w:rPr>
            <w:rStyle w:val="Hyperlink"/>
            <w:noProof/>
          </w:rPr>
          <w:t>Azure Dev Ops</w:t>
        </w:r>
        <w:r>
          <w:rPr>
            <w:noProof/>
            <w:webHidden/>
          </w:rPr>
          <w:tab/>
        </w:r>
        <w:r>
          <w:rPr>
            <w:noProof/>
            <w:webHidden/>
          </w:rPr>
          <w:fldChar w:fldCharType="begin"/>
        </w:r>
        <w:r>
          <w:rPr>
            <w:noProof/>
            <w:webHidden/>
          </w:rPr>
          <w:instrText xml:space="preserve"> PAGEREF _Toc239176463 \h </w:instrText>
        </w:r>
        <w:r>
          <w:rPr>
            <w:noProof/>
            <w:webHidden/>
          </w:rPr>
        </w:r>
        <w:r>
          <w:rPr>
            <w:noProof/>
            <w:webHidden/>
          </w:rPr>
          <w:fldChar w:fldCharType="separate"/>
        </w:r>
        <w:r>
          <w:rPr>
            <w:noProof/>
            <w:webHidden/>
          </w:rPr>
          <w:t>53</w:t>
        </w:r>
        <w:r>
          <w:rPr>
            <w:noProof/>
            <w:webHidden/>
          </w:rPr>
          <w:fldChar w:fldCharType="end"/>
        </w:r>
      </w:hyperlink>
    </w:p>
    <w:p w14:paraId="6118DF6A" w14:textId="7369CF9E"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4" w:history="1">
        <w:r w:rsidRPr="005D6259">
          <w:rPr>
            <w:rStyle w:val="Hyperlink"/>
            <w:noProof/>
          </w:rPr>
          <w:t>Microsoft Dev Box</w:t>
        </w:r>
        <w:r>
          <w:rPr>
            <w:noProof/>
            <w:webHidden/>
          </w:rPr>
          <w:tab/>
        </w:r>
        <w:r>
          <w:rPr>
            <w:noProof/>
            <w:webHidden/>
          </w:rPr>
          <w:fldChar w:fldCharType="begin"/>
        </w:r>
        <w:r>
          <w:rPr>
            <w:noProof/>
            <w:webHidden/>
          </w:rPr>
          <w:instrText xml:space="preserve"> PAGEREF _Toc239176464 \h </w:instrText>
        </w:r>
        <w:r>
          <w:rPr>
            <w:noProof/>
            <w:webHidden/>
          </w:rPr>
        </w:r>
        <w:r>
          <w:rPr>
            <w:noProof/>
            <w:webHidden/>
          </w:rPr>
          <w:fldChar w:fldCharType="separate"/>
        </w:r>
        <w:r>
          <w:rPr>
            <w:noProof/>
            <w:webHidden/>
          </w:rPr>
          <w:t>53</w:t>
        </w:r>
        <w:r>
          <w:rPr>
            <w:noProof/>
            <w:webHidden/>
          </w:rPr>
          <w:fldChar w:fldCharType="end"/>
        </w:r>
      </w:hyperlink>
    </w:p>
    <w:p w14:paraId="123FC6D8" w14:textId="170B1A1C"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5" w:history="1">
        <w:r w:rsidRPr="005D6259">
          <w:rPr>
            <w:rStyle w:val="Hyperlink"/>
            <w:noProof/>
          </w:rPr>
          <w:t>Azure Digital Twins</w:t>
        </w:r>
        <w:r>
          <w:rPr>
            <w:noProof/>
            <w:webHidden/>
          </w:rPr>
          <w:tab/>
        </w:r>
        <w:r>
          <w:rPr>
            <w:noProof/>
            <w:webHidden/>
          </w:rPr>
          <w:fldChar w:fldCharType="begin"/>
        </w:r>
        <w:r>
          <w:rPr>
            <w:noProof/>
            <w:webHidden/>
          </w:rPr>
          <w:instrText xml:space="preserve"> PAGEREF _Toc239176465 \h </w:instrText>
        </w:r>
        <w:r>
          <w:rPr>
            <w:noProof/>
            <w:webHidden/>
          </w:rPr>
        </w:r>
        <w:r>
          <w:rPr>
            <w:noProof/>
            <w:webHidden/>
          </w:rPr>
          <w:fldChar w:fldCharType="separate"/>
        </w:r>
        <w:r>
          <w:rPr>
            <w:noProof/>
            <w:webHidden/>
          </w:rPr>
          <w:t>54</w:t>
        </w:r>
        <w:r>
          <w:rPr>
            <w:noProof/>
            <w:webHidden/>
          </w:rPr>
          <w:fldChar w:fldCharType="end"/>
        </w:r>
      </w:hyperlink>
    </w:p>
    <w:p w14:paraId="33BBFE13" w14:textId="24A5D0A8"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6" w:history="1">
        <w:r w:rsidRPr="005D6259">
          <w:rPr>
            <w:rStyle w:val="Hyperlink"/>
            <w:noProof/>
          </w:rPr>
          <w:t>DNS do Azure</w:t>
        </w:r>
        <w:r>
          <w:rPr>
            <w:noProof/>
            <w:webHidden/>
          </w:rPr>
          <w:tab/>
        </w:r>
        <w:r>
          <w:rPr>
            <w:noProof/>
            <w:webHidden/>
          </w:rPr>
          <w:fldChar w:fldCharType="begin"/>
        </w:r>
        <w:r>
          <w:rPr>
            <w:noProof/>
            <w:webHidden/>
          </w:rPr>
          <w:instrText xml:space="preserve"> PAGEREF _Toc239176466 \h </w:instrText>
        </w:r>
        <w:r>
          <w:rPr>
            <w:noProof/>
            <w:webHidden/>
          </w:rPr>
        </w:r>
        <w:r>
          <w:rPr>
            <w:noProof/>
            <w:webHidden/>
          </w:rPr>
          <w:fldChar w:fldCharType="separate"/>
        </w:r>
        <w:r>
          <w:rPr>
            <w:noProof/>
            <w:webHidden/>
          </w:rPr>
          <w:t>54</w:t>
        </w:r>
        <w:r>
          <w:rPr>
            <w:noProof/>
            <w:webHidden/>
          </w:rPr>
          <w:fldChar w:fldCharType="end"/>
        </w:r>
      </w:hyperlink>
    </w:p>
    <w:p w14:paraId="4E0EDBD2" w14:textId="7A8C3E3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7" w:history="1">
        <w:r w:rsidRPr="005D6259">
          <w:rPr>
            <w:rStyle w:val="Hyperlink"/>
            <w:noProof/>
          </w:rPr>
          <w:t>Azure DNS Private Resolver</w:t>
        </w:r>
        <w:r>
          <w:rPr>
            <w:noProof/>
            <w:webHidden/>
          </w:rPr>
          <w:tab/>
        </w:r>
        <w:r>
          <w:rPr>
            <w:noProof/>
            <w:webHidden/>
          </w:rPr>
          <w:fldChar w:fldCharType="begin"/>
        </w:r>
        <w:r>
          <w:rPr>
            <w:noProof/>
            <w:webHidden/>
          </w:rPr>
          <w:instrText xml:space="preserve"> PAGEREF _Toc239176467 \h </w:instrText>
        </w:r>
        <w:r>
          <w:rPr>
            <w:noProof/>
            <w:webHidden/>
          </w:rPr>
        </w:r>
        <w:r>
          <w:rPr>
            <w:noProof/>
            <w:webHidden/>
          </w:rPr>
          <w:fldChar w:fldCharType="separate"/>
        </w:r>
        <w:r>
          <w:rPr>
            <w:noProof/>
            <w:webHidden/>
          </w:rPr>
          <w:t>55</w:t>
        </w:r>
        <w:r>
          <w:rPr>
            <w:noProof/>
            <w:webHidden/>
          </w:rPr>
          <w:fldChar w:fldCharType="end"/>
        </w:r>
      </w:hyperlink>
    </w:p>
    <w:p w14:paraId="2B13D49E" w14:textId="482B3E58"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8" w:history="1">
        <w:r w:rsidRPr="005D6259">
          <w:rPr>
            <w:rStyle w:val="Hyperlink"/>
            <w:noProof/>
          </w:rPr>
          <w:t>Azure DocumentDB (com compatibilidade com MongoDB)</w:t>
        </w:r>
        <w:r>
          <w:rPr>
            <w:noProof/>
            <w:webHidden/>
          </w:rPr>
          <w:tab/>
        </w:r>
        <w:r>
          <w:rPr>
            <w:noProof/>
            <w:webHidden/>
          </w:rPr>
          <w:fldChar w:fldCharType="begin"/>
        </w:r>
        <w:r>
          <w:rPr>
            <w:noProof/>
            <w:webHidden/>
          </w:rPr>
          <w:instrText xml:space="preserve"> PAGEREF _Toc239176468 \h </w:instrText>
        </w:r>
        <w:r>
          <w:rPr>
            <w:noProof/>
            <w:webHidden/>
          </w:rPr>
        </w:r>
        <w:r>
          <w:rPr>
            <w:noProof/>
            <w:webHidden/>
          </w:rPr>
          <w:fldChar w:fldCharType="separate"/>
        </w:r>
        <w:r>
          <w:rPr>
            <w:noProof/>
            <w:webHidden/>
          </w:rPr>
          <w:t>55</w:t>
        </w:r>
        <w:r>
          <w:rPr>
            <w:noProof/>
            <w:webHidden/>
          </w:rPr>
          <w:fldChar w:fldCharType="end"/>
        </w:r>
      </w:hyperlink>
    </w:p>
    <w:p w14:paraId="32D07642" w14:textId="2B1539D6" w:rsidR="004F0B8A" w:rsidRDefault="004F0B8A">
      <w:pPr>
        <w:pStyle w:val="TOC4"/>
        <w:rPr>
          <w:rFonts w:eastAsiaTheme="minorEastAsia"/>
          <w:smallCaps w:val="0"/>
          <w:noProof/>
          <w:kern w:val="2"/>
          <w:sz w:val="24"/>
          <w:szCs w:val="24"/>
          <w:lang w:val="en-US" w:eastAsia="zh-CN" w:bidi="he-IL"/>
          <w14:ligatures w14:val="standardContextual"/>
        </w:rPr>
      </w:pPr>
      <w:hyperlink w:anchor="_Toc239176469" w:history="1">
        <w:r w:rsidRPr="005D6259">
          <w:rPr>
            <w:rStyle w:val="Hyperlink"/>
            <w:noProof/>
          </w:rPr>
          <w:t>SLA Elastic San</w:t>
        </w:r>
        <w:r>
          <w:rPr>
            <w:noProof/>
            <w:webHidden/>
          </w:rPr>
          <w:tab/>
        </w:r>
        <w:r>
          <w:rPr>
            <w:noProof/>
            <w:webHidden/>
          </w:rPr>
          <w:fldChar w:fldCharType="begin"/>
        </w:r>
        <w:r>
          <w:rPr>
            <w:noProof/>
            <w:webHidden/>
          </w:rPr>
          <w:instrText xml:space="preserve"> PAGEREF _Toc239176469 \h </w:instrText>
        </w:r>
        <w:r>
          <w:rPr>
            <w:noProof/>
            <w:webHidden/>
          </w:rPr>
        </w:r>
        <w:r>
          <w:rPr>
            <w:noProof/>
            <w:webHidden/>
          </w:rPr>
          <w:fldChar w:fldCharType="separate"/>
        </w:r>
        <w:r>
          <w:rPr>
            <w:noProof/>
            <w:webHidden/>
          </w:rPr>
          <w:t>56</w:t>
        </w:r>
        <w:r>
          <w:rPr>
            <w:noProof/>
            <w:webHidden/>
          </w:rPr>
          <w:fldChar w:fldCharType="end"/>
        </w:r>
      </w:hyperlink>
    </w:p>
    <w:p w14:paraId="0255990C" w14:textId="292C9BCA"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0" w:history="1">
        <w:r w:rsidRPr="005D6259">
          <w:rPr>
            <w:rStyle w:val="Hyperlink"/>
            <w:noProof/>
          </w:rPr>
          <w:t>Grelha de Eventos</w:t>
        </w:r>
        <w:r>
          <w:rPr>
            <w:noProof/>
            <w:webHidden/>
          </w:rPr>
          <w:tab/>
        </w:r>
        <w:r>
          <w:rPr>
            <w:noProof/>
            <w:webHidden/>
          </w:rPr>
          <w:fldChar w:fldCharType="begin"/>
        </w:r>
        <w:r>
          <w:rPr>
            <w:noProof/>
            <w:webHidden/>
          </w:rPr>
          <w:instrText xml:space="preserve"> PAGEREF _Toc239176470 \h </w:instrText>
        </w:r>
        <w:r>
          <w:rPr>
            <w:noProof/>
            <w:webHidden/>
          </w:rPr>
        </w:r>
        <w:r>
          <w:rPr>
            <w:noProof/>
            <w:webHidden/>
          </w:rPr>
          <w:fldChar w:fldCharType="separate"/>
        </w:r>
        <w:r>
          <w:rPr>
            <w:noProof/>
            <w:webHidden/>
          </w:rPr>
          <w:t>56</w:t>
        </w:r>
        <w:r>
          <w:rPr>
            <w:noProof/>
            <w:webHidden/>
          </w:rPr>
          <w:fldChar w:fldCharType="end"/>
        </w:r>
      </w:hyperlink>
    </w:p>
    <w:p w14:paraId="28DD1762" w14:textId="437E840A"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1" w:history="1">
        <w:r w:rsidRPr="005D6259">
          <w:rPr>
            <w:rStyle w:val="Hyperlink"/>
            <w:noProof/>
          </w:rPr>
          <w:t>Armazenamento Georredundante (GRS) – Replicação com Prioridade</w:t>
        </w:r>
        <w:r>
          <w:rPr>
            <w:noProof/>
            <w:webHidden/>
          </w:rPr>
          <w:tab/>
        </w:r>
        <w:r>
          <w:rPr>
            <w:noProof/>
            <w:webHidden/>
          </w:rPr>
          <w:fldChar w:fldCharType="begin"/>
        </w:r>
        <w:r>
          <w:rPr>
            <w:noProof/>
            <w:webHidden/>
          </w:rPr>
          <w:instrText xml:space="preserve"> PAGEREF _Toc239176471 \h </w:instrText>
        </w:r>
        <w:r>
          <w:rPr>
            <w:noProof/>
            <w:webHidden/>
          </w:rPr>
        </w:r>
        <w:r>
          <w:rPr>
            <w:noProof/>
            <w:webHidden/>
          </w:rPr>
          <w:fldChar w:fldCharType="separate"/>
        </w:r>
        <w:r>
          <w:rPr>
            <w:noProof/>
            <w:webHidden/>
          </w:rPr>
          <w:t>57</w:t>
        </w:r>
        <w:r>
          <w:rPr>
            <w:noProof/>
            <w:webHidden/>
          </w:rPr>
          <w:fldChar w:fldCharType="end"/>
        </w:r>
      </w:hyperlink>
    </w:p>
    <w:p w14:paraId="44D6E305" w14:textId="73B39CD9"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2" w:history="1">
        <w:r w:rsidRPr="005D6259">
          <w:rPr>
            <w:rStyle w:val="Hyperlink"/>
            <w:noProof/>
          </w:rPr>
          <w:t>Hubs de Eventos</w:t>
        </w:r>
        <w:r>
          <w:rPr>
            <w:noProof/>
            <w:webHidden/>
          </w:rPr>
          <w:tab/>
        </w:r>
        <w:r>
          <w:rPr>
            <w:noProof/>
            <w:webHidden/>
          </w:rPr>
          <w:fldChar w:fldCharType="begin"/>
        </w:r>
        <w:r>
          <w:rPr>
            <w:noProof/>
            <w:webHidden/>
          </w:rPr>
          <w:instrText xml:space="preserve"> PAGEREF _Toc239176472 \h </w:instrText>
        </w:r>
        <w:r>
          <w:rPr>
            <w:noProof/>
            <w:webHidden/>
          </w:rPr>
        </w:r>
        <w:r>
          <w:rPr>
            <w:noProof/>
            <w:webHidden/>
          </w:rPr>
          <w:fldChar w:fldCharType="separate"/>
        </w:r>
        <w:r>
          <w:rPr>
            <w:noProof/>
            <w:webHidden/>
          </w:rPr>
          <w:t>58</w:t>
        </w:r>
        <w:r>
          <w:rPr>
            <w:noProof/>
            <w:webHidden/>
          </w:rPr>
          <w:fldChar w:fldCharType="end"/>
        </w:r>
      </w:hyperlink>
    </w:p>
    <w:p w14:paraId="02D00E30" w14:textId="11DA7FC7"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3" w:history="1">
        <w:r w:rsidRPr="005D6259">
          <w:rPr>
            <w:rStyle w:val="Hyperlink"/>
            <w:noProof/>
          </w:rPr>
          <w:t>Azure ExpressRoute</w:t>
        </w:r>
        <w:r>
          <w:rPr>
            <w:noProof/>
            <w:webHidden/>
          </w:rPr>
          <w:tab/>
        </w:r>
        <w:r>
          <w:rPr>
            <w:noProof/>
            <w:webHidden/>
          </w:rPr>
          <w:fldChar w:fldCharType="begin"/>
        </w:r>
        <w:r>
          <w:rPr>
            <w:noProof/>
            <w:webHidden/>
          </w:rPr>
          <w:instrText xml:space="preserve"> PAGEREF _Toc239176473 \h </w:instrText>
        </w:r>
        <w:r>
          <w:rPr>
            <w:noProof/>
            <w:webHidden/>
          </w:rPr>
        </w:r>
        <w:r>
          <w:rPr>
            <w:noProof/>
            <w:webHidden/>
          </w:rPr>
          <w:fldChar w:fldCharType="separate"/>
        </w:r>
        <w:r>
          <w:rPr>
            <w:noProof/>
            <w:webHidden/>
          </w:rPr>
          <w:t>59</w:t>
        </w:r>
        <w:r>
          <w:rPr>
            <w:noProof/>
            <w:webHidden/>
          </w:rPr>
          <w:fldChar w:fldCharType="end"/>
        </w:r>
      </w:hyperlink>
    </w:p>
    <w:p w14:paraId="02BCF2FA" w14:textId="6234D680"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4" w:history="1">
        <w:r w:rsidRPr="005D6259">
          <w:rPr>
            <w:rStyle w:val="Hyperlink"/>
            <w:noProof/>
          </w:rPr>
          <w:t>Azure ExpressRoute Traffic Collector</w:t>
        </w:r>
        <w:r>
          <w:rPr>
            <w:noProof/>
            <w:webHidden/>
          </w:rPr>
          <w:tab/>
        </w:r>
        <w:r>
          <w:rPr>
            <w:noProof/>
            <w:webHidden/>
          </w:rPr>
          <w:fldChar w:fldCharType="begin"/>
        </w:r>
        <w:r>
          <w:rPr>
            <w:noProof/>
            <w:webHidden/>
          </w:rPr>
          <w:instrText xml:space="preserve"> PAGEREF _Toc239176474 \h </w:instrText>
        </w:r>
        <w:r>
          <w:rPr>
            <w:noProof/>
            <w:webHidden/>
          </w:rPr>
        </w:r>
        <w:r>
          <w:rPr>
            <w:noProof/>
            <w:webHidden/>
          </w:rPr>
          <w:fldChar w:fldCharType="separate"/>
        </w:r>
        <w:r>
          <w:rPr>
            <w:noProof/>
            <w:webHidden/>
          </w:rPr>
          <w:t>60</w:t>
        </w:r>
        <w:r>
          <w:rPr>
            <w:noProof/>
            <w:webHidden/>
          </w:rPr>
          <w:fldChar w:fldCharType="end"/>
        </w:r>
      </w:hyperlink>
    </w:p>
    <w:p w14:paraId="25C20264" w14:textId="7F441F5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5" w:history="1">
        <w:r w:rsidRPr="005D6259">
          <w:rPr>
            <w:rStyle w:val="Hyperlink"/>
            <w:noProof/>
          </w:rPr>
          <w:t xml:space="preserve">Camada Premium dos </w:t>
        </w:r>
        <w:r w:rsidRPr="005D6259">
          <w:rPr>
            <w:rStyle w:val="Hyperlink"/>
            <w:noProof/>
            <w:bdr w:val="none" w:sz="0" w:space="0" w:color="auto" w:frame="1"/>
          </w:rPr>
          <w:t>Ficheiros do Azure</w:t>
        </w:r>
        <w:r>
          <w:rPr>
            <w:noProof/>
            <w:webHidden/>
          </w:rPr>
          <w:tab/>
        </w:r>
        <w:r>
          <w:rPr>
            <w:noProof/>
            <w:webHidden/>
          </w:rPr>
          <w:fldChar w:fldCharType="begin"/>
        </w:r>
        <w:r>
          <w:rPr>
            <w:noProof/>
            <w:webHidden/>
          </w:rPr>
          <w:instrText xml:space="preserve"> PAGEREF _Toc239176475 \h </w:instrText>
        </w:r>
        <w:r>
          <w:rPr>
            <w:noProof/>
            <w:webHidden/>
          </w:rPr>
        </w:r>
        <w:r>
          <w:rPr>
            <w:noProof/>
            <w:webHidden/>
          </w:rPr>
          <w:fldChar w:fldCharType="separate"/>
        </w:r>
        <w:r>
          <w:rPr>
            <w:noProof/>
            <w:webHidden/>
          </w:rPr>
          <w:t>60</w:t>
        </w:r>
        <w:r>
          <w:rPr>
            <w:noProof/>
            <w:webHidden/>
          </w:rPr>
          <w:fldChar w:fldCharType="end"/>
        </w:r>
      </w:hyperlink>
    </w:p>
    <w:p w14:paraId="1EE28F31" w14:textId="0537331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6" w:history="1">
        <w:r w:rsidRPr="005D6259">
          <w:rPr>
            <w:rStyle w:val="Hyperlink"/>
            <w:noProof/>
          </w:rPr>
          <w:t>Azure Firewall</w:t>
        </w:r>
        <w:r>
          <w:rPr>
            <w:noProof/>
            <w:webHidden/>
          </w:rPr>
          <w:tab/>
        </w:r>
        <w:r>
          <w:rPr>
            <w:noProof/>
            <w:webHidden/>
          </w:rPr>
          <w:fldChar w:fldCharType="begin"/>
        </w:r>
        <w:r>
          <w:rPr>
            <w:noProof/>
            <w:webHidden/>
          </w:rPr>
          <w:instrText xml:space="preserve"> PAGEREF _Toc239176476 \h </w:instrText>
        </w:r>
        <w:r>
          <w:rPr>
            <w:noProof/>
            <w:webHidden/>
          </w:rPr>
        </w:r>
        <w:r>
          <w:rPr>
            <w:noProof/>
            <w:webHidden/>
          </w:rPr>
          <w:fldChar w:fldCharType="separate"/>
        </w:r>
        <w:r>
          <w:rPr>
            <w:noProof/>
            <w:webHidden/>
          </w:rPr>
          <w:t>60</w:t>
        </w:r>
        <w:r>
          <w:rPr>
            <w:noProof/>
            <w:webHidden/>
          </w:rPr>
          <w:fldChar w:fldCharType="end"/>
        </w:r>
      </w:hyperlink>
    </w:p>
    <w:p w14:paraId="749C06F7" w14:textId="18A04B00"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7" w:history="1">
        <w:r w:rsidRPr="005D6259">
          <w:rPr>
            <w:rStyle w:val="Hyperlink"/>
            <w:noProof/>
          </w:rPr>
          <w:t>Azure Fluid Relay</w:t>
        </w:r>
        <w:r>
          <w:rPr>
            <w:noProof/>
            <w:webHidden/>
          </w:rPr>
          <w:tab/>
        </w:r>
        <w:r>
          <w:rPr>
            <w:noProof/>
            <w:webHidden/>
          </w:rPr>
          <w:fldChar w:fldCharType="begin"/>
        </w:r>
        <w:r>
          <w:rPr>
            <w:noProof/>
            <w:webHidden/>
          </w:rPr>
          <w:instrText xml:space="preserve"> PAGEREF _Toc239176477 \h </w:instrText>
        </w:r>
        <w:r>
          <w:rPr>
            <w:noProof/>
            <w:webHidden/>
          </w:rPr>
        </w:r>
        <w:r>
          <w:rPr>
            <w:noProof/>
            <w:webHidden/>
          </w:rPr>
          <w:fldChar w:fldCharType="separate"/>
        </w:r>
        <w:r>
          <w:rPr>
            <w:noProof/>
            <w:webHidden/>
          </w:rPr>
          <w:t>61</w:t>
        </w:r>
        <w:r>
          <w:rPr>
            <w:noProof/>
            <w:webHidden/>
          </w:rPr>
          <w:fldChar w:fldCharType="end"/>
        </w:r>
      </w:hyperlink>
    </w:p>
    <w:p w14:paraId="20C42C77" w14:textId="72B34D8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8" w:history="1">
        <w:r w:rsidRPr="005D6259">
          <w:rPr>
            <w:rStyle w:val="Hyperlink"/>
            <w:noProof/>
          </w:rPr>
          <w:t>Azure Front Door e Azure Front Door (clássico)</w:t>
        </w:r>
        <w:r>
          <w:rPr>
            <w:noProof/>
            <w:webHidden/>
          </w:rPr>
          <w:tab/>
        </w:r>
        <w:r>
          <w:rPr>
            <w:noProof/>
            <w:webHidden/>
          </w:rPr>
          <w:fldChar w:fldCharType="begin"/>
        </w:r>
        <w:r>
          <w:rPr>
            <w:noProof/>
            <w:webHidden/>
          </w:rPr>
          <w:instrText xml:space="preserve"> PAGEREF _Toc239176478 \h </w:instrText>
        </w:r>
        <w:r>
          <w:rPr>
            <w:noProof/>
            <w:webHidden/>
          </w:rPr>
        </w:r>
        <w:r>
          <w:rPr>
            <w:noProof/>
            <w:webHidden/>
          </w:rPr>
          <w:fldChar w:fldCharType="separate"/>
        </w:r>
        <w:r>
          <w:rPr>
            <w:noProof/>
            <w:webHidden/>
          </w:rPr>
          <w:t>61</w:t>
        </w:r>
        <w:r>
          <w:rPr>
            <w:noProof/>
            <w:webHidden/>
          </w:rPr>
          <w:fldChar w:fldCharType="end"/>
        </w:r>
      </w:hyperlink>
    </w:p>
    <w:p w14:paraId="20EA9917" w14:textId="742D190D" w:rsidR="004F0B8A" w:rsidRDefault="004F0B8A">
      <w:pPr>
        <w:pStyle w:val="TOC4"/>
        <w:rPr>
          <w:rFonts w:eastAsiaTheme="minorEastAsia"/>
          <w:smallCaps w:val="0"/>
          <w:noProof/>
          <w:kern w:val="2"/>
          <w:sz w:val="24"/>
          <w:szCs w:val="24"/>
          <w:lang w:val="en-US" w:eastAsia="zh-CN" w:bidi="he-IL"/>
          <w14:ligatures w14:val="standardContextual"/>
        </w:rPr>
      </w:pPr>
      <w:hyperlink w:anchor="_Toc239176479" w:history="1">
        <w:r w:rsidRPr="005D6259">
          <w:rPr>
            <w:rStyle w:val="Hyperlink"/>
            <w:noProof/>
          </w:rPr>
          <w:t>Funções do Azure</w:t>
        </w:r>
        <w:r>
          <w:rPr>
            <w:noProof/>
            <w:webHidden/>
          </w:rPr>
          <w:tab/>
        </w:r>
        <w:r>
          <w:rPr>
            <w:noProof/>
            <w:webHidden/>
          </w:rPr>
          <w:fldChar w:fldCharType="begin"/>
        </w:r>
        <w:r>
          <w:rPr>
            <w:noProof/>
            <w:webHidden/>
          </w:rPr>
          <w:instrText xml:space="preserve"> PAGEREF _Toc239176479 \h </w:instrText>
        </w:r>
        <w:r>
          <w:rPr>
            <w:noProof/>
            <w:webHidden/>
          </w:rPr>
        </w:r>
        <w:r>
          <w:rPr>
            <w:noProof/>
            <w:webHidden/>
          </w:rPr>
          <w:fldChar w:fldCharType="separate"/>
        </w:r>
        <w:r>
          <w:rPr>
            <w:noProof/>
            <w:webHidden/>
          </w:rPr>
          <w:t>62</w:t>
        </w:r>
        <w:r>
          <w:rPr>
            <w:noProof/>
            <w:webHidden/>
          </w:rPr>
          <w:fldChar w:fldCharType="end"/>
        </w:r>
      </w:hyperlink>
    </w:p>
    <w:p w14:paraId="62FFC23F" w14:textId="4F261AEA"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0" w:history="1">
        <w:r w:rsidRPr="005D6259">
          <w:rPr>
            <w:rStyle w:val="Hyperlink"/>
            <w:noProof/>
          </w:rPr>
          <w:t>Acesso Seguro Global</w:t>
        </w:r>
        <w:r>
          <w:rPr>
            <w:noProof/>
            <w:webHidden/>
          </w:rPr>
          <w:tab/>
        </w:r>
        <w:r>
          <w:rPr>
            <w:noProof/>
            <w:webHidden/>
          </w:rPr>
          <w:fldChar w:fldCharType="begin"/>
        </w:r>
        <w:r>
          <w:rPr>
            <w:noProof/>
            <w:webHidden/>
          </w:rPr>
          <w:instrText xml:space="preserve"> PAGEREF _Toc239176480 \h </w:instrText>
        </w:r>
        <w:r>
          <w:rPr>
            <w:noProof/>
            <w:webHidden/>
          </w:rPr>
        </w:r>
        <w:r>
          <w:rPr>
            <w:noProof/>
            <w:webHidden/>
          </w:rPr>
          <w:fldChar w:fldCharType="separate"/>
        </w:r>
        <w:r>
          <w:rPr>
            <w:noProof/>
            <w:webHidden/>
          </w:rPr>
          <w:t>63</w:t>
        </w:r>
        <w:r>
          <w:rPr>
            <w:noProof/>
            <w:webHidden/>
          </w:rPr>
          <w:fldChar w:fldCharType="end"/>
        </w:r>
      </w:hyperlink>
    </w:p>
    <w:p w14:paraId="08CBE240" w14:textId="441A71B8"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1" w:history="1">
        <w:r w:rsidRPr="005D6259">
          <w:rPr>
            <w:rStyle w:val="Hyperlink"/>
            <w:noProof/>
          </w:rPr>
          <w:t>HDInsight</w:t>
        </w:r>
        <w:r>
          <w:rPr>
            <w:noProof/>
            <w:webHidden/>
          </w:rPr>
          <w:tab/>
        </w:r>
        <w:r>
          <w:rPr>
            <w:noProof/>
            <w:webHidden/>
          </w:rPr>
          <w:fldChar w:fldCharType="begin"/>
        </w:r>
        <w:r>
          <w:rPr>
            <w:noProof/>
            <w:webHidden/>
          </w:rPr>
          <w:instrText xml:space="preserve"> PAGEREF _Toc239176481 \h </w:instrText>
        </w:r>
        <w:r>
          <w:rPr>
            <w:noProof/>
            <w:webHidden/>
          </w:rPr>
        </w:r>
        <w:r>
          <w:rPr>
            <w:noProof/>
            <w:webHidden/>
          </w:rPr>
          <w:fldChar w:fldCharType="separate"/>
        </w:r>
        <w:r>
          <w:rPr>
            <w:noProof/>
            <w:webHidden/>
          </w:rPr>
          <w:t>63</w:t>
        </w:r>
        <w:r>
          <w:rPr>
            <w:noProof/>
            <w:webHidden/>
          </w:rPr>
          <w:fldChar w:fldCharType="end"/>
        </w:r>
      </w:hyperlink>
    </w:p>
    <w:p w14:paraId="10B3724A" w14:textId="4572C73B"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2" w:history="1">
        <w:r w:rsidRPr="005D6259">
          <w:rPr>
            <w:rStyle w:val="Hyperlink"/>
            <w:noProof/>
          </w:rPr>
          <w:t>Azure Health Data Services (excluindo o Serviço MedTech)</w:t>
        </w:r>
        <w:r>
          <w:rPr>
            <w:noProof/>
            <w:webHidden/>
          </w:rPr>
          <w:tab/>
        </w:r>
        <w:r>
          <w:rPr>
            <w:noProof/>
            <w:webHidden/>
          </w:rPr>
          <w:fldChar w:fldCharType="begin"/>
        </w:r>
        <w:r>
          <w:rPr>
            <w:noProof/>
            <w:webHidden/>
          </w:rPr>
          <w:instrText xml:space="preserve"> PAGEREF _Toc239176482 \h </w:instrText>
        </w:r>
        <w:r>
          <w:rPr>
            <w:noProof/>
            <w:webHidden/>
          </w:rPr>
        </w:r>
        <w:r>
          <w:rPr>
            <w:noProof/>
            <w:webHidden/>
          </w:rPr>
          <w:fldChar w:fldCharType="separate"/>
        </w:r>
        <w:r>
          <w:rPr>
            <w:noProof/>
            <w:webHidden/>
          </w:rPr>
          <w:t>64</w:t>
        </w:r>
        <w:r>
          <w:rPr>
            <w:noProof/>
            <w:webHidden/>
          </w:rPr>
          <w:fldChar w:fldCharType="end"/>
        </w:r>
      </w:hyperlink>
    </w:p>
    <w:p w14:paraId="4F344DD5" w14:textId="6611691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3" w:history="1">
        <w:r w:rsidRPr="005D6259">
          <w:rPr>
            <w:rStyle w:val="Hyperlink"/>
            <w:noProof/>
          </w:rPr>
          <w:t>Health Bot</w:t>
        </w:r>
        <w:r>
          <w:rPr>
            <w:noProof/>
            <w:webHidden/>
          </w:rPr>
          <w:tab/>
        </w:r>
        <w:r>
          <w:rPr>
            <w:noProof/>
            <w:webHidden/>
          </w:rPr>
          <w:fldChar w:fldCharType="begin"/>
        </w:r>
        <w:r>
          <w:rPr>
            <w:noProof/>
            <w:webHidden/>
          </w:rPr>
          <w:instrText xml:space="preserve"> PAGEREF _Toc239176483 \h </w:instrText>
        </w:r>
        <w:r>
          <w:rPr>
            <w:noProof/>
            <w:webHidden/>
          </w:rPr>
        </w:r>
        <w:r>
          <w:rPr>
            <w:noProof/>
            <w:webHidden/>
          </w:rPr>
          <w:fldChar w:fldCharType="separate"/>
        </w:r>
        <w:r>
          <w:rPr>
            <w:noProof/>
            <w:webHidden/>
          </w:rPr>
          <w:t>64</w:t>
        </w:r>
        <w:r>
          <w:rPr>
            <w:noProof/>
            <w:webHidden/>
          </w:rPr>
          <w:fldChar w:fldCharType="end"/>
        </w:r>
      </w:hyperlink>
    </w:p>
    <w:p w14:paraId="249AD320" w14:textId="115E0312"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4" w:history="1">
        <w:r w:rsidRPr="005D6259">
          <w:rPr>
            <w:rStyle w:val="Hyperlink"/>
            <w:noProof/>
          </w:rPr>
          <w:t>Proteção de Informação do Azure</w:t>
        </w:r>
        <w:r>
          <w:rPr>
            <w:noProof/>
            <w:webHidden/>
          </w:rPr>
          <w:tab/>
        </w:r>
        <w:r>
          <w:rPr>
            <w:noProof/>
            <w:webHidden/>
          </w:rPr>
          <w:fldChar w:fldCharType="begin"/>
        </w:r>
        <w:r>
          <w:rPr>
            <w:noProof/>
            <w:webHidden/>
          </w:rPr>
          <w:instrText xml:space="preserve"> PAGEREF _Toc239176484 \h </w:instrText>
        </w:r>
        <w:r>
          <w:rPr>
            <w:noProof/>
            <w:webHidden/>
          </w:rPr>
        </w:r>
        <w:r>
          <w:rPr>
            <w:noProof/>
            <w:webHidden/>
          </w:rPr>
          <w:fldChar w:fldCharType="separate"/>
        </w:r>
        <w:r>
          <w:rPr>
            <w:noProof/>
            <w:webHidden/>
          </w:rPr>
          <w:t>65</w:t>
        </w:r>
        <w:r>
          <w:rPr>
            <w:noProof/>
            <w:webHidden/>
          </w:rPr>
          <w:fldChar w:fldCharType="end"/>
        </w:r>
      </w:hyperlink>
    </w:p>
    <w:p w14:paraId="62A237EF" w14:textId="03F5AFEB"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5" w:history="1">
        <w:r w:rsidRPr="005D6259">
          <w:rPr>
            <w:rStyle w:val="Hyperlink"/>
            <w:noProof/>
          </w:rPr>
          <w:t>Azure IoT Central</w:t>
        </w:r>
        <w:r>
          <w:rPr>
            <w:noProof/>
            <w:webHidden/>
          </w:rPr>
          <w:tab/>
        </w:r>
        <w:r>
          <w:rPr>
            <w:noProof/>
            <w:webHidden/>
          </w:rPr>
          <w:fldChar w:fldCharType="begin"/>
        </w:r>
        <w:r>
          <w:rPr>
            <w:noProof/>
            <w:webHidden/>
          </w:rPr>
          <w:instrText xml:space="preserve"> PAGEREF _Toc239176485 \h </w:instrText>
        </w:r>
        <w:r>
          <w:rPr>
            <w:noProof/>
            <w:webHidden/>
          </w:rPr>
        </w:r>
        <w:r>
          <w:rPr>
            <w:noProof/>
            <w:webHidden/>
          </w:rPr>
          <w:fldChar w:fldCharType="separate"/>
        </w:r>
        <w:r>
          <w:rPr>
            <w:noProof/>
            <w:webHidden/>
          </w:rPr>
          <w:t>65</w:t>
        </w:r>
        <w:r>
          <w:rPr>
            <w:noProof/>
            <w:webHidden/>
          </w:rPr>
          <w:fldChar w:fldCharType="end"/>
        </w:r>
      </w:hyperlink>
    </w:p>
    <w:p w14:paraId="0448A657" w14:textId="26E68574"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6" w:history="1">
        <w:r w:rsidRPr="005D6259">
          <w:rPr>
            <w:rStyle w:val="Hyperlink"/>
            <w:noProof/>
          </w:rPr>
          <w:t>Hub IoT do Azure</w:t>
        </w:r>
        <w:r>
          <w:rPr>
            <w:noProof/>
            <w:webHidden/>
          </w:rPr>
          <w:tab/>
        </w:r>
        <w:r>
          <w:rPr>
            <w:noProof/>
            <w:webHidden/>
          </w:rPr>
          <w:fldChar w:fldCharType="begin"/>
        </w:r>
        <w:r>
          <w:rPr>
            <w:noProof/>
            <w:webHidden/>
          </w:rPr>
          <w:instrText xml:space="preserve"> PAGEREF _Toc239176486 \h </w:instrText>
        </w:r>
        <w:r>
          <w:rPr>
            <w:noProof/>
            <w:webHidden/>
          </w:rPr>
        </w:r>
        <w:r>
          <w:rPr>
            <w:noProof/>
            <w:webHidden/>
          </w:rPr>
          <w:fldChar w:fldCharType="separate"/>
        </w:r>
        <w:r>
          <w:rPr>
            <w:noProof/>
            <w:webHidden/>
          </w:rPr>
          <w:t>65</w:t>
        </w:r>
        <w:r>
          <w:rPr>
            <w:noProof/>
            <w:webHidden/>
          </w:rPr>
          <w:fldChar w:fldCharType="end"/>
        </w:r>
      </w:hyperlink>
    </w:p>
    <w:p w14:paraId="72221B43" w14:textId="67B7CF82"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7" w:history="1">
        <w:r w:rsidRPr="005D6259">
          <w:rPr>
            <w:rStyle w:val="Hyperlink"/>
            <w:noProof/>
          </w:rPr>
          <w:t>Cofre de Chaves</w:t>
        </w:r>
        <w:r>
          <w:rPr>
            <w:noProof/>
            <w:webHidden/>
          </w:rPr>
          <w:tab/>
        </w:r>
        <w:r>
          <w:rPr>
            <w:noProof/>
            <w:webHidden/>
          </w:rPr>
          <w:fldChar w:fldCharType="begin"/>
        </w:r>
        <w:r>
          <w:rPr>
            <w:noProof/>
            <w:webHidden/>
          </w:rPr>
          <w:instrText xml:space="preserve"> PAGEREF _Toc239176487 \h </w:instrText>
        </w:r>
        <w:r>
          <w:rPr>
            <w:noProof/>
            <w:webHidden/>
          </w:rPr>
        </w:r>
        <w:r>
          <w:rPr>
            <w:noProof/>
            <w:webHidden/>
          </w:rPr>
          <w:fldChar w:fldCharType="separate"/>
        </w:r>
        <w:r>
          <w:rPr>
            <w:noProof/>
            <w:webHidden/>
          </w:rPr>
          <w:t>66</w:t>
        </w:r>
        <w:r>
          <w:rPr>
            <w:noProof/>
            <w:webHidden/>
          </w:rPr>
          <w:fldChar w:fldCharType="end"/>
        </w:r>
      </w:hyperlink>
    </w:p>
    <w:p w14:paraId="217CDA5E" w14:textId="5B818CF1"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8" w:history="1">
        <w:r w:rsidRPr="005D6259">
          <w:rPr>
            <w:rStyle w:val="Hyperlink"/>
            <w:noProof/>
            <w:lang w:val="en-IN"/>
          </w:rPr>
          <w:t>Azure Key Vault Managed HSM</w:t>
        </w:r>
        <w:r>
          <w:rPr>
            <w:noProof/>
            <w:webHidden/>
          </w:rPr>
          <w:tab/>
        </w:r>
        <w:r>
          <w:rPr>
            <w:noProof/>
            <w:webHidden/>
          </w:rPr>
          <w:fldChar w:fldCharType="begin"/>
        </w:r>
        <w:r>
          <w:rPr>
            <w:noProof/>
            <w:webHidden/>
          </w:rPr>
          <w:instrText xml:space="preserve"> PAGEREF _Toc239176488 \h </w:instrText>
        </w:r>
        <w:r>
          <w:rPr>
            <w:noProof/>
            <w:webHidden/>
          </w:rPr>
        </w:r>
        <w:r>
          <w:rPr>
            <w:noProof/>
            <w:webHidden/>
          </w:rPr>
          <w:fldChar w:fldCharType="separate"/>
        </w:r>
        <w:r>
          <w:rPr>
            <w:noProof/>
            <w:webHidden/>
          </w:rPr>
          <w:t>67</w:t>
        </w:r>
        <w:r>
          <w:rPr>
            <w:noProof/>
            <w:webHidden/>
          </w:rPr>
          <w:fldChar w:fldCharType="end"/>
        </w:r>
      </w:hyperlink>
    </w:p>
    <w:p w14:paraId="4DD219E5" w14:textId="35CA0526" w:rsidR="004F0B8A" w:rsidRDefault="004F0B8A">
      <w:pPr>
        <w:pStyle w:val="TOC4"/>
        <w:rPr>
          <w:rFonts w:eastAsiaTheme="minorEastAsia"/>
          <w:smallCaps w:val="0"/>
          <w:noProof/>
          <w:kern w:val="2"/>
          <w:sz w:val="24"/>
          <w:szCs w:val="24"/>
          <w:lang w:val="en-US" w:eastAsia="zh-CN" w:bidi="he-IL"/>
          <w14:ligatures w14:val="standardContextual"/>
        </w:rPr>
      </w:pPr>
      <w:hyperlink w:anchor="_Toc239176489" w:history="1">
        <w:r w:rsidRPr="005D6259">
          <w:rPr>
            <w:rStyle w:val="Hyperlink"/>
            <w:noProof/>
          </w:rPr>
          <w:t>Azure Kubernetes Service (AKS)</w:t>
        </w:r>
        <w:r>
          <w:rPr>
            <w:noProof/>
            <w:webHidden/>
          </w:rPr>
          <w:tab/>
        </w:r>
        <w:r>
          <w:rPr>
            <w:noProof/>
            <w:webHidden/>
          </w:rPr>
          <w:fldChar w:fldCharType="begin"/>
        </w:r>
        <w:r>
          <w:rPr>
            <w:noProof/>
            <w:webHidden/>
          </w:rPr>
          <w:instrText xml:space="preserve"> PAGEREF _Toc239176489 \h </w:instrText>
        </w:r>
        <w:r>
          <w:rPr>
            <w:noProof/>
            <w:webHidden/>
          </w:rPr>
        </w:r>
        <w:r>
          <w:rPr>
            <w:noProof/>
            <w:webHidden/>
          </w:rPr>
          <w:fldChar w:fldCharType="separate"/>
        </w:r>
        <w:r>
          <w:rPr>
            <w:noProof/>
            <w:webHidden/>
          </w:rPr>
          <w:t>67</w:t>
        </w:r>
        <w:r>
          <w:rPr>
            <w:noProof/>
            <w:webHidden/>
          </w:rPr>
          <w:fldChar w:fldCharType="end"/>
        </w:r>
      </w:hyperlink>
    </w:p>
    <w:p w14:paraId="1038468D" w14:textId="4F376794"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0" w:history="1">
        <w:r w:rsidRPr="005D6259">
          <w:rPr>
            <w:rStyle w:val="Hyperlink"/>
            <w:noProof/>
          </w:rPr>
          <w:t>Clusters Automáticos do Serviço Azure Kubernetes (AKS)</w:t>
        </w:r>
        <w:r>
          <w:rPr>
            <w:noProof/>
            <w:webHidden/>
          </w:rPr>
          <w:tab/>
        </w:r>
        <w:r>
          <w:rPr>
            <w:noProof/>
            <w:webHidden/>
          </w:rPr>
          <w:fldChar w:fldCharType="begin"/>
        </w:r>
        <w:r>
          <w:rPr>
            <w:noProof/>
            <w:webHidden/>
          </w:rPr>
          <w:instrText xml:space="preserve"> PAGEREF _Toc239176490 \h </w:instrText>
        </w:r>
        <w:r>
          <w:rPr>
            <w:noProof/>
            <w:webHidden/>
          </w:rPr>
        </w:r>
        <w:r>
          <w:rPr>
            <w:noProof/>
            <w:webHidden/>
          </w:rPr>
          <w:fldChar w:fldCharType="separate"/>
        </w:r>
        <w:r>
          <w:rPr>
            <w:noProof/>
            <w:webHidden/>
          </w:rPr>
          <w:t>68</w:t>
        </w:r>
        <w:r>
          <w:rPr>
            <w:noProof/>
            <w:webHidden/>
          </w:rPr>
          <w:fldChar w:fldCharType="end"/>
        </w:r>
      </w:hyperlink>
    </w:p>
    <w:p w14:paraId="59F75953" w14:textId="1A89CBF8"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1" w:history="1">
        <w:r w:rsidRPr="005D6259">
          <w:rPr>
            <w:rStyle w:val="Hyperlink"/>
            <w:noProof/>
          </w:rPr>
          <w:t>Azure Lab Services</w:t>
        </w:r>
        <w:r>
          <w:rPr>
            <w:noProof/>
            <w:webHidden/>
          </w:rPr>
          <w:tab/>
        </w:r>
        <w:r>
          <w:rPr>
            <w:noProof/>
            <w:webHidden/>
          </w:rPr>
          <w:fldChar w:fldCharType="begin"/>
        </w:r>
        <w:r>
          <w:rPr>
            <w:noProof/>
            <w:webHidden/>
          </w:rPr>
          <w:instrText xml:space="preserve"> PAGEREF _Toc239176491 \h </w:instrText>
        </w:r>
        <w:r>
          <w:rPr>
            <w:noProof/>
            <w:webHidden/>
          </w:rPr>
        </w:r>
        <w:r>
          <w:rPr>
            <w:noProof/>
            <w:webHidden/>
          </w:rPr>
          <w:fldChar w:fldCharType="separate"/>
        </w:r>
        <w:r>
          <w:rPr>
            <w:noProof/>
            <w:webHidden/>
          </w:rPr>
          <w:t>69</w:t>
        </w:r>
        <w:r>
          <w:rPr>
            <w:noProof/>
            <w:webHidden/>
          </w:rPr>
          <w:fldChar w:fldCharType="end"/>
        </w:r>
      </w:hyperlink>
    </w:p>
    <w:p w14:paraId="012AB7A6" w14:textId="6A8D4E28"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2" w:history="1">
        <w:r w:rsidRPr="005D6259">
          <w:rPr>
            <w:rStyle w:val="Hyperlink"/>
            <w:noProof/>
          </w:rPr>
          <w:t>Balanceador de Carga do Azure</w:t>
        </w:r>
        <w:r>
          <w:rPr>
            <w:noProof/>
            <w:webHidden/>
          </w:rPr>
          <w:tab/>
        </w:r>
        <w:r>
          <w:rPr>
            <w:noProof/>
            <w:webHidden/>
          </w:rPr>
          <w:fldChar w:fldCharType="begin"/>
        </w:r>
        <w:r>
          <w:rPr>
            <w:noProof/>
            <w:webHidden/>
          </w:rPr>
          <w:instrText xml:space="preserve"> PAGEREF _Toc239176492 \h </w:instrText>
        </w:r>
        <w:r>
          <w:rPr>
            <w:noProof/>
            <w:webHidden/>
          </w:rPr>
        </w:r>
        <w:r>
          <w:rPr>
            <w:noProof/>
            <w:webHidden/>
          </w:rPr>
          <w:fldChar w:fldCharType="separate"/>
        </w:r>
        <w:r>
          <w:rPr>
            <w:noProof/>
            <w:webHidden/>
          </w:rPr>
          <w:t>70</w:t>
        </w:r>
        <w:r>
          <w:rPr>
            <w:noProof/>
            <w:webHidden/>
          </w:rPr>
          <w:fldChar w:fldCharType="end"/>
        </w:r>
      </w:hyperlink>
    </w:p>
    <w:p w14:paraId="5ED3FD65" w14:textId="6BEA7467"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3" w:history="1">
        <w:r w:rsidRPr="005D6259">
          <w:rPr>
            <w:rStyle w:val="Hyperlink"/>
            <w:noProof/>
          </w:rPr>
          <w:t>Azure Load Testing</w:t>
        </w:r>
        <w:r>
          <w:rPr>
            <w:noProof/>
            <w:webHidden/>
          </w:rPr>
          <w:tab/>
        </w:r>
        <w:r>
          <w:rPr>
            <w:noProof/>
            <w:webHidden/>
          </w:rPr>
          <w:fldChar w:fldCharType="begin"/>
        </w:r>
        <w:r>
          <w:rPr>
            <w:noProof/>
            <w:webHidden/>
          </w:rPr>
          <w:instrText xml:space="preserve"> PAGEREF _Toc239176493 \h </w:instrText>
        </w:r>
        <w:r>
          <w:rPr>
            <w:noProof/>
            <w:webHidden/>
          </w:rPr>
        </w:r>
        <w:r>
          <w:rPr>
            <w:noProof/>
            <w:webHidden/>
          </w:rPr>
          <w:fldChar w:fldCharType="separate"/>
        </w:r>
        <w:r>
          <w:rPr>
            <w:noProof/>
            <w:webHidden/>
          </w:rPr>
          <w:t>70</w:t>
        </w:r>
        <w:r>
          <w:rPr>
            <w:noProof/>
            <w:webHidden/>
          </w:rPr>
          <w:fldChar w:fldCharType="end"/>
        </w:r>
      </w:hyperlink>
    </w:p>
    <w:p w14:paraId="05ACFE56" w14:textId="0AFF9446"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4" w:history="1">
        <w:r w:rsidRPr="005D6259">
          <w:rPr>
            <w:rStyle w:val="Hyperlink"/>
            <w:noProof/>
          </w:rPr>
          <w:t>Log Analytics (SLA de Disponibilidade de Consultas)</w:t>
        </w:r>
        <w:r>
          <w:rPr>
            <w:noProof/>
            <w:webHidden/>
          </w:rPr>
          <w:tab/>
        </w:r>
        <w:r>
          <w:rPr>
            <w:noProof/>
            <w:webHidden/>
          </w:rPr>
          <w:fldChar w:fldCharType="begin"/>
        </w:r>
        <w:r>
          <w:rPr>
            <w:noProof/>
            <w:webHidden/>
          </w:rPr>
          <w:instrText xml:space="preserve"> PAGEREF _Toc239176494 \h </w:instrText>
        </w:r>
        <w:r>
          <w:rPr>
            <w:noProof/>
            <w:webHidden/>
          </w:rPr>
        </w:r>
        <w:r>
          <w:rPr>
            <w:noProof/>
            <w:webHidden/>
          </w:rPr>
          <w:fldChar w:fldCharType="separate"/>
        </w:r>
        <w:r>
          <w:rPr>
            <w:noProof/>
            <w:webHidden/>
          </w:rPr>
          <w:t>71</w:t>
        </w:r>
        <w:r>
          <w:rPr>
            <w:noProof/>
            <w:webHidden/>
          </w:rPr>
          <w:fldChar w:fldCharType="end"/>
        </w:r>
      </w:hyperlink>
    </w:p>
    <w:p w14:paraId="58A5E4BC" w14:textId="2074F36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5" w:history="1">
        <w:r w:rsidRPr="005D6259">
          <w:rPr>
            <w:rStyle w:val="Hyperlink"/>
            <w:noProof/>
          </w:rPr>
          <w:t>Aplicações Lógicas</w:t>
        </w:r>
        <w:r>
          <w:rPr>
            <w:noProof/>
            <w:webHidden/>
          </w:rPr>
          <w:tab/>
        </w:r>
        <w:r>
          <w:rPr>
            <w:noProof/>
            <w:webHidden/>
          </w:rPr>
          <w:fldChar w:fldCharType="begin"/>
        </w:r>
        <w:r>
          <w:rPr>
            <w:noProof/>
            <w:webHidden/>
          </w:rPr>
          <w:instrText xml:space="preserve"> PAGEREF _Toc239176495 \h </w:instrText>
        </w:r>
        <w:r>
          <w:rPr>
            <w:noProof/>
            <w:webHidden/>
          </w:rPr>
        </w:r>
        <w:r>
          <w:rPr>
            <w:noProof/>
            <w:webHidden/>
          </w:rPr>
          <w:fldChar w:fldCharType="separate"/>
        </w:r>
        <w:r>
          <w:rPr>
            <w:noProof/>
            <w:webHidden/>
          </w:rPr>
          <w:t>71</w:t>
        </w:r>
        <w:r>
          <w:rPr>
            <w:noProof/>
            <w:webHidden/>
          </w:rPr>
          <w:fldChar w:fldCharType="end"/>
        </w:r>
      </w:hyperlink>
    </w:p>
    <w:p w14:paraId="6F44E2AD" w14:textId="70888C2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6" w:history="1">
        <w:r w:rsidRPr="005D6259">
          <w:rPr>
            <w:rStyle w:val="Hyperlink"/>
            <w:noProof/>
          </w:rPr>
          <w:t>Azure Machine Learning</w:t>
        </w:r>
        <w:r>
          <w:rPr>
            <w:noProof/>
            <w:webHidden/>
          </w:rPr>
          <w:tab/>
        </w:r>
        <w:r>
          <w:rPr>
            <w:noProof/>
            <w:webHidden/>
          </w:rPr>
          <w:fldChar w:fldCharType="begin"/>
        </w:r>
        <w:r>
          <w:rPr>
            <w:noProof/>
            <w:webHidden/>
          </w:rPr>
          <w:instrText xml:space="preserve"> PAGEREF _Toc239176496 \h </w:instrText>
        </w:r>
        <w:r>
          <w:rPr>
            <w:noProof/>
            <w:webHidden/>
          </w:rPr>
        </w:r>
        <w:r>
          <w:rPr>
            <w:noProof/>
            <w:webHidden/>
          </w:rPr>
          <w:fldChar w:fldCharType="separate"/>
        </w:r>
        <w:r>
          <w:rPr>
            <w:noProof/>
            <w:webHidden/>
          </w:rPr>
          <w:t>72</w:t>
        </w:r>
        <w:r>
          <w:rPr>
            <w:noProof/>
            <w:webHidden/>
          </w:rPr>
          <w:fldChar w:fldCharType="end"/>
        </w:r>
      </w:hyperlink>
    </w:p>
    <w:p w14:paraId="40B8F3A5" w14:textId="07F2935F"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7" w:history="1">
        <w:r w:rsidRPr="005D6259">
          <w:rPr>
            <w:rStyle w:val="Hyperlink"/>
            <w:noProof/>
          </w:rPr>
          <w:t>Azure Managed Grafana</w:t>
        </w:r>
        <w:r>
          <w:rPr>
            <w:noProof/>
            <w:webHidden/>
          </w:rPr>
          <w:tab/>
        </w:r>
        <w:r>
          <w:rPr>
            <w:noProof/>
            <w:webHidden/>
          </w:rPr>
          <w:fldChar w:fldCharType="begin"/>
        </w:r>
        <w:r>
          <w:rPr>
            <w:noProof/>
            <w:webHidden/>
          </w:rPr>
          <w:instrText xml:space="preserve"> PAGEREF _Toc239176497 \h </w:instrText>
        </w:r>
        <w:r>
          <w:rPr>
            <w:noProof/>
            <w:webHidden/>
          </w:rPr>
        </w:r>
        <w:r>
          <w:rPr>
            <w:noProof/>
            <w:webHidden/>
          </w:rPr>
          <w:fldChar w:fldCharType="separate"/>
        </w:r>
        <w:r>
          <w:rPr>
            <w:noProof/>
            <w:webHidden/>
          </w:rPr>
          <w:t>72</w:t>
        </w:r>
        <w:r>
          <w:rPr>
            <w:noProof/>
            <w:webHidden/>
          </w:rPr>
          <w:fldChar w:fldCharType="end"/>
        </w:r>
      </w:hyperlink>
    </w:p>
    <w:p w14:paraId="1267D0E5" w14:textId="74079E5D"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8" w:history="1">
        <w:r w:rsidRPr="005D6259">
          <w:rPr>
            <w:rStyle w:val="Hyperlink"/>
            <w:noProof/>
          </w:rPr>
          <w:t>Azure Managed Instance para Apache Cassandra</w:t>
        </w:r>
        <w:r>
          <w:rPr>
            <w:noProof/>
            <w:webHidden/>
          </w:rPr>
          <w:tab/>
        </w:r>
        <w:r>
          <w:rPr>
            <w:noProof/>
            <w:webHidden/>
          </w:rPr>
          <w:fldChar w:fldCharType="begin"/>
        </w:r>
        <w:r>
          <w:rPr>
            <w:noProof/>
            <w:webHidden/>
          </w:rPr>
          <w:instrText xml:space="preserve"> PAGEREF _Toc239176498 \h </w:instrText>
        </w:r>
        <w:r>
          <w:rPr>
            <w:noProof/>
            <w:webHidden/>
          </w:rPr>
        </w:r>
        <w:r>
          <w:rPr>
            <w:noProof/>
            <w:webHidden/>
          </w:rPr>
          <w:fldChar w:fldCharType="separate"/>
        </w:r>
        <w:r>
          <w:rPr>
            <w:noProof/>
            <w:webHidden/>
          </w:rPr>
          <w:t>73</w:t>
        </w:r>
        <w:r>
          <w:rPr>
            <w:noProof/>
            <w:webHidden/>
          </w:rPr>
          <w:fldChar w:fldCharType="end"/>
        </w:r>
      </w:hyperlink>
    </w:p>
    <w:p w14:paraId="33C58D66" w14:textId="0EE00CD4" w:rsidR="004F0B8A" w:rsidRDefault="004F0B8A">
      <w:pPr>
        <w:pStyle w:val="TOC4"/>
        <w:rPr>
          <w:rFonts w:eastAsiaTheme="minorEastAsia"/>
          <w:smallCaps w:val="0"/>
          <w:noProof/>
          <w:kern w:val="2"/>
          <w:sz w:val="24"/>
          <w:szCs w:val="24"/>
          <w:lang w:val="en-US" w:eastAsia="zh-CN" w:bidi="he-IL"/>
          <w14:ligatures w14:val="standardContextual"/>
        </w:rPr>
      </w:pPr>
      <w:hyperlink w:anchor="_Toc239176499" w:history="1">
        <w:r w:rsidRPr="005D6259">
          <w:rPr>
            <w:rStyle w:val="Hyperlink"/>
            <w:noProof/>
          </w:rPr>
          <w:t>Azure Maps</w:t>
        </w:r>
        <w:r>
          <w:rPr>
            <w:noProof/>
            <w:webHidden/>
          </w:rPr>
          <w:tab/>
        </w:r>
        <w:r>
          <w:rPr>
            <w:noProof/>
            <w:webHidden/>
          </w:rPr>
          <w:fldChar w:fldCharType="begin"/>
        </w:r>
        <w:r>
          <w:rPr>
            <w:noProof/>
            <w:webHidden/>
          </w:rPr>
          <w:instrText xml:space="preserve"> PAGEREF _Toc239176499 \h </w:instrText>
        </w:r>
        <w:r>
          <w:rPr>
            <w:noProof/>
            <w:webHidden/>
          </w:rPr>
        </w:r>
        <w:r>
          <w:rPr>
            <w:noProof/>
            <w:webHidden/>
          </w:rPr>
          <w:fldChar w:fldCharType="separate"/>
        </w:r>
        <w:r>
          <w:rPr>
            <w:noProof/>
            <w:webHidden/>
          </w:rPr>
          <w:t>74</w:t>
        </w:r>
        <w:r>
          <w:rPr>
            <w:noProof/>
            <w:webHidden/>
          </w:rPr>
          <w:fldChar w:fldCharType="end"/>
        </w:r>
      </w:hyperlink>
    </w:p>
    <w:p w14:paraId="3CCE6257" w14:textId="2174B993"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0" w:history="1">
        <w:r w:rsidRPr="005D6259">
          <w:rPr>
            <w:rStyle w:val="Hyperlink"/>
            <w:noProof/>
          </w:rPr>
          <w:t>Serviços de Multimédia</w:t>
        </w:r>
        <w:r>
          <w:rPr>
            <w:noProof/>
            <w:webHidden/>
          </w:rPr>
          <w:tab/>
        </w:r>
        <w:r>
          <w:rPr>
            <w:noProof/>
            <w:webHidden/>
          </w:rPr>
          <w:fldChar w:fldCharType="begin"/>
        </w:r>
        <w:r>
          <w:rPr>
            <w:noProof/>
            <w:webHidden/>
          </w:rPr>
          <w:instrText xml:space="preserve"> PAGEREF _Toc239176500 \h </w:instrText>
        </w:r>
        <w:r>
          <w:rPr>
            <w:noProof/>
            <w:webHidden/>
          </w:rPr>
        </w:r>
        <w:r>
          <w:rPr>
            <w:noProof/>
            <w:webHidden/>
          </w:rPr>
          <w:fldChar w:fldCharType="separate"/>
        </w:r>
        <w:r>
          <w:rPr>
            <w:noProof/>
            <w:webHidden/>
          </w:rPr>
          <w:t>74</w:t>
        </w:r>
        <w:r>
          <w:rPr>
            <w:noProof/>
            <w:webHidden/>
          </w:rPr>
          <w:fldChar w:fldCharType="end"/>
        </w:r>
      </w:hyperlink>
    </w:p>
    <w:p w14:paraId="549F66BE" w14:textId="17A230E7"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1" w:history="1">
        <w:r w:rsidRPr="005D6259">
          <w:rPr>
            <w:rStyle w:val="Hyperlink"/>
            <w:noProof/>
          </w:rPr>
          <w:t>Serviço MedTech</w:t>
        </w:r>
        <w:r>
          <w:rPr>
            <w:noProof/>
            <w:webHidden/>
          </w:rPr>
          <w:tab/>
        </w:r>
        <w:r>
          <w:rPr>
            <w:noProof/>
            <w:webHidden/>
          </w:rPr>
          <w:fldChar w:fldCharType="begin"/>
        </w:r>
        <w:r>
          <w:rPr>
            <w:noProof/>
            <w:webHidden/>
          </w:rPr>
          <w:instrText xml:space="preserve"> PAGEREF _Toc239176501 \h </w:instrText>
        </w:r>
        <w:r>
          <w:rPr>
            <w:noProof/>
            <w:webHidden/>
          </w:rPr>
        </w:r>
        <w:r>
          <w:rPr>
            <w:noProof/>
            <w:webHidden/>
          </w:rPr>
          <w:fldChar w:fldCharType="separate"/>
        </w:r>
        <w:r>
          <w:rPr>
            <w:noProof/>
            <w:webHidden/>
          </w:rPr>
          <w:t>77</w:t>
        </w:r>
        <w:r>
          <w:rPr>
            <w:noProof/>
            <w:webHidden/>
          </w:rPr>
          <w:fldChar w:fldCharType="end"/>
        </w:r>
      </w:hyperlink>
    </w:p>
    <w:p w14:paraId="02355747" w14:textId="1F8F950B"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2" w:history="1">
        <w:r w:rsidRPr="005D6259">
          <w:rPr>
            <w:rStyle w:val="Hyperlink"/>
            <w:rFonts w:ascii="Calibri Light" w:hAnsi="Calibri Light" w:cs="Calibri Light"/>
            <w:noProof/>
          </w:rPr>
          <w:t>Serviço do Microsoft Discovery</w:t>
        </w:r>
        <w:r>
          <w:rPr>
            <w:noProof/>
            <w:webHidden/>
          </w:rPr>
          <w:tab/>
        </w:r>
        <w:r>
          <w:rPr>
            <w:noProof/>
            <w:webHidden/>
          </w:rPr>
          <w:fldChar w:fldCharType="begin"/>
        </w:r>
        <w:r>
          <w:rPr>
            <w:noProof/>
            <w:webHidden/>
          </w:rPr>
          <w:instrText xml:space="preserve"> PAGEREF _Toc239176502 \h </w:instrText>
        </w:r>
        <w:r>
          <w:rPr>
            <w:noProof/>
            <w:webHidden/>
          </w:rPr>
        </w:r>
        <w:r>
          <w:rPr>
            <w:noProof/>
            <w:webHidden/>
          </w:rPr>
          <w:fldChar w:fldCharType="separate"/>
        </w:r>
        <w:r>
          <w:rPr>
            <w:noProof/>
            <w:webHidden/>
          </w:rPr>
          <w:t>77</w:t>
        </w:r>
        <w:r>
          <w:rPr>
            <w:noProof/>
            <w:webHidden/>
          </w:rPr>
          <w:fldChar w:fldCharType="end"/>
        </w:r>
      </w:hyperlink>
    </w:p>
    <w:p w14:paraId="5361E083" w14:textId="06F186FC"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3" w:history="1">
        <w:r w:rsidRPr="005D6259">
          <w:rPr>
            <w:rStyle w:val="Hyperlink"/>
            <w:noProof/>
          </w:rPr>
          <w:t>Microsoft Fabric</w:t>
        </w:r>
        <w:r>
          <w:rPr>
            <w:noProof/>
            <w:webHidden/>
          </w:rPr>
          <w:tab/>
        </w:r>
        <w:r>
          <w:rPr>
            <w:noProof/>
            <w:webHidden/>
          </w:rPr>
          <w:fldChar w:fldCharType="begin"/>
        </w:r>
        <w:r>
          <w:rPr>
            <w:noProof/>
            <w:webHidden/>
          </w:rPr>
          <w:instrText xml:space="preserve"> PAGEREF _Toc239176503 \h </w:instrText>
        </w:r>
        <w:r>
          <w:rPr>
            <w:noProof/>
            <w:webHidden/>
          </w:rPr>
        </w:r>
        <w:r>
          <w:rPr>
            <w:noProof/>
            <w:webHidden/>
          </w:rPr>
          <w:fldChar w:fldCharType="separate"/>
        </w:r>
        <w:r>
          <w:rPr>
            <w:noProof/>
            <w:webHidden/>
          </w:rPr>
          <w:t>77</w:t>
        </w:r>
        <w:r>
          <w:rPr>
            <w:noProof/>
            <w:webHidden/>
          </w:rPr>
          <w:fldChar w:fldCharType="end"/>
        </w:r>
      </w:hyperlink>
    </w:p>
    <w:p w14:paraId="6CEED163" w14:textId="34E86805"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4" w:history="1">
        <w:r w:rsidRPr="005D6259">
          <w:rPr>
            <w:rStyle w:val="Hyperlink"/>
            <w:noProof/>
          </w:rPr>
          <w:t>Microsoft Genomics</w:t>
        </w:r>
        <w:r>
          <w:rPr>
            <w:noProof/>
            <w:webHidden/>
          </w:rPr>
          <w:tab/>
        </w:r>
        <w:r>
          <w:rPr>
            <w:noProof/>
            <w:webHidden/>
          </w:rPr>
          <w:fldChar w:fldCharType="begin"/>
        </w:r>
        <w:r>
          <w:rPr>
            <w:noProof/>
            <w:webHidden/>
          </w:rPr>
          <w:instrText xml:space="preserve"> PAGEREF _Toc239176504 \h </w:instrText>
        </w:r>
        <w:r>
          <w:rPr>
            <w:noProof/>
            <w:webHidden/>
          </w:rPr>
        </w:r>
        <w:r>
          <w:rPr>
            <w:noProof/>
            <w:webHidden/>
          </w:rPr>
          <w:fldChar w:fldCharType="separate"/>
        </w:r>
        <w:r>
          <w:rPr>
            <w:noProof/>
            <w:webHidden/>
          </w:rPr>
          <w:t>78</w:t>
        </w:r>
        <w:r>
          <w:rPr>
            <w:noProof/>
            <w:webHidden/>
          </w:rPr>
          <w:fldChar w:fldCharType="end"/>
        </w:r>
      </w:hyperlink>
    </w:p>
    <w:p w14:paraId="20E3C4F8" w14:textId="2A5C03B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5" w:history="1">
        <w:r w:rsidRPr="005D6259">
          <w:rPr>
            <w:rStyle w:val="Hyperlink"/>
            <w:rFonts w:ascii="Calibri Light" w:hAnsi="Calibri Light" w:cs="Calibri Light"/>
            <w:noProof/>
            <w:lang w:val="en-US"/>
          </w:rPr>
          <w:t>Microsoft Planetary Computer Pro – SLA:</w:t>
        </w:r>
        <w:r>
          <w:rPr>
            <w:noProof/>
            <w:webHidden/>
          </w:rPr>
          <w:tab/>
        </w:r>
        <w:r>
          <w:rPr>
            <w:noProof/>
            <w:webHidden/>
          </w:rPr>
          <w:fldChar w:fldCharType="begin"/>
        </w:r>
        <w:r>
          <w:rPr>
            <w:noProof/>
            <w:webHidden/>
          </w:rPr>
          <w:instrText xml:space="preserve"> PAGEREF _Toc239176505 \h </w:instrText>
        </w:r>
        <w:r>
          <w:rPr>
            <w:noProof/>
            <w:webHidden/>
          </w:rPr>
        </w:r>
        <w:r>
          <w:rPr>
            <w:noProof/>
            <w:webHidden/>
          </w:rPr>
          <w:fldChar w:fldCharType="separate"/>
        </w:r>
        <w:r>
          <w:rPr>
            <w:noProof/>
            <w:webHidden/>
          </w:rPr>
          <w:t>79</w:t>
        </w:r>
        <w:r>
          <w:rPr>
            <w:noProof/>
            <w:webHidden/>
          </w:rPr>
          <w:fldChar w:fldCharType="end"/>
        </w:r>
      </w:hyperlink>
    </w:p>
    <w:p w14:paraId="5D081743" w14:textId="6A0DF74F"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6" w:history="1">
        <w:r w:rsidRPr="005D6259">
          <w:rPr>
            <w:rStyle w:val="Hyperlink"/>
            <w:noProof/>
          </w:rPr>
          <w:t>Microsoft Sentinel</w:t>
        </w:r>
        <w:r>
          <w:rPr>
            <w:noProof/>
            <w:webHidden/>
          </w:rPr>
          <w:tab/>
        </w:r>
        <w:r>
          <w:rPr>
            <w:noProof/>
            <w:webHidden/>
          </w:rPr>
          <w:fldChar w:fldCharType="begin"/>
        </w:r>
        <w:r>
          <w:rPr>
            <w:noProof/>
            <w:webHidden/>
          </w:rPr>
          <w:instrText xml:space="preserve"> PAGEREF _Toc239176506 \h </w:instrText>
        </w:r>
        <w:r>
          <w:rPr>
            <w:noProof/>
            <w:webHidden/>
          </w:rPr>
        </w:r>
        <w:r>
          <w:rPr>
            <w:noProof/>
            <w:webHidden/>
          </w:rPr>
          <w:fldChar w:fldCharType="separate"/>
        </w:r>
        <w:r>
          <w:rPr>
            <w:noProof/>
            <w:webHidden/>
          </w:rPr>
          <w:t>79</w:t>
        </w:r>
        <w:r>
          <w:rPr>
            <w:noProof/>
            <w:webHidden/>
          </w:rPr>
          <w:fldChar w:fldCharType="end"/>
        </w:r>
      </w:hyperlink>
    </w:p>
    <w:p w14:paraId="1A7155E2" w14:textId="7C688955"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7" w:history="1">
        <w:r w:rsidRPr="005D6259">
          <w:rPr>
            <w:rStyle w:val="Hyperlink"/>
            <w:noProof/>
          </w:rPr>
          <w:t>Serviços Móveis</w:t>
        </w:r>
        <w:r>
          <w:rPr>
            <w:noProof/>
            <w:webHidden/>
          </w:rPr>
          <w:tab/>
        </w:r>
        <w:r>
          <w:rPr>
            <w:noProof/>
            <w:webHidden/>
          </w:rPr>
          <w:fldChar w:fldCharType="begin"/>
        </w:r>
        <w:r>
          <w:rPr>
            <w:noProof/>
            <w:webHidden/>
          </w:rPr>
          <w:instrText xml:space="preserve"> PAGEREF _Toc239176507 \h </w:instrText>
        </w:r>
        <w:r>
          <w:rPr>
            <w:noProof/>
            <w:webHidden/>
          </w:rPr>
        </w:r>
        <w:r>
          <w:rPr>
            <w:noProof/>
            <w:webHidden/>
          </w:rPr>
          <w:fldChar w:fldCharType="separate"/>
        </w:r>
        <w:r>
          <w:rPr>
            <w:noProof/>
            <w:webHidden/>
          </w:rPr>
          <w:t>80</w:t>
        </w:r>
        <w:r>
          <w:rPr>
            <w:noProof/>
            <w:webHidden/>
          </w:rPr>
          <w:fldChar w:fldCharType="end"/>
        </w:r>
      </w:hyperlink>
    </w:p>
    <w:p w14:paraId="08F89233" w14:textId="58962707"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8" w:history="1">
        <w:r w:rsidRPr="005D6259">
          <w:rPr>
            <w:rStyle w:val="Hyperlink"/>
            <w:noProof/>
          </w:rPr>
          <w:t>Azure Monitor</w:t>
        </w:r>
        <w:r>
          <w:rPr>
            <w:noProof/>
            <w:webHidden/>
          </w:rPr>
          <w:tab/>
        </w:r>
        <w:r>
          <w:rPr>
            <w:noProof/>
            <w:webHidden/>
          </w:rPr>
          <w:fldChar w:fldCharType="begin"/>
        </w:r>
        <w:r>
          <w:rPr>
            <w:noProof/>
            <w:webHidden/>
          </w:rPr>
          <w:instrText xml:space="preserve"> PAGEREF _Toc239176508 \h </w:instrText>
        </w:r>
        <w:r>
          <w:rPr>
            <w:noProof/>
            <w:webHidden/>
          </w:rPr>
        </w:r>
        <w:r>
          <w:rPr>
            <w:noProof/>
            <w:webHidden/>
          </w:rPr>
          <w:fldChar w:fldCharType="separate"/>
        </w:r>
        <w:r>
          <w:rPr>
            <w:noProof/>
            <w:webHidden/>
          </w:rPr>
          <w:t>80</w:t>
        </w:r>
        <w:r>
          <w:rPr>
            <w:noProof/>
            <w:webHidden/>
          </w:rPr>
          <w:fldChar w:fldCharType="end"/>
        </w:r>
      </w:hyperlink>
    </w:p>
    <w:p w14:paraId="430D72DD" w14:textId="044BA820" w:rsidR="004F0B8A" w:rsidRDefault="004F0B8A">
      <w:pPr>
        <w:pStyle w:val="TOC4"/>
        <w:rPr>
          <w:rFonts w:eastAsiaTheme="minorEastAsia"/>
          <w:smallCaps w:val="0"/>
          <w:noProof/>
          <w:kern w:val="2"/>
          <w:sz w:val="24"/>
          <w:szCs w:val="24"/>
          <w:lang w:val="en-US" w:eastAsia="zh-CN" w:bidi="he-IL"/>
          <w14:ligatures w14:val="standardContextual"/>
        </w:rPr>
      </w:pPr>
      <w:hyperlink w:anchor="_Toc239176509" w:history="1">
        <w:r w:rsidRPr="005D6259">
          <w:rPr>
            <w:rStyle w:val="Hyperlink"/>
            <w:noProof/>
          </w:rPr>
          <w:t>Azure NetApp Files</w:t>
        </w:r>
        <w:r>
          <w:rPr>
            <w:noProof/>
            <w:webHidden/>
          </w:rPr>
          <w:tab/>
        </w:r>
        <w:r>
          <w:rPr>
            <w:noProof/>
            <w:webHidden/>
          </w:rPr>
          <w:fldChar w:fldCharType="begin"/>
        </w:r>
        <w:r>
          <w:rPr>
            <w:noProof/>
            <w:webHidden/>
          </w:rPr>
          <w:instrText xml:space="preserve"> PAGEREF _Toc239176509 \h </w:instrText>
        </w:r>
        <w:r>
          <w:rPr>
            <w:noProof/>
            <w:webHidden/>
          </w:rPr>
        </w:r>
        <w:r>
          <w:rPr>
            <w:noProof/>
            <w:webHidden/>
          </w:rPr>
          <w:fldChar w:fldCharType="separate"/>
        </w:r>
        <w:r>
          <w:rPr>
            <w:noProof/>
            <w:webHidden/>
          </w:rPr>
          <w:t>81</w:t>
        </w:r>
        <w:r>
          <w:rPr>
            <w:noProof/>
            <w:webHidden/>
          </w:rPr>
          <w:fldChar w:fldCharType="end"/>
        </w:r>
      </w:hyperlink>
    </w:p>
    <w:p w14:paraId="75FC54EF" w14:textId="1D6C8E55"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0" w:history="1">
        <w:r w:rsidRPr="005D6259">
          <w:rPr>
            <w:rStyle w:val="Hyperlink"/>
            <w:noProof/>
          </w:rPr>
          <w:t>Observador de Rede</w:t>
        </w:r>
        <w:r>
          <w:rPr>
            <w:noProof/>
            <w:webHidden/>
          </w:rPr>
          <w:tab/>
        </w:r>
        <w:r>
          <w:rPr>
            <w:noProof/>
            <w:webHidden/>
          </w:rPr>
          <w:fldChar w:fldCharType="begin"/>
        </w:r>
        <w:r>
          <w:rPr>
            <w:noProof/>
            <w:webHidden/>
          </w:rPr>
          <w:instrText xml:space="preserve"> PAGEREF _Toc239176510 \h </w:instrText>
        </w:r>
        <w:r>
          <w:rPr>
            <w:noProof/>
            <w:webHidden/>
          </w:rPr>
        </w:r>
        <w:r>
          <w:rPr>
            <w:noProof/>
            <w:webHidden/>
          </w:rPr>
          <w:fldChar w:fldCharType="separate"/>
        </w:r>
        <w:r>
          <w:rPr>
            <w:noProof/>
            <w:webHidden/>
          </w:rPr>
          <w:t>81</w:t>
        </w:r>
        <w:r>
          <w:rPr>
            <w:noProof/>
            <w:webHidden/>
          </w:rPr>
          <w:fldChar w:fldCharType="end"/>
        </w:r>
      </w:hyperlink>
    </w:p>
    <w:p w14:paraId="6C534E0E" w14:textId="6E371E21"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1" w:history="1">
        <w:r w:rsidRPr="005D6259">
          <w:rPr>
            <w:rStyle w:val="Hyperlink"/>
            <w:noProof/>
          </w:rPr>
          <w:t>Hubs de Notificação</w:t>
        </w:r>
        <w:r>
          <w:rPr>
            <w:noProof/>
            <w:webHidden/>
          </w:rPr>
          <w:tab/>
        </w:r>
        <w:r>
          <w:rPr>
            <w:noProof/>
            <w:webHidden/>
          </w:rPr>
          <w:fldChar w:fldCharType="begin"/>
        </w:r>
        <w:r>
          <w:rPr>
            <w:noProof/>
            <w:webHidden/>
          </w:rPr>
          <w:instrText xml:space="preserve"> PAGEREF _Toc239176511 \h </w:instrText>
        </w:r>
        <w:r>
          <w:rPr>
            <w:noProof/>
            <w:webHidden/>
          </w:rPr>
        </w:r>
        <w:r>
          <w:rPr>
            <w:noProof/>
            <w:webHidden/>
          </w:rPr>
          <w:fldChar w:fldCharType="separate"/>
        </w:r>
        <w:r>
          <w:rPr>
            <w:noProof/>
            <w:webHidden/>
          </w:rPr>
          <w:t>82</w:t>
        </w:r>
        <w:r>
          <w:rPr>
            <w:noProof/>
            <w:webHidden/>
          </w:rPr>
          <w:fldChar w:fldCharType="end"/>
        </w:r>
      </w:hyperlink>
    </w:p>
    <w:p w14:paraId="52E66B64" w14:textId="34931CC3"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2" w:history="1">
        <w:r w:rsidRPr="005D6259">
          <w:rPr>
            <w:rStyle w:val="Hyperlink"/>
            <w:noProof/>
          </w:rPr>
          <w:t>Reservas de Capacidade A Pedido para Máquinas Virtuais do Azure</w:t>
        </w:r>
        <w:r>
          <w:rPr>
            <w:noProof/>
            <w:webHidden/>
          </w:rPr>
          <w:tab/>
        </w:r>
        <w:r>
          <w:rPr>
            <w:noProof/>
            <w:webHidden/>
          </w:rPr>
          <w:fldChar w:fldCharType="begin"/>
        </w:r>
        <w:r>
          <w:rPr>
            <w:noProof/>
            <w:webHidden/>
          </w:rPr>
          <w:instrText xml:space="preserve"> PAGEREF _Toc239176512 \h </w:instrText>
        </w:r>
        <w:r>
          <w:rPr>
            <w:noProof/>
            <w:webHidden/>
          </w:rPr>
        </w:r>
        <w:r>
          <w:rPr>
            <w:noProof/>
            <w:webHidden/>
          </w:rPr>
          <w:fldChar w:fldCharType="separate"/>
        </w:r>
        <w:r>
          <w:rPr>
            <w:noProof/>
            <w:webHidden/>
          </w:rPr>
          <w:t>82</w:t>
        </w:r>
        <w:r>
          <w:rPr>
            <w:noProof/>
            <w:webHidden/>
          </w:rPr>
          <w:fldChar w:fldCharType="end"/>
        </w:r>
      </w:hyperlink>
    </w:p>
    <w:p w14:paraId="6CB2C25A" w14:textId="7D4BA1C5"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3" w:history="1">
        <w:r w:rsidRPr="005D6259">
          <w:rPr>
            <w:rStyle w:val="Hyperlink"/>
            <w:noProof/>
          </w:rPr>
          <w:t>Foundry Models</w:t>
        </w:r>
        <w:r>
          <w:rPr>
            <w:noProof/>
            <w:webHidden/>
          </w:rPr>
          <w:tab/>
        </w:r>
        <w:r>
          <w:rPr>
            <w:noProof/>
            <w:webHidden/>
          </w:rPr>
          <w:fldChar w:fldCharType="begin"/>
        </w:r>
        <w:r>
          <w:rPr>
            <w:noProof/>
            <w:webHidden/>
          </w:rPr>
          <w:instrText xml:space="preserve"> PAGEREF _Toc239176513 \h </w:instrText>
        </w:r>
        <w:r>
          <w:rPr>
            <w:noProof/>
            <w:webHidden/>
          </w:rPr>
        </w:r>
        <w:r>
          <w:rPr>
            <w:noProof/>
            <w:webHidden/>
          </w:rPr>
          <w:fldChar w:fldCharType="separate"/>
        </w:r>
        <w:r>
          <w:rPr>
            <w:noProof/>
            <w:webHidden/>
          </w:rPr>
          <w:t>84</w:t>
        </w:r>
        <w:r>
          <w:rPr>
            <w:noProof/>
            <w:webHidden/>
          </w:rPr>
          <w:fldChar w:fldCharType="end"/>
        </w:r>
      </w:hyperlink>
    </w:p>
    <w:p w14:paraId="20D6ED89" w14:textId="1E9BF11C"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4" w:history="1">
        <w:r w:rsidRPr="005D6259">
          <w:rPr>
            <w:rStyle w:val="Hyperlink"/>
            <w:noProof/>
          </w:rPr>
          <w:t>Replicação de Objetos – Replicação com Prioridade</w:t>
        </w:r>
        <w:r>
          <w:rPr>
            <w:noProof/>
            <w:webHidden/>
          </w:rPr>
          <w:tab/>
        </w:r>
        <w:r>
          <w:rPr>
            <w:noProof/>
            <w:webHidden/>
          </w:rPr>
          <w:fldChar w:fldCharType="begin"/>
        </w:r>
        <w:r>
          <w:rPr>
            <w:noProof/>
            <w:webHidden/>
          </w:rPr>
          <w:instrText xml:space="preserve"> PAGEREF _Toc239176514 \h </w:instrText>
        </w:r>
        <w:r>
          <w:rPr>
            <w:noProof/>
            <w:webHidden/>
          </w:rPr>
        </w:r>
        <w:r>
          <w:rPr>
            <w:noProof/>
            <w:webHidden/>
          </w:rPr>
          <w:fldChar w:fldCharType="separate"/>
        </w:r>
        <w:r>
          <w:rPr>
            <w:noProof/>
            <w:webHidden/>
          </w:rPr>
          <w:t>85</w:t>
        </w:r>
        <w:r>
          <w:rPr>
            <w:noProof/>
            <w:webHidden/>
          </w:rPr>
          <w:fldChar w:fldCharType="end"/>
        </w:r>
      </w:hyperlink>
    </w:p>
    <w:p w14:paraId="7063578A" w14:textId="6FB481A6"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5" w:history="1">
        <w:r w:rsidRPr="005D6259">
          <w:rPr>
            <w:rStyle w:val="Hyperlink"/>
            <w:noProof/>
          </w:rPr>
          <w:t>Azure Operator Service Manager</w:t>
        </w:r>
        <w:r>
          <w:rPr>
            <w:noProof/>
            <w:webHidden/>
          </w:rPr>
          <w:tab/>
        </w:r>
        <w:r>
          <w:rPr>
            <w:noProof/>
            <w:webHidden/>
          </w:rPr>
          <w:fldChar w:fldCharType="begin"/>
        </w:r>
        <w:r>
          <w:rPr>
            <w:noProof/>
            <w:webHidden/>
          </w:rPr>
          <w:instrText xml:space="preserve"> PAGEREF _Toc239176515 \h </w:instrText>
        </w:r>
        <w:r>
          <w:rPr>
            <w:noProof/>
            <w:webHidden/>
          </w:rPr>
        </w:r>
        <w:r>
          <w:rPr>
            <w:noProof/>
            <w:webHidden/>
          </w:rPr>
          <w:fldChar w:fldCharType="separate"/>
        </w:r>
        <w:r>
          <w:rPr>
            <w:noProof/>
            <w:webHidden/>
          </w:rPr>
          <w:t>86</w:t>
        </w:r>
        <w:r>
          <w:rPr>
            <w:noProof/>
            <w:webHidden/>
          </w:rPr>
          <w:fldChar w:fldCharType="end"/>
        </w:r>
      </w:hyperlink>
    </w:p>
    <w:p w14:paraId="2E2240DF" w14:textId="4B75744A"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6" w:history="1">
        <w:r w:rsidRPr="005D6259">
          <w:rPr>
            <w:rStyle w:val="Hyperlink"/>
            <w:noProof/>
          </w:rPr>
          <w:t>Estação Terrestre do Azure Orbital</w:t>
        </w:r>
        <w:r>
          <w:rPr>
            <w:noProof/>
            <w:webHidden/>
          </w:rPr>
          <w:tab/>
        </w:r>
        <w:r>
          <w:rPr>
            <w:noProof/>
            <w:webHidden/>
          </w:rPr>
          <w:fldChar w:fldCharType="begin"/>
        </w:r>
        <w:r>
          <w:rPr>
            <w:noProof/>
            <w:webHidden/>
          </w:rPr>
          <w:instrText xml:space="preserve"> PAGEREF _Toc239176516 \h </w:instrText>
        </w:r>
        <w:r>
          <w:rPr>
            <w:noProof/>
            <w:webHidden/>
          </w:rPr>
        </w:r>
        <w:r>
          <w:rPr>
            <w:noProof/>
            <w:webHidden/>
          </w:rPr>
          <w:fldChar w:fldCharType="separate"/>
        </w:r>
        <w:r>
          <w:rPr>
            <w:noProof/>
            <w:webHidden/>
          </w:rPr>
          <w:t>87</w:t>
        </w:r>
        <w:r>
          <w:rPr>
            <w:noProof/>
            <w:webHidden/>
          </w:rPr>
          <w:fldChar w:fldCharType="end"/>
        </w:r>
      </w:hyperlink>
    </w:p>
    <w:p w14:paraId="731F68AD" w14:textId="03AFBF5D"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7" w:history="1">
        <w:r w:rsidRPr="005D6259">
          <w:rPr>
            <w:rStyle w:val="Hyperlink"/>
            <w:noProof/>
          </w:rPr>
          <w:t>Microsoft Playwright Testing</w:t>
        </w:r>
        <w:r>
          <w:rPr>
            <w:noProof/>
            <w:webHidden/>
          </w:rPr>
          <w:tab/>
        </w:r>
        <w:r>
          <w:rPr>
            <w:noProof/>
            <w:webHidden/>
          </w:rPr>
          <w:fldChar w:fldCharType="begin"/>
        </w:r>
        <w:r>
          <w:rPr>
            <w:noProof/>
            <w:webHidden/>
          </w:rPr>
          <w:instrText xml:space="preserve"> PAGEREF _Toc239176517 \h </w:instrText>
        </w:r>
        <w:r>
          <w:rPr>
            <w:noProof/>
            <w:webHidden/>
          </w:rPr>
        </w:r>
        <w:r>
          <w:rPr>
            <w:noProof/>
            <w:webHidden/>
          </w:rPr>
          <w:fldChar w:fldCharType="separate"/>
        </w:r>
        <w:r>
          <w:rPr>
            <w:noProof/>
            <w:webHidden/>
          </w:rPr>
          <w:t>88</w:t>
        </w:r>
        <w:r>
          <w:rPr>
            <w:noProof/>
            <w:webHidden/>
          </w:rPr>
          <w:fldChar w:fldCharType="end"/>
        </w:r>
      </w:hyperlink>
    </w:p>
    <w:p w14:paraId="16FFA17F" w14:textId="0E8B834A"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8" w:history="1">
        <w:r w:rsidRPr="005D6259">
          <w:rPr>
            <w:rStyle w:val="Hyperlink"/>
            <w:noProof/>
          </w:rPr>
          <w:t>Azure Private Link</w:t>
        </w:r>
        <w:r>
          <w:rPr>
            <w:noProof/>
            <w:webHidden/>
          </w:rPr>
          <w:tab/>
        </w:r>
        <w:r>
          <w:rPr>
            <w:noProof/>
            <w:webHidden/>
          </w:rPr>
          <w:fldChar w:fldCharType="begin"/>
        </w:r>
        <w:r>
          <w:rPr>
            <w:noProof/>
            <w:webHidden/>
          </w:rPr>
          <w:instrText xml:space="preserve"> PAGEREF _Toc239176518 \h </w:instrText>
        </w:r>
        <w:r>
          <w:rPr>
            <w:noProof/>
            <w:webHidden/>
          </w:rPr>
        </w:r>
        <w:r>
          <w:rPr>
            <w:noProof/>
            <w:webHidden/>
          </w:rPr>
          <w:fldChar w:fldCharType="separate"/>
        </w:r>
        <w:r>
          <w:rPr>
            <w:noProof/>
            <w:webHidden/>
          </w:rPr>
          <w:t>88</w:t>
        </w:r>
        <w:r>
          <w:rPr>
            <w:noProof/>
            <w:webHidden/>
          </w:rPr>
          <w:fldChar w:fldCharType="end"/>
        </w:r>
      </w:hyperlink>
    </w:p>
    <w:p w14:paraId="67E3474C" w14:textId="254BFD74" w:rsidR="004F0B8A" w:rsidRDefault="004F0B8A">
      <w:pPr>
        <w:pStyle w:val="TOC4"/>
        <w:rPr>
          <w:rFonts w:eastAsiaTheme="minorEastAsia"/>
          <w:smallCaps w:val="0"/>
          <w:noProof/>
          <w:kern w:val="2"/>
          <w:sz w:val="24"/>
          <w:szCs w:val="24"/>
          <w:lang w:val="en-US" w:eastAsia="zh-CN" w:bidi="he-IL"/>
          <w14:ligatures w14:val="standardContextual"/>
        </w:rPr>
      </w:pPr>
      <w:hyperlink w:anchor="_Toc239176519" w:history="1">
        <w:r w:rsidRPr="005D6259">
          <w:rPr>
            <w:rStyle w:val="Hyperlink"/>
            <w:noProof/>
          </w:rPr>
          <w:t>Microsoft Purview</w:t>
        </w:r>
        <w:r>
          <w:rPr>
            <w:noProof/>
            <w:webHidden/>
          </w:rPr>
          <w:tab/>
        </w:r>
        <w:r>
          <w:rPr>
            <w:noProof/>
            <w:webHidden/>
          </w:rPr>
          <w:fldChar w:fldCharType="begin"/>
        </w:r>
        <w:r>
          <w:rPr>
            <w:noProof/>
            <w:webHidden/>
          </w:rPr>
          <w:instrText xml:space="preserve"> PAGEREF _Toc239176519 \h </w:instrText>
        </w:r>
        <w:r>
          <w:rPr>
            <w:noProof/>
            <w:webHidden/>
          </w:rPr>
        </w:r>
        <w:r>
          <w:rPr>
            <w:noProof/>
            <w:webHidden/>
          </w:rPr>
          <w:fldChar w:fldCharType="separate"/>
        </w:r>
        <w:r>
          <w:rPr>
            <w:noProof/>
            <w:webHidden/>
          </w:rPr>
          <w:t>88</w:t>
        </w:r>
        <w:r>
          <w:rPr>
            <w:noProof/>
            <w:webHidden/>
          </w:rPr>
          <w:fldChar w:fldCharType="end"/>
        </w:r>
      </w:hyperlink>
    </w:p>
    <w:p w14:paraId="1533175D" w14:textId="16938C2B"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0" w:history="1">
        <w:r w:rsidRPr="005D6259">
          <w:rPr>
            <w:rStyle w:val="Hyperlink"/>
            <w:noProof/>
          </w:rPr>
          <w:t>Azure Red Hat OpenShift</w:t>
        </w:r>
        <w:r>
          <w:rPr>
            <w:noProof/>
            <w:webHidden/>
          </w:rPr>
          <w:tab/>
        </w:r>
        <w:r>
          <w:rPr>
            <w:noProof/>
            <w:webHidden/>
          </w:rPr>
          <w:fldChar w:fldCharType="begin"/>
        </w:r>
        <w:r>
          <w:rPr>
            <w:noProof/>
            <w:webHidden/>
          </w:rPr>
          <w:instrText xml:space="preserve"> PAGEREF _Toc239176520 \h </w:instrText>
        </w:r>
        <w:r>
          <w:rPr>
            <w:noProof/>
            <w:webHidden/>
          </w:rPr>
        </w:r>
        <w:r>
          <w:rPr>
            <w:noProof/>
            <w:webHidden/>
          </w:rPr>
          <w:fldChar w:fldCharType="separate"/>
        </w:r>
        <w:r>
          <w:rPr>
            <w:noProof/>
            <w:webHidden/>
          </w:rPr>
          <w:t>89</w:t>
        </w:r>
        <w:r>
          <w:rPr>
            <w:noProof/>
            <w:webHidden/>
          </w:rPr>
          <w:fldChar w:fldCharType="end"/>
        </w:r>
      </w:hyperlink>
    </w:p>
    <w:p w14:paraId="6413FBB6" w14:textId="68E53DA4"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1" w:history="1">
        <w:r w:rsidRPr="005D6259">
          <w:rPr>
            <w:rStyle w:val="Hyperlink"/>
            <w:noProof/>
          </w:rPr>
          <w:t>Composição Remota</w:t>
        </w:r>
        <w:r>
          <w:rPr>
            <w:noProof/>
            <w:webHidden/>
          </w:rPr>
          <w:tab/>
        </w:r>
        <w:r>
          <w:rPr>
            <w:noProof/>
            <w:webHidden/>
          </w:rPr>
          <w:fldChar w:fldCharType="begin"/>
        </w:r>
        <w:r>
          <w:rPr>
            <w:noProof/>
            <w:webHidden/>
          </w:rPr>
          <w:instrText xml:space="preserve"> PAGEREF _Toc239176521 \h </w:instrText>
        </w:r>
        <w:r>
          <w:rPr>
            <w:noProof/>
            <w:webHidden/>
          </w:rPr>
        </w:r>
        <w:r>
          <w:rPr>
            <w:noProof/>
            <w:webHidden/>
          </w:rPr>
          <w:fldChar w:fldCharType="separate"/>
        </w:r>
        <w:r>
          <w:rPr>
            <w:noProof/>
            <w:webHidden/>
          </w:rPr>
          <w:t>89</w:t>
        </w:r>
        <w:r>
          <w:rPr>
            <w:noProof/>
            <w:webHidden/>
          </w:rPr>
          <w:fldChar w:fldCharType="end"/>
        </w:r>
      </w:hyperlink>
    </w:p>
    <w:p w14:paraId="6DAC6668" w14:textId="28D15485"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2" w:history="1">
        <w:r w:rsidRPr="005D6259">
          <w:rPr>
            <w:rStyle w:val="Hyperlink"/>
            <w:noProof/>
          </w:rPr>
          <w:t>Azure Route Server</w:t>
        </w:r>
        <w:r>
          <w:rPr>
            <w:noProof/>
            <w:webHidden/>
          </w:rPr>
          <w:tab/>
        </w:r>
        <w:r>
          <w:rPr>
            <w:noProof/>
            <w:webHidden/>
          </w:rPr>
          <w:fldChar w:fldCharType="begin"/>
        </w:r>
        <w:r>
          <w:rPr>
            <w:noProof/>
            <w:webHidden/>
          </w:rPr>
          <w:instrText xml:space="preserve"> PAGEREF _Toc239176522 \h </w:instrText>
        </w:r>
        <w:r>
          <w:rPr>
            <w:noProof/>
            <w:webHidden/>
          </w:rPr>
        </w:r>
        <w:r>
          <w:rPr>
            <w:noProof/>
            <w:webHidden/>
          </w:rPr>
          <w:fldChar w:fldCharType="separate"/>
        </w:r>
        <w:r>
          <w:rPr>
            <w:noProof/>
            <w:webHidden/>
          </w:rPr>
          <w:t>90</w:t>
        </w:r>
        <w:r>
          <w:rPr>
            <w:noProof/>
            <w:webHidden/>
          </w:rPr>
          <w:fldChar w:fldCharType="end"/>
        </w:r>
      </w:hyperlink>
    </w:p>
    <w:p w14:paraId="09E19633" w14:textId="14138E5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3" w:history="1">
        <w:r w:rsidRPr="005D6259">
          <w:rPr>
            <w:rStyle w:val="Hyperlink"/>
            <w:noProof/>
          </w:rPr>
          <w:t>SAP HANA em Grandes Instâncias do Azure</w:t>
        </w:r>
        <w:r>
          <w:rPr>
            <w:noProof/>
            <w:webHidden/>
          </w:rPr>
          <w:tab/>
        </w:r>
        <w:r>
          <w:rPr>
            <w:noProof/>
            <w:webHidden/>
          </w:rPr>
          <w:fldChar w:fldCharType="begin"/>
        </w:r>
        <w:r>
          <w:rPr>
            <w:noProof/>
            <w:webHidden/>
          </w:rPr>
          <w:instrText xml:space="preserve"> PAGEREF _Toc239176523 \h </w:instrText>
        </w:r>
        <w:r>
          <w:rPr>
            <w:noProof/>
            <w:webHidden/>
          </w:rPr>
        </w:r>
        <w:r>
          <w:rPr>
            <w:noProof/>
            <w:webHidden/>
          </w:rPr>
          <w:fldChar w:fldCharType="separate"/>
        </w:r>
        <w:r>
          <w:rPr>
            <w:noProof/>
            <w:webHidden/>
          </w:rPr>
          <w:t>90</w:t>
        </w:r>
        <w:r>
          <w:rPr>
            <w:noProof/>
            <w:webHidden/>
          </w:rPr>
          <w:fldChar w:fldCharType="end"/>
        </w:r>
      </w:hyperlink>
    </w:p>
    <w:p w14:paraId="2E4BE417" w14:textId="78274E5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4" w:history="1">
        <w:r w:rsidRPr="005D6259">
          <w:rPr>
            <w:rStyle w:val="Hyperlink"/>
            <w:noProof/>
          </w:rPr>
          <w:t>Scheduler</w:t>
        </w:r>
        <w:r>
          <w:rPr>
            <w:noProof/>
            <w:webHidden/>
          </w:rPr>
          <w:tab/>
        </w:r>
        <w:r>
          <w:rPr>
            <w:noProof/>
            <w:webHidden/>
          </w:rPr>
          <w:fldChar w:fldCharType="begin"/>
        </w:r>
        <w:r>
          <w:rPr>
            <w:noProof/>
            <w:webHidden/>
          </w:rPr>
          <w:instrText xml:space="preserve"> PAGEREF _Toc239176524 \h </w:instrText>
        </w:r>
        <w:r>
          <w:rPr>
            <w:noProof/>
            <w:webHidden/>
          </w:rPr>
        </w:r>
        <w:r>
          <w:rPr>
            <w:noProof/>
            <w:webHidden/>
          </w:rPr>
          <w:fldChar w:fldCharType="separate"/>
        </w:r>
        <w:r>
          <w:rPr>
            <w:noProof/>
            <w:webHidden/>
          </w:rPr>
          <w:t>91</w:t>
        </w:r>
        <w:r>
          <w:rPr>
            <w:noProof/>
            <w:webHidden/>
          </w:rPr>
          <w:fldChar w:fldCharType="end"/>
        </w:r>
      </w:hyperlink>
    </w:p>
    <w:p w14:paraId="307A1DB9" w14:textId="6B55E52A"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5" w:history="1">
        <w:r w:rsidRPr="005D6259">
          <w:rPr>
            <w:rStyle w:val="Hyperlink"/>
            <w:noProof/>
          </w:rPr>
          <w:t>Barramento de Serviço</w:t>
        </w:r>
        <w:r>
          <w:rPr>
            <w:noProof/>
            <w:webHidden/>
          </w:rPr>
          <w:tab/>
        </w:r>
        <w:r>
          <w:rPr>
            <w:noProof/>
            <w:webHidden/>
          </w:rPr>
          <w:fldChar w:fldCharType="begin"/>
        </w:r>
        <w:r>
          <w:rPr>
            <w:noProof/>
            <w:webHidden/>
          </w:rPr>
          <w:instrText xml:space="preserve"> PAGEREF _Toc239176525 \h </w:instrText>
        </w:r>
        <w:r>
          <w:rPr>
            <w:noProof/>
            <w:webHidden/>
          </w:rPr>
        </w:r>
        <w:r>
          <w:rPr>
            <w:noProof/>
            <w:webHidden/>
          </w:rPr>
          <w:fldChar w:fldCharType="separate"/>
        </w:r>
        <w:r>
          <w:rPr>
            <w:noProof/>
            <w:webHidden/>
          </w:rPr>
          <w:t>92</w:t>
        </w:r>
        <w:r>
          <w:rPr>
            <w:noProof/>
            <w:webHidden/>
          </w:rPr>
          <w:fldChar w:fldCharType="end"/>
        </w:r>
      </w:hyperlink>
    </w:p>
    <w:p w14:paraId="57D3141A" w14:textId="58183FF5"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6" w:history="1">
        <w:r w:rsidRPr="005D6259">
          <w:rPr>
            <w:rStyle w:val="Hyperlink"/>
            <w:noProof/>
          </w:rPr>
          <w:t>Azure SignalR Service</w:t>
        </w:r>
        <w:r>
          <w:rPr>
            <w:noProof/>
            <w:webHidden/>
          </w:rPr>
          <w:tab/>
        </w:r>
        <w:r>
          <w:rPr>
            <w:noProof/>
            <w:webHidden/>
          </w:rPr>
          <w:fldChar w:fldCharType="begin"/>
        </w:r>
        <w:r>
          <w:rPr>
            <w:noProof/>
            <w:webHidden/>
          </w:rPr>
          <w:instrText xml:space="preserve"> PAGEREF _Toc239176526 \h </w:instrText>
        </w:r>
        <w:r>
          <w:rPr>
            <w:noProof/>
            <w:webHidden/>
          </w:rPr>
        </w:r>
        <w:r>
          <w:rPr>
            <w:noProof/>
            <w:webHidden/>
          </w:rPr>
          <w:fldChar w:fldCharType="separate"/>
        </w:r>
        <w:r>
          <w:rPr>
            <w:noProof/>
            <w:webHidden/>
          </w:rPr>
          <w:t>92</w:t>
        </w:r>
        <w:r>
          <w:rPr>
            <w:noProof/>
            <w:webHidden/>
          </w:rPr>
          <w:fldChar w:fldCharType="end"/>
        </w:r>
      </w:hyperlink>
    </w:p>
    <w:p w14:paraId="57B717BD" w14:textId="6C28FF7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7" w:history="1">
        <w:r w:rsidRPr="005D6259">
          <w:rPr>
            <w:rStyle w:val="Hyperlink"/>
            <w:noProof/>
          </w:rPr>
          <w:t>Azure Site Recovery</w:t>
        </w:r>
        <w:r>
          <w:rPr>
            <w:noProof/>
            <w:webHidden/>
          </w:rPr>
          <w:tab/>
        </w:r>
        <w:r>
          <w:rPr>
            <w:noProof/>
            <w:webHidden/>
          </w:rPr>
          <w:fldChar w:fldCharType="begin"/>
        </w:r>
        <w:r>
          <w:rPr>
            <w:noProof/>
            <w:webHidden/>
          </w:rPr>
          <w:instrText xml:space="preserve"> PAGEREF _Toc239176527 \h </w:instrText>
        </w:r>
        <w:r>
          <w:rPr>
            <w:noProof/>
            <w:webHidden/>
          </w:rPr>
        </w:r>
        <w:r>
          <w:rPr>
            <w:noProof/>
            <w:webHidden/>
          </w:rPr>
          <w:fldChar w:fldCharType="separate"/>
        </w:r>
        <w:r>
          <w:rPr>
            <w:noProof/>
            <w:webHidden/>
          </w:rPr>
          <w:t>93</w:t>
        </w:r>
        <w:r>
          <w:rPr>
            <w:noProof/>
            <w:webHidden/>
          </w:rPr>
          <w:fldChar w:fldCharType="end"/>
        </w:r>
      </w:hyperlink>
    </w:p>
    <w:p w14:paraId="261695E3" w14:textId="020793EE"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8" w:history="1">
        <w:r w:rsidRPr="005D6259">
          <w:rPr>
            <w:rStyle w:val="Hyperlink"/>
            <w:noProof/>
          </w:rPr>
          <w:t>Spatial Anchors</w:t>
        </w:r>
        <w:r>
          <w:rPr>
            <w:noProof/>
            <w:webHidden/>
          </w:rPr>
          <w:tab/>
        </w:r>
        <w:r>
          <w:rPr>
            <w:noProof/>
            <w:webHidden/>
          </w:rPr>
          <w:fldChar w:fldCharType="begin"/>
        </w:r>
        <w:r>
          <w:rPr>
            <w:noProof/>
            <w:webHidden/>
          </w:rPr>
          <w:instrText xml:space="preserve"> PAGEREF _Toc239176528 \h </w:instrText>
        </w:r>
        <w:r>
          <w:rPr>
            <w:noProof/>
            <w:webHidden/>
          </w:rPr>
        </w:r>
        <w:r>
          <w:rPr>
            <w:noProof/>
            <w:webHidden/>
          </w:rPr>
          <w:fldChar w:fldCharType="separate"/>
        </w:r>
        <w:r>
          <w:rPr>
            <w:noProof/>
            <w:webHidden/>
          </w:rPr>
          <w:t>94</w:t>
        </w:r>
        <w:r>
          <w:rPr>
            <w:noProof/>
            <w:webHidden/>
          </w:rPr>
          <w:fldChar w:fldCharType="end"/>
        </w:r>
      </w:hyperlink>
    </w:p>
    <w:p w14:paraId="4B80F257" w14:textId="051887BB" w:rsidR="004F0B8A" w:rsidRDefault="004F0B8A">
      <w:pPr>
        <w:pStyle w:val="TOC4"/>
        <w:rPr>
          <w:rFonts w:eastAsiaTheme="minorEastAsia"/>
          <w:smallCaps w:val="0"/>
          <w:noProof/>
          <w:kern w:val="2"/>
          <w:sz w:val="24"/>
          <w:szCs w:val="24"/>
          <w:lang w:val="en-US" w:eastAsia="zh-CN" w:bidi="he-IL"/>
          <w14:ligatures w14:val="standardContextual"/>
        </w:rPr>
      </w:pPr>
      <w:hyperlink w:anchor="_Toc239176529" w:history="1">
        <w:r w:rsidRPr="005D6259">
          <w:rPr>
            <w:rStyle w:val="Hyperlink"/>
            <w:noProof/>
          </w:rPr>
          <w:t>Azure Spring Apps</w:t>
        </w:r>
        <w:r>
          <w:rPr>
            <w:noProof/>
            <w:webHidden/>
          </w:rPr>
          <w:tab/>
        </w:r>
        <w:r>
          <w:rPr>
            <w:noProof/>
            <w:webHidden/>
          </w:rPr>
          <w:fldChar w:fldCharType="begin"/>
        </w:r>
        <w:r>
          <w:rPr>
            <w:noProof/>
            <w:webHidden/>
          </w:rPr>
          <w:instrText xml:space="preserve"> PAGEREF _Toc239176529 \h </w:instrText>
        </w:r>
        <w:r>
          <w:rPr>
            <w:noProof/>
            <w:webHidden/>
          </w:rPr>
        </w:r>
        <w:r>
          <w:rPr>
            <w:noProof/>
            <w:webHidden/>
          </w:rPr>
          <w:fldChar w:fldCharType="separate"/>
        </w:r>
        <w:r>
          <w:rPr>
            <w:noProof/>
            <w:webHidden/>
          </w:rPr>
          <w:t>94</w:t>
        </w:r>
        <w:r>
          <w:rPr>
            <w:noProof/>
            <w:webHidden/>
          </w:rPr>
          <w:fldChar w:fldCharType="end"/>
        </w:r>
      </w:hyperlink>
    </w:p>
    <w:p w14:paraId="2CDDDB62" w14:textId="57119B6C"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0" w:history="1">
        <w:r w:rsidRPr="005D6259">
          <w:rPr>
            <w:rStyle w:val="Hyperlink"/>
            <w:noProof/>
          </w:rPr>
          <w:t>Base de Dados SQL do Azure</w:t>
        </w:r>
        <w:r>
          <w:rPr>
            <w:noProof/>
            <w:webHidden/>
          </w:rPr>
          <w:tab/>
        </w:r>
        <w:r>
          <w:rPr>
            <w:noProof/>
            <w:webHidden/>
          </w:rPr>
          <w:fldChar w:fldCharType="begin"/>
        </w:r>
        <w:r>
          <w:rPr>
            <w:noProof/>
            <w:webHidden/>
          </w:rPr>
          <w:instrText xml:space="preserve"> PAGEREF _Toc239176530 \h </w:instrText>
        </w:r>
        <w:r>
          <w:rPr>
            <w:noProof/>
            <w:webHidden/>
          </w:rPr>
        </w:r>
        <w:r>
          <w:rPr>
            <w:noProof/>
            <w:webHidden/>
          </w:rPr>
          <w:fldChar w:fldCharType="separate"/>
        </w:r>
        <w:r>
          <w:rPr>
            <w:noProof/>
            <w:webHidden/>
          </w:rPr>
          <w:t>95</w:t>
        </w:r>
        <w:r>
          <w:rPr>
            <w:noProof/>
            <w:webHidden/>
          </w:rPr>
          <w:fldChar w:fldCharType="end"/>
        </w:r>
      </w:hyperlink>
    </w:p>
    <w:p w14:paraId="56360808" w14:textId="46AF1181"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1" w:history="1">
        <w:r w:rsidRPr="005D6259">
          <w:rPr>
            <w:rStyle w:val="Hyperlink"/>
            <w:noProof/>
          </w:rPr>
          <w:t>Azure SQL Managed Instance</w:t>
        </w:r>
        <w:r>
          <w:rPr>
            <w:noProof/>
            <w:webHidden/>
          </w:rPr>
          <w:tab/>
        </w:r>
        <w:r>
          <w:rPr>
            <w:noProof/>
            <w:webHidden/>
          </w:rPr>
          <w:fldChar w:fldCharType="begin"/>
        </w:r>
        <w:r>
          <w:rPr>
            <w:noProof/>
            <w:webHidden/>
          </w:rPr>
          <w:instrText xml:space="preserve"> PAGEREF _Toc239176531 \h </w:instrText>
        </w:r>
        <w:r>
          <w:rPr>
            <w:noProof/>
            <w:webHidden/>
          </w:rPr>
        </w:r>
        <w:r>
          <w:rPr>
            <w:noProof/>
            <w:webHidden/>
          </w:rPr>
          <w:fldChar w:fldCharType="separate"/>
        </w:r>
        <w:r>
          <w:rPr>
            <w:noProof/>
            <w:webHidden/>
          </w:rPr>
          <w:t>97</w:t>
        </w:r>
        <w:r>
          <w:rPr>
            <w:noProof/>
            <w:webHidden/>
          </w:rPr>
          <w:fldChar w:fldCharType="end"/>
        </w:r>
      </w:hyperlink>
    </w:p>
    <w:p w14:paraId="71DEF50B" w14:textId="299426BD"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2" w:history="1">
        <w:r w:rsidRPr="005D6259">
          <w:rPr>
            <w:rStyle w:val="Hyperlink"/>
            <w:noProof/>
          </w:rPr>
          <w:t>SQL Server Stretch Database</w:t>
        </w:r>
        <w:r>
          <w:rPr>
            <w:noProof/>
            <w:webHidden/>
          </w:rPr>
          <w:tab/>
        </w:r>
        <w:r>
          <w:rPr>
            <w:noProof/>
            <w:webHidden/>
          </w:rPr>
          <w:fldChar w:fldCharType="begin"/>
        </w:r>
        <w:r>
          <w:rPr>
            <w:noProof/>
            <w:webHidden/>
          </w:rPr>
          <w:instrText xml:space="preserve"> PAGEREF _Toc239176532 \h </w:instrText>
        </w:r>
        <w:r>
          <w:rPr>
            <w:noProof/>
            <w:webHidden/>
          </w:rPr>
        </w:r>
        <w:r>
          <w:rPr>
            <w:noProof/>
            <w:webHidden/>
          </w:rPr>
          <w:fldChar w:fldCharType="separate"/>
        </w:r>
        <w:r>
          <w:rPr>
            <w:noProof/>
            <w:webHidden/>
          </w:rPr>
          <w:t>98</w:t>
        </w:r>
        <w:r>
          <w:rPr>
            <w:noProof/>
            <w:webHidden/>
          </w:rPr>
          <w:fldChar w:fldCharType="end"/>
        </w:r>
      </w:hyperlink>
    </w:p>
    <w:p w14:paraId="116B948B" w14:textId="7233F23E"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3" w:history="1">
        <w:r w:rsidRPr="005D6259">
          <w:rPr>
            <w:rStyle w:val="Hyperlink"/>
            <w:noProof/>
          </w:rPr>
          <w:t>Aplicações Web Estáticas</w:t>
        </w:r>
        <w:r>
          <w:rPr>
            <w:noProof/>
            <w:webHidden/>
          </w:rPr>
          <w:tab/>
        </w:r>
        <w:r>
          <w:rPr>
            <w:noProof/>
            <w:webHidden/>
          </w:rPr>
          <w:fldChar w:fldCharType="begin"/>
        </w:r>
        <w:r>
          <w:rPr>
            <w:noProof/>
            <w:webHidden/>
          </w:rPr>
          <w:instrText xml:space="preserve"> PAGEREF _Toc239176533 \h </w:instrText>
        </w:r>
        <w:r>
          <w:rPr>
            <w:noProof/>
            <w:webHidden/>
          </w:rPr>
        </w:r>
        <w:r>
          <w:rPr>
            <w:noProof/>
            <w:webHidden/>
          </w:rPr>
          <w:fldChar w:fldCharType="separate"/>
        </w:r>
        <w:r>
          <w:rPr>
            <w:noProof/>
            <w:webHidden/>
          </w:rPr>
          <w:t>98</w:t>
        </w:r>
        <w:r>
          <w:rPr>
            <w:noProof/>
            <w:webHidden/>
          </w:rPr>
          <w:fldChar w:fldCharType="end"/>
        </w:r>
      </w:hyperlink>
    </w:p>
    <w:p w14:paraId="672E618D" w14:textId="518E6DE3"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4" w:history="1">
        <w:r w:rsidRPr="005D6259">
          <w:rPr>
            <w:rStyle w:val="Hyperlink"/>
            <w:noProof/>
          </w:rPr>
          <w:t>Contas de Armazenamento</w:t>
        </w:r>
        <w:r>
          <w:rPr>
            <w:noProof/>
            <w:webHidden/>
          </w:rPr>
          <w:tab/>
        </w:r>
        <w:r>
          <w:rPr>
            <w:noProof/>
            <w:webHidden/>
          </w:rPr>
          <w:fldChar w:fldCharType="begin"/>
        </w:r>
        <w:r>
          <w:rPr>
            <w:noProof/>
            <w:webHidden/>
          </w:rPr>
          <w:instrText xml:space="preserve"> PAGEREF _Toc239176534 \h </w:instrText>
        </w:r>
        <w:r>
          <w:rPr>
            <w:noProof/>
            <w:webHidden/>
          </w:rPr>
        </w:r>
        <w:r>
          <w:rPr>
            <w:noProof/>
            <w:webHidden/>
          </w:rPr>
          <w:fldChar w:fldCharType="separate"/>
        </w:r>
        <w:r>
          <w:rPr>
            <w:noProof/>
            <w:webHidden/>
          </w:rPr>
          <w:t>98</w:t>
        </w:r>
        <w:r>
          <w:rPr>
            <w:noProof/>
            <w:webHidden/>
          </w:rPr>
          <w:fldChar w:fldCharType="end"/>
        </w:r>
      </w:hyperlink>
    </w:p>
    <w:p w14:paraId="79613BE1" w14:textId="75B57698"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5" w:history="1">
        <w:r w:rsidRPr="005D6259">
          <w:rPr>
            <w:rStyle w:val="Hyperlink"/>
            <w:noProof/>
          </w:rPr>
          <w:t>StorSimple</w:t>
        </w:r>
        <w:r>
          <w:rPr>
            <w:noProof/>
            <w:webHidden/>
          </w:rPr>
          <w:tab/>
        </w:r>
        <w:r>
          <w:rPr>
            <w:noProof/>
            <w:webHidden/>
          </w:rPr>
          <w:fldChar w:fldCharType="begin"/>
        </w:r>
        <w:r>
          <w:rPr>
            <w:noProof/>
            <w:webHidden/>
          </w:rPr>
          <w:instrText xml:space="preserve"> PAGEREF _Toc239176535 \h </w:instrText>
        </w:r>
        <w:r>
          <w:rPr>
            <w:noProof/>
            <w:webHidden/>
          </w:rPr>
        </w:r>
        <w:r>
          <w:rPr>
            <w:noProof/>
            <w:webHidden/>
          </w:rPr>
          <w:fldChar w:fldCharType="separate"/>
        </w:r>
        <w:r>
          <w:rPr>
            <w:noProof/>
            <w:webHidden/>
          </w:rPr>
          <w:t>101</w:t>
        </w:r>
        <w:r>
          <w:rPr>
            <w:noProof/>
            <w:webHidden/>
          </w:rPr>
          <w:fldChar w:fldCharType="end"/>
        </w:r>
      </w:hyperlink>
    </w:p>
    <w:p w14:paraId="224328E4" w14:textId="34B98C7F"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6" w:history="1">
        <w:r w:rsidRPr="005D6259">
          <w:rPr>
            <w:rStyle w:val="Hyperlink"/>
            <w:noProof/>
          </w:rPr>
          <w:t>Azure Stream Analytics</w:t>
        </w:r>
        <w:r>
          <w:rPr>
            <w:noProof/>
            <w:webHidden/>
          </w:rPr>
          <w:tab/>
        </w:r>
        <w:r>
          <w:rPr>
            <w:noProof/>
            <w:webHidden/>
          </w:rPr>
          <w:fldChar w:fldCharType="begin"/>
        </w:r>
        <w:r>
          <w:rPr>
            <w:noProof/>
            <w:webHidden/>
          </w:rPr>
          <w:instrText xml:space="preserve"> PAGEREF _Toc239176536 \h </w:instrText>
        </w:r>
        <w:r>
          <w:rPr>
            <w:noProof/>
            <w:webHidden/>
          </w:rPr>
        </w:r>
        <w:r>
          <w:rPr>
            <w:noProof/>
            <w:webHidden/>
          </w:rPr>
          <w:fldChar w:fldCharType="separate"/>
        </w:r>
        <w:r>
          <w:rPr>
            <w:noProof/>
            <w:webHidden/>
          </w:rPr>
          <w:t>102</w:t>
        </w:r>
        <w:r>
          <w:rPr>
            <w:noProof/>
            <w:webHidden/>
          </w:rPr>
          <w:fldChar w:fldCharType="end"/>
        </w:r>
      </w:hyperlink>
    </w:p>
    <w:p w14:paraId="058479F0" w14:textId="05AE2337"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7" w:history="1">
        <w:r w:rsidRPr="005D6259">
          <w:rPr>
            <w:rStyle w:val="Hyperlink"/>
            <w:noProof/>
          </w:rPr>
          <w:t>Azure Synapse Analytics</w:t>
        </w:r>
        <w:r>
          <w:rPr>
            <w:noProof/>
            <w:webHidden/>
          </w:rPr>
          <w:tab/>
        </w:r>
        <w:r>
          <w:rPr>
            <w:noProof/>
            <w:webHidden/>
          </w:rPr>
          <w:fldChar w:fldCharType="begin"/>
        </w:r>
        <w:r>
          <w:rPr>
            <w:noProof/>
            <w:webHidden/>
          </w:rPr>
          <w:instrText xml:space="preserve"> PAGEREF _Toc239176537 \h </w:instrText>
        </w:r>
        <w:r>
          <w:rPr>
            <w:noProof/>
            <w:webHidden/>
          </w:rPr>
        </w:r>
        <w:r>
          <w:rPr>
            <w:noProof/>
            <w:webHidden/>
          </w:rPr>
          <w:fldChar w:fldCharType="separate"/>
        </w:r>
        <w:r>
          <w:rPr>
            <w:noProof/>
            <w:webHidden/>
          </w:rPr>
          <w:t>102</w:t>
        </w:r>
        <w:r>
          <w:rPr>
            <w:noProof/>
            <w:webHidden/>
          </w:rPr>
          <w:fldChar w:fldCharType="end"/>
        </w:r>
      </w:hyperlink>
    </w:p>
    <w:p w14:paraId="4646AE20" w14:textId="2E5E55B5"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8" w:history="1">
        <w:r w:rsidRPr="005D6259">
          <w:rPr>
            <w:rStyle w:val="Hyperlink"/>
            <w:noProof/>
          </w:rPr>
          <w:t>Azure Time Series Insights</w:t>
        </w:r>
        <w:r>
          <w:rPr>
            <w:noProof/>
            <w:webHidden/>
          </w:rPr>
          <w:tab/>
        </w:r>
        <w:r>
          <w:rPr>
            <w:noProof/>
            <w:webHidden/>
          </w:rPr>
          <w:fldChar w:fldCharType="begin"/>
        </w:r>
        <w:r>
          <w:rPr>
            <w:noProof/>
            <w:webHidden/>
          </w:rPr>
          <w:instrText xml:space="preserve"> PAGEREF _Toc239176538 \h </w:instrText>
        </w:r>
        <w:r>
          <w:rPr>
            <w:noProof/>
            <w:webHidden/>
          </w:rPr>
        </w:r>
        <w:r>
          <w:rPr>
            <w:noProof/>
            <w:webHidden/>
          </w:rPr>
          <w:fldChar w:fldCharType="separate"/>
        </w:r>
        <w:r>
          <w:rPr>
            <w:noProof/>
            <w:webHidden/>
          </w:rPr>
          <w:t>103</w:t>
        </w:r>
        <w:r>
          <w:rPr>
            <w:noProof/>
            <w:webHidden/>
          </w:rPr>
          <w:fldChar w:fldCharType="end"/>
        </w:r>
      </w:hyperlink>
    </w:p>
    <w:p w14:paraId="2092D579" w14:textId="5AE49F44" w:rsidR="004F0B8A" w:rsidRDefault="004F0B8A">
      <w:pPr>
        <w:pStyle w:val="TOC4"/>
        <w:rPr>
          <w:rFonts w:eastAsiaTheme="minorEastAsia"/>
          <w:smallCaps w:val="0"/>
          <w:noProof/>
          <w:kern w:val="2"/>
          <w:sz w:val="24"/>
          <w:szCs w:val="24"/>
          <w:lang w:val="en-US" w:eastAsia="zh-CN" w:bidi="he-IL"/>
          <w14:ligatures w14:val="standardContextual"/>
        </w:rPr>
      </w:pPr>
      <w:hyperlink w:anchor="_Toc239176539" w:history="1">
        <w:r w:rsidRPr="005D6259">
          <w:rPr>
            <w:rStyle w:val="Hyperlink"/>
            <w:noProof/>
          </w:rPr>
          <w:t>Serviço de Gestor de Tráfego</w:t>
        </w:r>
        <w:r>
          <w:rPr>
            <w:noProof/>
            <w:webHidden/>
          </w:rPr>
          <w:tab/>
        </w:r>
        <w:r>
          <w:rPr>
            <w:noProof/>
            <w:webHidden/>
          </w:rPr>
          <w:fldChar w:fldCharType="begin"/>
        </w:r>
        <w:r>
          <w:rPr>
            <w:noProof/>
            <w:webHidden/>
          </w:rPr>
          <w:instrText xml:space="preserve"> PAGEREF _Toc239176539 \h </w:instrText>
        </w:r>
        <w:r>
          <w:rPr>
            <w:noProof/>
            <w:webHidden/>
          </w:rPr>
        </w:r>
        <w:r>
          <w:rPr>
            <w:noProof/>
            <w:webHidden/>
          </w:rPr>
          <w:fldChar w:fldCharType="separate"/>
        </w:r>
        <w:r>
          <w:rPr>
            <w:noProof/>
            <w:webHidden/>
          </w:rPr>
          <w:t>104</w:t>
        </w:r>
        <w:r>
          <w:rPr>
            <w:noProof/>
            <w:webHidden/>
          </w:rPr>
          <w:fldChar w:fldCharType="end"/>
        </w:r>
      </w:hyperlink>
    </w:p>
    <w:p w14:paraId="3C144040" w14:textId="28BA3E52"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0" w:history="1">
        <w:r w:rsidRPr="005D6259">
          <w:rPr>
            <w:rStyle w:val="Hyperlink"/>
            <w:noProof/>
          </w:rPr>
          <w:t>Assinatura de Aplicações</w:t>
        </w:r>
        <w:r>
          <w:rPr>
            <w:noProof/>
            <w:webHidden/>
          </w:rPr>
          <w:tab/>
        </w:r>
        <w:r>
          <w:rPr>
            <w:noProof/>
            <w:webHidden/>
          </w:rPr>
          <w:fldChar w:fldCharType="begin"/>
        </w:r>
        <w:r>
          <w:rPr>
            <w:noProof/>
            <w:webHidden/>
          </w:rPr>
          <w:instrText xml:space="preserve"> PAGEREF _Toc239176540 \h </w:instrText>
        </w:r>
        <w:r>
          <w:rPr>
            <w:noProof/>
            <w:webHidden/>
          </w:rPr>
        </w:r>
        <w:r>
          <w:rPr>
            <w:noProof/>
            <w:webHidden/>
          </w:rPr>
          <w:fldChar w:fldCharType="separate"/>
        </w:r>
        <w:r>
          <w:rPr>
            <w:noProof/>
            <w:webHidden/>
          </w:rPr>
          <w:t>104</w:t>
        </w:r>
        <w:r>
          <w:rPr>
            <w:noProof/>
            <w:webHidden/>
          </w:rPr>
          <w:fldChar w:fldCharType="end"/>
        </w:r>
      </w:hyperlink>
    </w:p>
    <w:p w14:paraId="6FF1A10D" w14:textId="68C46AD1"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1" w:history="1">
        <w:r w:rsidRPr="005D6259">
          <w:rPr>
            <w:rStyle w:val="Hyperlink"/>
            <w:noProof/>
          </w:rPr>
          <w:t>Máquinas Virtuais</w:t>
        </w:r>
        <w:r>
          <w:rPr>
            <w:noProof/>
            <w:webHidden/>
          </w:rPr>
          <w:tab/>
        </w:r>
        <w:r>
          <w:rPr>
            <w:noProof/>
            <w:webHidden/>
          </w:rPr>
          <w:fldChar w:fldCharType="begin"/>
        </w:r>
        <w:r>
          <w:rPr>
            <w:noProof/>
            <w:webHidden/>
          </w:rPr>
          <w:instrText xml:space="preserve"> PAGEREF _Toc239176541 \h </w:instrText>
        </w:r>
        <w:r>
          <w:rPr>
            <w:noProof/>
            <w:webHidden/>
          </w:rPr>
        </w:r>
        <w:r>
          <w:rPr>
            <w:noProof/>
            <w:webHidden/>
          </w:rPr>
          <w:fldChar w:fldCharType="separate"/>
        </w:r>
        <w:r>
          <w:rPr>
            <w:noProof/>
            <w:webHidden/>
          </w:rPr>
          <w:t>104</w:t>
        </w:r>
        <w:r>
          <w:rPr>
            <w:noProof/>
            <w:webHidden/>
          </w:rPr>
          <w:fldChar w:fldCharType="end"/>
        </w:r>
      </w:hyperlink>
    </w:p>
    <w:p w14:paraId="23BC6CB5" w14:textId="64E2B4EC"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2" w:history="1">
        <w:r w:rsidRPr="005D6259">
          <w:rPr>
            <w:rStyle w:val="Hyperlink"/>
            <w:noProof/>
          </w:rPr>
          <w:t>Azure Virtual Network Manager</w:t>
        </w:r>
        <w:r>
          <w:rPr>
            <w:noProof/>
            <w:webHidden/>
          </w:rPr>
          <w:tab/>
        </w:r>
        <w:r>
          <w:rPr>
            <w:noProof/>
            <w:webHidden/>
          </w:rPr>
          <w:fldChar w:fldCharType="begin"/>
        </w:r>
        <w:r>
          <w:rPr>
            <w:noProof/>
            <w:webHidden/>
          </w:rPr>
          <w:instrText xml:space="preserve"> PAGEREF _Toc239176542 \h </w:instrText>
        </w:r>
        <w:r>
          <w:rPr>
            <w:noProof/>
            <w:webHidden/>
          </w:rPr>
        </w:r>
        <w:r>
          <w:rPr>
            <w:noProof/>
            <w:webHidden/>
          </w:rPr>
          <w:fldChar w:fldCharType="separate"/>
        </w:r>
        <w:r>
          <w:rPr>
            <w:noProof/>
            <w:webHidden/>
          </w:rPr>
          <w:t>106</w:t>
        </w:r>
        <w:r>
          <w:rPr>
            <w:noProof/>
            <w:webHidden/>
          </w:rPr>
          <w:fldChar w:fldCharType="end"/>
        </w:r>
      </w:hyperlink>
    </w:p>
    <w:p w14:paraId="0EA30E55" w14:textId="08128148"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3" w:history="1">
        <w:r w:rsidRPr="005D6259">
          <w:rPr>
            <w:rStyle w:val="Hyperlink"/>
            <w:noProof/>
          </w:rPr>
          <w:t>WAN Virtual do Azure</w:t>
        </w:r>
        <w:r>
          <w:rPr>
            <w:noProof/>
            <w:webHidden/>
          </w:rPr>
          <w:tab/>
        </w:r>
        <w:r>
          <w:rPr>
            <w:noProof/>
            <w:webHidden/>
          </w:rPr>
          <w:fldChar w:fldCharType="begin"/>
        </w:r>
        <w:r>
          <w:rPr>
            <w:noProof/>
            <w:webHidden/>
          </w:rPr>
          <w:instrText xml:space="preserve"> PAGEREF _Toc239176543 \h </w:instrText>
        </w:r>
        <w:r>
          <w:rPr>
            <w:noProof/>
            <w:webHidden/>
          </w:rPr>
        </w:r>
        <w:r>
          <w:rPr>
            <w:noProof/>
            <w:webHidden/>
          </w:rPr>
          <w:fldChar w:fldCharType="separate"/>
        </w:r>
        <w:r>
          <w:rPr>
            <w:noProof/>
            <w:webHidden/>
          </w:rPr>
          <w:t>107</w:t>
        </w:r>
        <w:r>
          <w:rPr>
            <w:noProof/>
            <w:webHidden/>
          </w:rPr>
          <w:fldChar w:fldCharType="end"/>
        </w:r>
      </w:hyperlink>
    </w:p>
    <w:p w14:paraId="20699DA9" w14:textId="2CA11A4D"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4" w:history="1">
        <w:r w:rsidRPr="005D6259">
          <w:rPr>
            <w:rStyle w:val="Hyperlink"/>
            <w:noProof/>
          </w:rPr>
          <w:t>Azure VMware Solution</w:t>
        </w:r>
        <w:r>
          <w:rPr>
            <w:noProof/>
            <w:webHidden/>
          </w:rPr>
          <w:tab/>
        </w:r>
        <w:r>
          <w:rPr>
            <w:noProof/>
            <w:webHidden/>
          </w:rPr>
          <w:fldChar w:fldCharType="begin"/>
        </w:r>
        <w:r>
          <w:rPr>
            <w:noProof/>
            <w:webHidden/>
          </w:rPr>
          <w:instrText xml:space="preserve"> PAGEREF _Toc239176544 \h </w:instrText>
        </w:r>
        <w:r>
          <w:rPr>
            <w:noProof/>
            <w:webHidden/>
          </w:rPr>
        </w:r>
        <w:r>
          <w:rPr>
            <w:noProof/>
            <w:webHidden/>
          </w:rPr>
          <w:fldChar w:fldCharType="separate"/>
        </w:r>
        <w:r>
          <w:rPr>
            <w:noProof/>
            <w:webHidden/>
          </w:rPr>
          <w:t>107</w:t>
        </w:r>
        <w:r>
          <w:rPr>
            <w:noProof/>
            <w:webHidden/>
          </w:rPr>
          <w:fldChar w:fldCharType="end"/>
        </w:r>
      </w:hyperlink>
    </w:p>
    <w:p w14:paraId="0ED21A83" w14:textId="72F35806"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5" w:history="1">
        <w:r w:rsidRPr="005D6259">
          <w:rPr>
            <w:rStyle w:val="Hyperlink"/>
            <w:noProof/>
            <w:lang w:val="en-IN"/>
          </w:rPr>
          <w:t>Azure VMware Solution by CloudSimple</w:t>
        </w:r>
        <w:r>
          <w:rPr>
            <w:noProof/>
            <w:webHidden/>
          </w:rPr>
          <w:tab/>
        </w:r>
        <w:r>
          <w:rPr>
            <w:noProof/>
            <w:webHidden/>
          </w:rPr>
          <w:fldChar w:fldCharType="begin"/>
        </w:r>
        <w:r>
          <w:rPr>
            <w:noProof/>
            <w:webHidden/>
          </w:rPr>
          <w:instrText xml:space="preserve"> PAGEREF _Toc239176545 \h </w:instrText>
        </w:r>
        <w:r>
          <w:rPr>
            <w:noProof/>
            <w:webHidden/>
          </w:rPr>
        </w:r>
        <w:r>
          <w:rPr>
            <w:noProof/>
            <w:webHidden/>
          </w:rPr>
          <w:fldChar w:fldCharType="separate"/>
        </w:r>
        <w:r>
          <w:rPr>
            <w:noProof/>
            <w:webHidden/>
          </w:rPr>
          <w:t>108</w:t>
        </w:r>
        <w:r>
          <w:rPr>
            <w:noProof/>
            <w:webHidden/>
          </w:rPr>
          <w:fldChar w:fldCharType="end"/>
        </w:r>
      </w:hyperlink>
    </w:p>
    <w:p w14:paraId="2D4FDD52" w14:textId="0F5CF27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6" w:history="1">
        <w:r w:rsidRPr="005D6259">
          <w:rPr>
            <w:rStyle w:val="Hyperlink"/>
            <w:noProof/>
          </w:rPr>
          <w:t>Azure VNet NAT</w:t>
        </w:r>
        <w:r>
          <w:rPr>
            <w:noProof/>
            <w:webHidden/>
          </w:rPr>
          <w:tab/>
        </w:r>
        <w:r>
          <w:rPr>
            <w:noProof/>
            <w:webHidden/>
          </w:rPr>
          <w:fldChar w:fldCharType="begin"/>
        </w:r>
        <w:r>
          <w:rPr>
            <w:noProof/>
            <w:webHidden/>
          </w:rPr>
          <w:instrText xml:space="preserve"> PAGEREF _Toc239176546 \h </w:instrText>
        </w:r>
        <w:r>
          <w:rPr>
            <w:noProof/>
            <w:webHidden/>
          </w:rPr>
        </w:r>
        <w:r>
          <w:rPr>
            <w:noProof/>
            <w:webHidden/>
          </w:rPr>
          <w:fldChar w:fldCharType="separate"/>
        </w:r>
        <w:r>
          <w:rPr>
            <w:noProof/>
            <w:webHidden/>
          </w:rPr>
          <w:t>109</w:t>
        </w:r>
        <w:r>
          <w:rPr>
            <w:noProof/>
            <w:webHidden/>
          </w:rPr>
          <w:fldChar w:fldCharType="end"/>
        </w:r>
      </w:hyperlink>
    </w:p>
    <w:p w14:paraId="6BEA626F" w14:textId="47EE7BD6"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7" w:history="1">
        <w:r w:rsidRPr="005D6259">
          <w:rPr>
            <w:rStyle w:val="Hyperlink"/>
            <w:noProof/>
          </w:rPr>
          <w:t>Gateway de Rede Virtual</w:t>
        </w:r>
        <w:r>
          <w:rPr>
            <w:noProof/>
            <w:webHidden/>
          </w:rPr>
          <w:tab/>
        </w:r>
        <w:r>
          <w:rPr>
            <w:noProof/>
            <w:webHidden/>
          </w:rPr>
          <w:fldChar w:fldCharType="begin"/>
        </w:r>
        <w:r>
          <w:rPr>
            <w:noProof/>
            <w:webHidden/>
          </w:rPr>
          <w:instrText xml:space="preserve"> PAGEREF _Toc239176547 \h </w:instrText>
        </w:r>
        <w:r>
          <w:rPr>
            <w:noProof/>
            <w:webHidden/>
          </w:rPr>
        </w:r>
        <w:r>
          <w:rPr>
            <w:noProof/>
            <w:webHidden/>
          </w:rPr>
          <w:fldChar w:fldCharType="separate"/>
        </w:r>
        <w:r>
          <w:rPr>
            <w:noProof/>
            <w:webHidden/>
          </w:rPr>
          <w:t>109</w:t>
        </w:r>
        <w:r>
          <w:rPr>
            <w:noProof/>
            <w:webHidden/>
          </w:rPr>
          <w:fldChar w:fldCharType="end"/>
        </w:r>
      </w:hyperlink>
    </w:p>
    <w:p w14:paraId="19CF3FC0" w14:textId="77DC7B5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8" w:history="1">
        <w:r w:rsidRPr="005D6259">
          <w:rPr>
            <w:rStyle w:val="Hyperlink"/>
            <w:noProof/>
          </w:rPr>
          <w:t>Azure Web PubSub</w:t>
        </w:r>
        <w:r>
          <w:rPr>
            <w:noProof/>
            <w:webHidden/>
          </w:rPr>
          <w:tab/>
        </w:r>
        <w:r>
          <w:rPr>
            <w:noProof/>
            <w:webHidden/>
          </w:rPr>
          <w:fldChar w:fldCharType="begin"/>
        </w:r>
        <w:r>
          <w:rPr>
            <w:noProof/>
            <w:webHidden/>
          </w:rPr>
          <w:instrText xml:space="preserve"> PAGEREF _Toc239176548 \h </w:instrText>
        </w:r>
        <w:r>
          <w:rPr>
            <w:noProof/>
            <w:webHidden/>
          </w:rPr>
        </w:r>
        <w:r>
          <w:rPr>
            <w:noProof/>
            <w:webHidden/>
          </w:rPr>
          <w:fldChar w:fldCharType="separate"/>
        </w:r>
        <w:r>
          <w:rPr>
            <w:noProof/>
            <w:webHidden/>
          </w:rPr>
          <w:t>110</w:t>
        </w:r>
        <w:r>
          <w:rPr>
            <w:noProof/>
            <w:webHidden/>
          </w:rPr>
          <w:fldChar w:fldCharType="end"/>
        </w:r>
      </w:hyperlink>
    </w:p>
    <w:p w14:paraId="3ECD734E" w14:textId="00AD9533" w:rsidR="004F0B8A" w:rsidRDefault="004F0B8A">
      <w:pPr>
        <w:pStyle w:val="TOC4"/>
        <w:rPr>
          <w:rFonts w:eastAsiaTheme="minorEastAsia"/>
          <w:smallCaps w:val="0"/>
          <w:noProof/>
          <w:kern w:val="2"/>
          <w:sz w:val="24"/>
          <w:szCs w:val="24"/>
          <w:lang w:val="en-US" w:eastAsia="zh-CN" w:bidi="he-IL"/>
          <w14:ligatures w14:val="standardContextual"/>
        </w:rPr>
      </w:pPr>
      <w:hyperlink w:anchor="_Toc239176549" w:history="1">
        <w:r w:rsidRPr="005D6259">
          <w:rPr>
            <w:rStyle w:val="Hyperlink"/>
            <w:noProof/>
          </w:rPr>
          <w:t>Windows 10 IoT Core Services</w:t>
        </w:r>
        <w:r>
          <w:rPr>
            <w:noProof/>
            <w:webHidden/>
          </w:rPr>
          <w:tab/>
        </w:r>
        <w:r>
          <w:rPr>
            <w:noProof/>
            <w:webHidden/>
          </w:rPr>
          <w:fldChar w:fldCharType="begin"/>
        </w:r>
        <w:r>
          <w:rPr>
            <w:noProof/>
            <w:webHidden/>
          </w:rPr>
          <w:instrText xml:space="preserve"> PAGEREF _Toc239176549 \h </w:instrText>
        </w:r>
        <w:r>
          <w:rPr>
            <w:noProof/>
            <w:webHidden/>
          </w:rPr>
        </w:r>
        <w:r>
          <w:rPr>
            <w:noProof/>
            <w:webHidden/>
          </w:rPr>
          <w:fldChar w:fldCharType="separate"/>
        </w:r>
        <w:r>
          <w:rPr>
            <w:noProof/>
            <w:webHidden/>
          </w:rPr>
          <w:t>110</w:t>
        </w:r>
        <w:r>
          <w:rPr>
            <w:noProof/>
            <w:webHidden/>
          </w:rPr>
          <w:fldChar w:fldCharType="end"/>
        </w:r>
      </w:hyperlink>
    </w:p>
    <w:p w14:paraId="6ACD46E8" w14:textId="4E9B6641" w:rsidR="004F0B8A" w:rsidRDefault="004F0B8A">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6550" w:history="1">
        <w:r w:rsidRPr="005D6259">
          <w:rPr>
            <w:rStyle w:val="Hyperlink"/>
            <w:noProof/>
          </w:rPr>
          <w:t>Outros Serviços Online</w:t>
        </w:r>
        <w:r>
          <w:rPr>
            <w:noProof/>
            <w:webHidden/>
          </w:rPr>
          <w:tab/>
        </w:r>
        <w:r>
          <w:rPr>
            <w:noProof/>
            <w:webHidden/>
          </w:rPr>
          <w:fldChar w:fldCharType="begin"/>
        </w:r>
        <w:r>
          <w:rPr>
            <w:noProof/>
            <w:webHidden/>
          </w:rPr>
          <w:instrText xml:space="preserve"> PAGEREF _Toc239176550 \h </w:instrText>
        </w:r>
        <w:r>
          <w:rPr>
            <w:noProof/>
            <w:webHidden/>
          </w:rPr>
        </w:r>
        <w:r>
          <w:rPr>
            <w:noProof/>
            <w:webHidden/>
          </w:rPr>
          <w:fldChar w:fldCharType="separate"/>
        </w:r>
        <w:r>
          <w:rPr>
            <w:noProof/>
            <w:webHidden/>
          </w:rPr>
          <w:t>111</w:t>
        </w:r>
        <w:r>
          <w:rPr>
            <w:noProof/>
            <w:webHidden/>
          </w:rPr>
          <w:fldChar w:fldCharType="end"/>
        </w:r>
      </w:hyperlink>
    </w:p>
    <w:p w14:paraId="60262EBC" w14:textId="5A688531"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1" w:history="1">
        <w:r w:rsidRPr="005D6259">
          <w:rPr>
            <w:rStyle w:val="Hyperlink"/>
            <w:noProof/>
          </w:rPr>
          <w:t>Microsoft Defender para Identidade</w:t>
        </w:r>
        <w:r>
          <w:rPr>
            <w:noProof/>
            <w:webHidden/>
          </w:rPr>
          <w:tab/>
        </w:r>
        <w:r>
          <w:rPr>
            <w:noProof/>
            <w:webHidden/>
          </w:rPr>
          <w:fldChar w:fldCharType="begin"/>
        </w:r>
        <w:r>
          <w:rPr>
            <w:noProof/>
            <w:webHidden/>
          </w:rPr>
          <w:instrText xml:space="preserve"> PAGEREF _Toc239176551 \h </w:instrText>
        </w:r>
        <w:r>
          <w:rPr>
            <w:noProof/>
            <w:webHidden/>
          </w:rPr>
        </w:r>
        <w:r>
          <w:rPr>
            <w:noProof/>
            <w:webHidden/>
          </w:rPr>
          <w:fldChar w:fldCharType="separate"/>
        </w:r>
        <w:r>
          <w:rPr>
            <w:noProof/>
            <w:webHidden/>
          </w:rPr>
          <w:t>111</w:t>
        </w:r>
        <w:r>
          <w:rPr>
            <w:noProof/>
            <w:webHidden/>
          </w:rPr>
          <w:fldChar w:fldCharType="end"/>
        </w:r>
      </w:hyperlink>
    </w:p>
    <w:p w14:paraId="33DBD743" w14:textId="51BDA25A"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2" w:history="1">
        <w:r w:rsidRPr="005D6259">
          <w:rPr>
            <w:rStyle w:val="Hyperlink"/>
            <w:noProof/>
          </w:rPr>
          <w:t>Microsoft Defender para IoT</w:t>
        </w:r>
        <w:r>
          <w:rPr>
            <w:noProof/>
            <w:webHidden/>
          </w:rPr>
          <w:tab/>
        </w:r>
        <w:r>
          <w:rPr>
            <w:noProof/>
            <w:webHidden/>
          </w:rPr>
          <w:fldChar w:fldCharType="begin"/>
        </w:r>
        <w:r>
          <w:rPr>
            <w:noProof/>
            <w:webHidden/>
          </w:rPr>
          <w:instrText xml:space="preserve"> PAGEREF _Toc239176552 \h </w:instrText>
        </w:r>
        <w:r>
          <w:rPr>
            <w:noProof/>
            <w:webHidden/>
          </w:rPr>
        </w:r>
        <w:r>
          <w:rPr>
            <w:noProof/>
            <w:webHidden/>
          </w:rPr>
          <w:fldChar w:fldCharType="separate"/>
        </w:r>
        <w:r>
          <w:rPr>
            <w:noProof/>
            <w:webHidden/>
          </w:rPr>
          <w:t>111</w:t>
        </w:r>
        <w:r>
          <w:rPr>
            <w:noProof/>
            <w:webHidden/>
          </w:rPr>
          <w:fldChar w:fldCharType="end"/>
        </w:r>
      </w:hyperlink>
    </w:p>
    <w:p w14:paraId="13DDED93" w14:textId="6C3C23AD"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3" w:history="1">
        <w:r w:rsidRPr="005D6259">
          <w:rPr>
            <w:rStyle w:val="Hyperlink"/>
            <w:noProof/>
          </w:rPr>
          <w:t>Bing Maps Enterprise Platform</w:t>
        </w:r>
        <w:r>
          <w:rPr>
            <w:noProof/>
            <w:webHidden/>
          </w:rPr>
          <w:tab/>
        </w:r>
        <w:r>
          <w:rPr>
            <w:noProof/>
            <w:webHidden/>
          </w:rPr>
          <w:fldChar w:fldCharType="begin"/>
        </w:r>
        <w:r>
          <w:rPr>
            <w:noProof/>
            <w:webHidden/>
          </w:rPr>
          <w:instrText xml:space="preserve"> PAGEREF _Toc239176553 \h </w:instrText>
        </w:r>
        <w:r>
          <w:rPr>
            <w:noProof/>
            <w:webHidden/>
          </w:rPr>
        </w:r>
        <w:r>
          <w:rPr>
            <w:noProof/>
            <w:webHidden/>
          </w:rPr>
          <w:fldChar w:fldCharType="separate"/>
        </w:r>
        <w:r>
          <w:rPr>
            <w:noProof/>
            <w:webHidden/>
          </w:rPr>
          <w:t>111</w:t>
        </w:r>
        <w:r>
          <w:rPr>
            <w:noProof/>
            <w:webHidden/>
          </w:rPr>
          <w:fldChar w:fldCharType="end"/>
        </w:r>
      </w:hyperlink>
    </w:p>
    <w:p w14:paraId="43EFD7C6" w14:textId="3B47714D"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4" w:history="1">
        <w:r w:rsidRPr="005D6259">
          <w:rPr>
            <w:rStyle w:val="Hyperlink"/>
            <w:noProof/>
          </w:rPr>
          <w:t>Bing Maps Mobile Asset Management</w:t>
        </w:r>
        <w:r>
          <w:rPr>
            <w:noProof/>
            <w:webHidden/>
          </w:rPr>
          <w:tab/>
        </w:r>
        <w:r>
          <w:rPr>
            <w:noProof/>
            <w:webHidden/>
          </w:rPr>
          <w:fldChar w:fldCharType="begin"/>
        </w:r>
        <w:r>
          <w:rPr>
            <w:noProof/>
            <w:webHidden/>
          </w:rPr>
          <w:instrText xml:space="preserve"> PAGEREF _Toc239176554 \h </w:instrText>
        </w:r>
        <w:r>
          <w:rPr>
            <w:noProof/>
            <w:webHidden/>
          </w:rPr>
        </w:r>
        <w:r>
          <w:rPr>
            <w:noProof/>
            <w:webHidden/>
          </w:rPr>
          <w:fldChar w:fldCharType="separate"/>
        </w:r>
        <w:r>
          <w:rPr>
            <w:noProof/>
            <w:webHidden/>
          </w:rPr>
          <w:t>112</w:t>
        </w:r>
        <w:r>
          <w:rPr>
            <w:noProof/>
            <w:webHidden/>
          </w:rPr>
          <w:fldChar w:fldCharType="end"/>
        </w:r>
      </w:hyperlink>
    </w:p>
    <w:p w14:paraId="6335A9AF" w14:textId="2910DAD1"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5" w:history="1">
        <w:r w:rsidRPr="005D6259">
          <w:rPr>
            <w:rStyle w:val="Hyperlink"/>
            <w:noProof/>
          </w:rPr>
          <w:t>Microsoft Cloud App Security</w:t>
        </w:r>
        <w:r>
          <w:rPr>
            <w:noProof/>
            <w:webHidden/>
          </w:rPr>
          <w:tab/>
        </w:r>
        <w:r>
          <w:rPr>
            <w:noProof/>
            <w:webHidden/>
          </w:rPr>
          <w:fldChar w:fldCharType="begin"/>
        </w:r>
        <w:r>
          <w:rPr>
            <w:noProof/>
            <w:webHidden/>
          </w:rPr>
          <w:instrText xml:space="preserve"> PAGEREF _Toc239176555 \h </w:instrText>
        </w:r>
        <w:r>
          <w:rPr>
            <w:noProof/>
            <w:webHidden/>
          </w:rPr>
        </w:r>
        <w:r>
          <w:rPr>
            <w:noProof/>
            <w:webHidden/>
          </w:rPr>
          <w:fldChar w:fldCharType="separate"/>
        </w:r>
        <w:r>
          <w:rPr>
            <w:noProof/>
            <w:webHidden/>
          </w:rPr>
          <w:t>112</w:t>
        </w:r>
        <w:r>
          <w:rPr>
            <w:noProof/>
            <w:webHidden/>
          </w:rPr>
          <w:fldChar w:fldCharType="end"/>
        </w:r>
      </w:hyperlink>
    </w:p>
    <w:p w14:paraId="1CBB87DA" w14:textId="598F0A5F"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6" w:history="1">
        <w:r w:rsidRPr="005D6259">
          <w:rPr>
            <w:rStyle w:val="Hyperlink"/>
            <w:noProof/>
          </w:rPr>
          <w:t>Microsoft Dragon Copilot</w:t>
        </w:r>
        <w:r>
          <w:rPr>
            <w:noProof/>
            <w:webHidden/>
          </w:rPr>
          <w:tab/>
        </w:r>
        <w:r>
          <w:rPr>
            <w:noProof/>
            <w:webHidden/>
          </w:rPr>
          <w:fldChar w:fldCharType="begin"/>
        </w:r>
        <w:r>
          <w:rPr>
            <w:noProof/>
            <w:webHidden/>
          </w:rPr>
          <w:instrText xml:space="preserve"> PAGEREF _Toc239176556 \h </w:instrText>
        </w:r>
        <w:r>
          <w:rPr>
            <w:noProof/>
            <w:webHidden/>
          </w:rPr>
        </w:r>
        <w:r>
          <w:rPr>
            <w:noProof/>
            <w:webHidden/>
          </w:rPr>
          <w:fldChar w:fldCharType="separate"/>
        </w:r>
        <w:r>
          <w:rPr>
            <w:noProof/>
            <w:webHidden/>
          </w:rPr>
          <w:t>113</w:t>
        </w:r>
        <w:r>
          <w:rPr>
            <w:noProof/>
            <w:webHidden/>
          </w:rPr>
          <w:fldChar w:fldCharType="end"/>
        </w:r>
      </w:hyperlink>
    </w:p>
    <w:p w14:paraId="61577189" w14:textId="5C75B464"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7" w:history="1">
        <w:r w:rsidRPr="005D6259">
          <w:rPr>
            <w:rStyle w:val="Hyperlink"/>
            <w:noProof/>
          </w:rPr>
          <w:t>Microsoft Power Automate</w:t>
        </w:r>
        <w:r>
          <w:rPr>
            <w:noProof/>
            <w:webHidden/>
          </w:rPr>
          <w:tab/>
        </w:r>
        <w:r>
          <w:rPr>
            <w:noProof/>
            <w:webHidden/>
          </w:rPr>
          <w:fldChar w:fldCharType="begin"/>
        </w:r>
        <w:r>
          <w:rPr>
            <w:noProof/>
            <w:webHidden/>
          </w:rPr>
          <w:instrText xml:space="preserve"> PAGEREF _Toc239176557 \h </w:instrText>
        </w:r>
        <w:r>
          <w:rPr>
            <w:noProof/>
            <w:webHidden/>
          </w:rPr>
        </w:r>
        <w:r>
          <w:rPr>
            <w:noProof/>
            <w:webHidden/>
          </w:rPr>
          <w:fldChar w:fldCharType="separate"/>
        </w:r>
        <w:r>
          <w:rPr>
            <w:noProof/>
            <w:webHidden/>
          </w:rPr>
          <w:t>114</w:t>
        </w:r>
        <w:r>
          <w:rPr>
            <w:noProof/>
            <w:webHidden/>
          </w:rPr>
          <w:fldChar w:fldCharType="end"/>
        </w:r>
      </w:hyperlink>
    </w:p>
    <w:p w14:paraId="72AB8F93" w14:textId="6095B18A"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8" w:history="1">
        <w:r w:rsidRPr="005D6259">
          <w:rPr>
            <w:rStyle w:val="Hyperlink"/>
            <w:noProof/>
          </w:rPr>
          <w:t>Microsoft Power Pages</w:t>
        </w:r>
        <w:r>
          <w:rPr>
            <w:noProof/>
            <w:webHidden/>
          </w:rPr>
          <w:tab/>
        </w:r>
        <w:r>
          <w:rPr>
            <w:noProof/>
            <w:webHidden/>
          </w:rPr>
          <w:fldChar w:fldCharType="begin"/>
        </w:r>
        <w:r>
          <w:rPr>
            <w:noProof/>
            <w:webHidden/>
          </w:rPr>
          <w:instrText xml:space="preserve"> PAGEREF _Toc239176558 \h </w:instrText>
        </w:r>
        <w:r>
          <w:rPr>
            <w:noProof/>
            <w:webHidden/>
          </w:rPr>
        </w:r>
        <w:r>
          <w:rPr>
            <w:noProof/>
            <w:webHidden/>
          </w:rPr>
          <w:fldChar w:fldCharType="separate"/>
        </w:r>
        <w:r>
          <w:rPr>
            <w:noProof/>
            <w:webHidden/>
          </w:rPr>
          <w:t>114</w:t>
        </w:r>
        <w:r>
          <w:rPr>
            <w:noProof/>
            <w:webHidden/>
          </w:rPr>
          <w:fldChar w:fldCharType="end"/>
        </w:r>
      </w:hyperlink>
    </w:p>
    <w:p w14:paraId="3AAFEF71" w14:textId="5DA40C52" w:rsidR="004F0B8A" w:rsidRDefault="004F0B8A">
      <w:pPr>
        <w:pStyle w:val="TOC4"/>
        <w:rPr>
          <w:rFonts w:eastAsiaTheme="minorEastAsia"/>
          <w:smallCaps w:val="0"/>
          <w:noProof/>
          <w:kern w:val="2"/>
          <w:sz w:val="24"/>
          <w:szCs w:val="24"/>
          <w:lang w:val="en-US" w:eastAsia="zh-CN" w:bidi="he-IL"/>
          <w14:ligatures w14:val="standardContextual"/>
        </w:rPr>
      </w:pPr>
      <w:hyperlink w:anchor="_Toc239176559" w:history="1">
        <w:r w:rsidRPr="005D6259">
          <w:rPr>
            <w:rStyle w:val="Hyperlink"/>
            <w:noProof/>
          </w:rPr>
          <w:t>Microsoft Intune</w:t>
        </w:r>
        <w:r>
          <w:rPr>
            <w:noProof/>
            <w:webHidden/>
          </w:rPr>
          <w:tab/>
        </w:r>
        <w:r>
          <w:rPr>
            <w:noProof/>
            <w:webHidden/>
          </w:rPr>
          <w:fldChar w:fldCharType="begin"/>
        </w:r>
        <w:r>
          <w:rPr>
            <w:noProof/>
            <w:webHidden/>
          </w:rPr>
          <w:instrText xml:space="preserve"> PAGEREF _Toc239176559 \h </w:instrText>
        </w:r>
        <w:r>
          <w:rPr>
            <w:noProof/>
            <w:webHidden/>
          </w:rPr>
        </w:r>
        <w:r>
          <w:rPr>
            <w:noProof/>
            <w:webHidden/>
          </w:rPr>
          <w:fldChar w:fldCharType="separate"/>
        </w:r>
        <w:r>
          <w:rPr>
            <w:noProof/>
            <w:webHidden/>
          </w:rPr>
          <w:t>114</w:t>
        </w:r>
        <w:r>
          <w:rPr>
            <w:noProof/>
            <w:webHidden/>
          </w:rPr>
          <w:fldChar w:fldCharType="end"/>
        </w:r>
      </w:hyperlink>
    </w:p>
    <w:p w14:paraId="0A819167" w14:textId="44F6F71A"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0" w:history="1">
        <w:r w:rsidRPr="005D6259">
          <w:rPr>
            <w:rStyle w:val="Hyperlink"/>
            <w:noProof/>
          </w:rPr>
          <w:t>Microsoft Kaizala Pro</w:t>
        </w:r>
        <w:r>
          <w:rPr>
            <w:noProof/>
            <w:webHidden/>
          </w:rPr>
          <w:tab/>
        </w:r>
        <w:r>
          <w:rPr>
            <w:noProof/>
            <w:webHidden/>
          </w:rPr>
          <w:fldChar w:fldCharType="begin"/>
        </w:r>
        <w:r>
          <w:rPr>
            <w:noProof/>
            <w:webHidden/>
          </w:rPr>
          <w:instrText xml:space="preserve"> PAGEREF _Toc239176560 \h </w:instrText>
        </w:r>
        <w:r>
          <w:rPr>
            <w:noProof/>
            <w:webHidden/>
          </w:rPr>
        </w:r>
        <w:r>
          <w:rPr>
            <w:noProof/>
            <w:webHidden/>
          </w:rPr>
          <w:fldChar w:fldCharType="separate"/>
        </w:r>
        <w:r>
          <w:rPr>
            <w:noProof/>
            <w:webHidden/>
          </w:rPr>
          <w:t>115</w:t>
        </w:r>
        <w:r>
          <w:rPr>
            <w:noProof/>
            <w:webHidden/>
          </w:rPr>
          <w:fldChar w:fldCharType="end"/>
        </w:r>
      </w:hyperlink>
    </w:p>
    <w:p w14:paraId="27B3DD9B" w14:textId="2D7FAE93"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1" w:history="1">
        <w:r w:rsidRPr="005D6259">
          <w:rPr>
            <w:rStyle w:val="Hyperlink"/>
            <w:noProof/>
          </w:rPr>
          <w:t>Microsoft Power Apps</w:t>
        </w:r>
        <w:r>
          <w:rPr>
            <w:noProof/>
            <w:webHidden/>
          </w:rPr>
          <w:tab/>
        </w:r>
        <w:r>
          <w:rPr>
            <w:noProof/>
            <w:webHidden/>
          </w:rPr>
          <w:fldChar w:fldCharType="begin"/>
        </w:r>
        <w:r>
          <w:rPr>
            <w:noProof/>
            <w:webHidden/>
          </w:rPr>
          <w:instrText xml:space="preserve"> PAGEREF _Toc239176561 \h </w:instrText>
        </w:r>
        <w:r>
          <w:rPr>
            <w:noProof/>
            <w:webHidden/>
          </w:rPr>
        </w:r>
        <w:r>
          <w:rPr>
            <w:noProof/>
            <w:webHidden/>
          </w:rPr>
          <w:fldChar w:fldCharType="separate"/>
        </w:r>
        <w:r>
          <w:rPr>
            <w:noProof/>
            <w:webHidden/>
          </w:rPr>
          <w:t>115</w:t>
        </w:r>
        <w:r>
          <w:rPr>
            <w:noProof/>
            <w:webHidden/>
          </w:rPr>
          <w:fldChar w:fldCharType="end"/>
        </w:r>
      </w:hyperlink>
    </w:p>
    <w:p w14:paraId="3A495E33" w14:textId="724DBDA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2" w:history="1">
        <w:r w:rsidRPr="005D6259">
          <w:rPr>
            <w:rStyle w:val="Hyperlink"/>
            <w:noProof/>
          </w:rPr>
          <w:t>Microsoft Copilot Studio</w:t>
        </w:r>
        <w:r>
          <w:rPr>
            <w:noProof/>
            <w:webHidden/>
          </w:rPr>
          <w:tab/>
        </w:r>
        <w:r>
          <w:rPr>
            <w:noProof/>
            <w:webHidden/>
          </w:rPr>
          <w:fldChar w:fldCharType="begin"/>
        </w:r>
        <w:r>
          <w:rPr>
            <w:noProof/>
            <w:webHidden/>
          </w:rPr>
          <w:instrText xml:space="preserve"> PAGEREF _Toc239176562 \h </w:instrText>
        </w:r>
        <w:r>
          <w:rPr>
            <w:noProof/>
            <w:webHidden/>
          </w:rPr>
        </w:r>
        <w:r>
          <w:rPr>
            <w:noProof/>
            <w:webHidden/>
          </w:rPr>
          <w:fldChar w:fldCharType="separate"/>
        </w:r>
        <w:r>
          <w:rPr>
            <w:noProof/>
            <w:webHidden/>
          </w:rPr>
          <w:t>115</w:t>
        </w:r>
        <w:r>
          <w:rPr>
            <w:noProof/>
            <w:webHidden/>
          </w:rPr>
          <w:fldChar w:fldCharType="end"/>
        </w:r>
      </w:hyperlink>
    </w:p>
    <w:p w14:paraId="2BAF8AAB" w14:textId="4B4575BF"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3" w:history="1">
        <w:r w:rsidRPr="005D6259">
          <w:rPr>
            <w:rStyle w:val="Hyperlink"/>
            <w:noProof/>
          </w:rPr>
          <w:t>Gestor de Sustentabilidade da Microsoft</w:t>
        </w:r>
        <w:r>
          <w:rPr>
            <w:noProof/>
            <w:webHidden/>
          </w:rPr>
          <w:tab/>
        </w:r>
        <w:r>
          <w:rPr>
            <w:noProof/>
            <w:webHidden/>
          </w:rPr>
          <w:fldChar w:fldCharType="begin"/>
        </w:r>
        <w:r>
          <w:rPr>
            <w:noProof/>
            <w:webHidden/>
          </w:rPr>
          <w:instrText xml:space="preserve"> PAGEREF _Toc239176563 \h </w:instrText>
        </w:r>
        <w:r>
          <w:rPr>
            <w:noProof/>
            <w:webHidden/>
          </w:rPr>
        </w:r>
        <w:r>
          <w:rPr>
            <w:noProof/>
            <w:webHidden/>
          </w:rPr>
          <w:fldChar w:fldCharType="separate"/>
        </w:r>
        <w:r>
          <w:rPr>
            <w:noProof/>
            <w:webHidden/>
          </w:rPr>
          <w:t>116</w:t>
        </w:r>
        <w:r>
          <w:rPr>
            <w:noProof/>
            <w:webHidden/>
          </w:rPr>
          <w:fldChar w:fldCharType="end"/>
        </w:r>
      </w:hyperlink>
    </w:p>
    <w:p w14:paraId="0867882F" w14:textId="4F5959F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4" w:history="1">
        <w:r w:rsidRPr="005D6259">
          <w:rPr>
            <w:rStyle w:val="Hyperlink"/>
            <w:noProof/>
          </w:rPr>
          <w:t>Minecraft: Education Edition</w:t>
        </w:r>
        <w:r>
          <w:rPr>
            <w:noProof/>
            <w:webHidden/>
          </w:rPr>
          <w:tab/>
        </w:r>
        <w:r>
          <w:rPr>
            <w:noProof/>
            <w:webHidden/>
          </w:rPr>
          <w:fldChar w:fldCharType="begin"/>
        </w:r>
        <w:r>
          <w:rPr>
            <w:noProof/>
            <w:webHidden/>
          </w:rPr>
          <w:instrText xml:space="preserve"> PAGEREF _Toc239176564 \h </w:instrText>
        </w:r>
        <w:r>
          <w:rPr>
            <w:noProof/>
            <w:webHidden/>
          </w:rPr>
        </w:r>
        <w:r>
          <w:rPr>
            <w:noProof/>
            <w:webHidden/>
          </w:rPr>
          <w:fldChar w:fldCharType="separate"/>
        </w:r>
        <w:r>
          <w:rPr>
            <w:noProof/>
            <w:webHidden/>
          </w:rPr>
          <w:t>116</w:t>
        </w:r>
        <w:r>
          <w:rPr>
            <w:noProof/>
            <w:webHidden/>
          </w:rPr>
          <w:fldChar w:fldCharType="end"/>
        </w:r>
      </w:hyperlink>
    </w:p>
    <w:p w14:paraId="06E0202F" w14:textId="17FC48B5"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5" w:history="1">
        <w:r w:rsidRPr="005D6259">
          <w:rPr>
            <w:rStyle w:val="Hyperlink"/>
            <w:noProof/>
          </w:rPr>
          <w:t>Power BI Embedded</w:t>
        </w:r>
        <w:r>
          <w:rPr>
            <w:noProof/>
            <w:webHidden/>
          </w:rPr>
          <w:tab/>
        </w:r>
        <w:r>
          <w:rPr>
            <w:noProof/>
            <w:webHidden/>
          </w:rPr>
          <w:fldChar w:fldCharType="begin"/>
        </w:r>
        <w:r>
          <w:rPr>
            <w:noProof/>
            <w:webHidden/>
          </w:rPr>
          <w:instrText xml:space="preserve"> PAGEREF _Toc239176565 \h </w:instrText>
        </w:r>
        <w:r>
          <w:rPr>
            <w:noProof/>
            <w:webHidden/>
          </w:rPr>
        </w:r>
        <w:r>
          <w:rPr>
            <w:noProof/>
            <w:webHidden/>
          </w:rPr>
          <w:fldChar w:fldCharType="separate"/>
        </w:r>
        <w:r>
          <w:rPr>
            <w:noProof/>
            <w:webHidden/>
          </w:rPr>
          <w:t>116</w:t>
        </w:r>
        <w:r>
          <w:rPr>
            <w:noProof/>
            <w:webHidden/>
          </w:rPr>
          <w:fldChar w:fldCharType="end"/>
        </w:r>
      </w:hyperlink>
    </w:p>
    <w:p w14:paraId="5F3F6BE3" w14:textId="33BC4E56"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6" w:history="1">
        <w:r w:rsidRPr="005D6259">
          <w:rPr>
            <w:rStyle w:val="Hyperlink"/>
            <w:noProof/>
          </w:rPr>
          <w:t>Power BI Premium</w:t>
        </w:r>
        <w:r>
          <w:rPr>
            <w:noProof/>
            <w:webHidden/>
          </w:rPr>
          <w:tab/>
        </w:r>
        <w:r>
          <w:rPr>
            <w:noProof/>
            <w:webHidden/>
          </w:rPr>
          <w:fldChar w:fldCharType="begin"/>
        </w:r>
        <w:r>
          <w:rPr>
            <w:noProof/>
            <w:webHidden/>
          </w:rPr>
          <w:instrText xml:space="preserve"> PAGEREF _Toc239176566 \h </w:instrText>
        </w:r>
        <w:r>
          <w:rPr>
            <w:noProof/>
            <w:webHidden/>
          </w:rPr>
        </w:r>
        <w:r>
          <w:rPr>
            <w:noProof/>
            <w:webHidden/>
          </w:rPr>
          <w:fldChar w:fldCharType="separate"/>
        </w:r>
        <w:r>
          <w:rPr>
            <w:noProof/>
            <w:webHidden/>
          </w:rPr>
          <w:t>117</w:t>
        </w:r>
        <w:r>
          <w:rPr>
            <w:noProof/>
            <w:webHidden/>
          </w:rPr>
          <w:fldChar w:fldCharType="end"/>
        </w:r>
      </w:hyperlink>
    </w:p>
    <w:p w14:paraId="1F1AC1E0" w14:textId="17D36D40"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7" w:history="1">
        <w:r w:rsidRPr="005D6259">
          <w:rPr>
            <w:rStyle w:val="Hyperlink"/>
            <w:noProof/>
          </w:rPr>
          <w:t>Power BI Pro</w:t>
        </w:r>
        <w:r>
          <w:rPr>
            <w:noProof/>
            <w:webHidden/>
          </w:rPr>
          <w:tab/>
        </w:r>
        <w:r>
          <w:rPr>
            <w:noProof/>
            <w:webHidden/>
          </w:rPr>
          <w:fldChar w:fldCharType="begin"/>
        </w:r>
        <w:r>
          <w:rPr>
            <w:noProof/>
            <w:webHidden/>
          </w:rPr>
          <w:instrText xml:space="preserve"> PAGEREF _Toc239176567 \h </w:instrText>
        </w:r>
        <w:r>
          <w:rPr>
            <w:noProof/>
            <w:webHidden/>
          </w:rPr>
        </w:r>
        <w:r>
          <w:rPr>
            <w:noProof/>
            <w:webHidden/>
          </w:rPr>
          <w:fldChar w:fldCharType="separate"/>
        </w:r>
        <w:r>
          <w:rPr>
            <w:noProof/>
            <w:webHidden/>
          </w:rPr>
          <w:t>117</w:t>
        </w:r>
        <w:r>
          <w:rPr>
            <w:noProof/>
            <w:webHidden/>
          </w:rPr>
          <w:fldChar w:fldCharType="end"/>
        </w:r>
      </w:hyperlink>
    </w:p>
    <w:p w14:paraId="608C831E" w14:textId="609D4968"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8" w:history="1">
        <w:r w:rsidRPr="005D6259">
          <w:rPr>
            <w:rStyle w:val="Hyperlink"/>
            <w:noProof/>
          </w:rPr>
          <w:t>Azure AI Translator</w:t>
        </w:r>
        <w:r>
          <w:rPr>
            <w:noProof/>
            <w:webHidden/>
          </w:rPr>
          <w:tab/>
        </w:r>
        <w:r>
          <w:rPr>
            <w:noProof/>
            <w:webHidden/>
          </w:rPr>
          <w:fldChar w:fldCharType="begin"/>
        </w:r>
        <w:r>
          <w:rPr>
            <w:noProof/>
            <w:webHidden/>
          </w:rPr>
          <w:instrText xml:space="preserve"> PAGEREF _Toc239176568 \h </w:instrText>
        </w:r>
        <w:r>
          <w:rPr>
            <w:noProof/>
            <w:webHidden/>
          </w:rPr>
        </w:r>
        <w:r>
          <w:rPr>
            <w:noProof/>
            <w:webHidden/>
          </w:rPr>
          <w:fldChar w:fldCharType="separate"/>
        </w:r>
        <w:r>
          <w:rPr>
            <w:noProof/>
            <w:webHidden/>
          </w:rPr>
          <w:t>118</w:t>
        </w:r>
        <w:r>
          <w:rPr>
            <w:noProof/>
            <w:webHidden/>
          </w:rPr>
          <w:fldChar w:fldCharType="end"/>
        </w:r>
      </w:hyperlink>
    </w:p>
    <w:p w14:paraId="098F0073" w14:textId="1E142C69" w:rsidR="004F0B8A" w:rsidRDefault="004F0B8A">
      <w:pPr>
        <w:pStyle w:val="TOC4"/>
        <w:rPr>
          <w:rFonts w:eastAsiaTheme="minorEastAsia"/>
          <w:smallCaps w:val="0"/>
          <w:noProof/>
          <w:kern w:val="2"/>
          <w:sz w:val="24"/>
          <w:szCs w:val="24"/>
          <w:lang w:val="en-US" w:eastAsia="zh-CN" w:bidi="he-IL"/>
          <w14:ligatures w14:val="standardContextual"/>
        </w:rPr>
      </w:pPr>
      <w:hyperlink w:anchor="_Toc239176569" w:history="1">
        <w:r w:rsidRPr="005D6259">
          <w:rPr>
            <w:rStyle w:val="Hyperlink"/>
            <w:noProof/>
          </w:rPr>
          <w:t>Microsoft Defender para Endpoint</w:t>
        </w:r>
        <w:r>
          <w:rPr>
            <w:noProof/>
            <w:webHidden/>
          </w:rPr>
          <w:tab/>
        </w:r>
        <w:r>
          <w:rPr>
            <w:noProof/>
            <w:webHidden/>
          </w:rPr>
          <w:fldChar w:fldCharType="begin"/>
        </w:r>
        <w:r>
          <w:rPr>
            <w:noProof/>
            <w:webHidden/>
          </w:rPr>
          <w:instrText xml:space="preserve"> PAGEREF _Toc239176569 \h </w:instrText>
        </w:r>
        <w:r>
          <w:rPr>
            <w:noProof/>
            <w:webHidden/>
          </w:rPr>
        </w:r>
        <w:r>
          <w:rPr>
            <w:noProof/>
            <w:webHidden/>
          </w:rPr>
          <w:fldChar w:fldCharType="separate"/>
        </w:r>
        <w:r>
          <w:rPr>
            <w:noProof/>
            <w:webHidden/>
          </w:rPr>
          <w:t>118</w:t>
        </w:r>
        <w:r>
          <w:rPr>
            <w:noProof/>
            <w:webHidden/>
          </w:rPr>
          <w:fldChar w:fldCharType="end"/>
        </w:r>
      </w:hyperlink>
    </w:p>
    <w:p w14:paraId="4E10FA7E" w14:textId="05E9060C" w:rsidR="004F0B8A" w:rsidRDefault="004F0B8A">
      <w:pPr>
        <w:pStyle w:val="TOC4"/>
        <w:rPr>
          <w:rFonts w:eastAsiaTheme="minorEastAsia"/>
          <w:smallCaps w:val="0"/>
          <w:noProof/>
          <w:kern w:val="2"/>
          <w:sz w:val="24"/>
          <w:szCs w:val="24"/>
          <w:lang w:val="en-US" w:eastAsia="zh-CN" w:bidi="he-IL"/>
          <w14:ligatures w14:val="standardContextual"/>
        </w:rPr>
      </w:pPr>
      <w:hyperlink w:anchor="_Toc239176570" w:history="1">
        <w:r w:rsidRPr="005D6259">
          <w:rPr>
            <w:rStyle w:val="Hyperlink"/>
            <w:noProof/>
          </w:rPr>
          <w:t>Impressão Universal</w:t>
        </w:r>
        <w:r>
          <w:rPr>
            <w:noProof/>
            <w:webHidden/>
          </w:rPr>
          <w:tab/>
        </w:r>
        <w:r>
          <w:rPr>
            <w:noProof/>
            <w:webHidden/>
          </w:rPr>
          <w:fldChar w:fldCharType="begin"/>
        </w:r>
        <w:r>
          <w:rPr>
            <w:noProof/>
            <w:webHidden/>
          </w:rPr>
          <w:instrText xml:space="preserve"> PAGEREF _Toc239176570 \h </w:instrText>
        </w:r>
        <w:r>
          <w:rPr>
            <w:noProof/>
            <w:webHidden/>
          </w:rPr>
        </w:r>
        <w:r>
          <w:rPr>
            <w:noProof/>
            <w:webHidden/>
          </w:rPr>
          <w:fldChar w:fldCharType="separate"/>
        </w:r>
        <w:r>
          <w:rPr>
            <w:noProof/>
            <w:webHidden/>
          </w:rPr>
          <w:t>118</w:t>
        </w:r>
        <w:r>
          <w:rPr>
            <w:noProof/>
            <w:webHidden/>
          </w:rPr>
          <w:fldChar w:fldCharType="end"/>
        </w:r>
      </w:hyperlink>
    </w:p>
    <w:p w14:paraId="7C668EE2" w14:textId="3C362D5B" w:rsidR="004F0B8A" w:rsidRDefault="004F0B8A">
      <w:pPr>
        <w:pStyle w:val="TOC4"/>
        <w:rPr>
          <w:rFonts w:eastAsiaTheme="minorEastAsia"/>
          <w:smallCaps w:val="0"/>
          <w:noProof/>
          <w:kern w:val="2"/>
          <w:sz w:val="24"/>
          <w:szCs w:val="24"/>
          <w:lang w:val="en-US" w:eastAsia="zh-CN" w:bidi="he-IL"/>
          <w14:ligatures w14:val="standardContextual"/>
        </w:rPr>
      </w:pPr>
      <w:hyperlink w:anchor="_Toc239176571" w:history="1">
        <w:r w:rsidRPr="005D6259">
          <w:rPr>
            <w:rStyle w:val="Hyperlink"/>
            <w:noProof/>
          </w:rPr>
          <w:t>Windows 365</w:t>
        </w:r>
        <w:r>
          <w:rPr>
            <w:noProof/>
            <w:webHidden/>
          </w:rPr>
          <w:tab/>
        </w:r>
        <w:r>
          <w:rPr>
            <w:noProof/>
            <w:webHidden/>
          </w:rPr>
          <w:fldChar w:fldCharType="begin"/>
        </w:r>
        <w:r>
          <w:rPr>
            <w:noProof/>
            <w:webHidden/>
          </w:rPr>
          <w:instrText xml:space="preserve"> PAGEREF _Toc239176571 \h </w:instrText>
        </w:r>
        <w:r>
          <w:rPr>
            <w:noProof/>
            <w:webHidden/>
          </w:rPr>
        </w:r>
        <w:r>
          <w:rPr>
            <w:noProof/>
            <w:webHidden/>
          </w:rPr>
          <w:fldChar w:fldCharType="separate"/>
        </w:r>
        <w:r>
          <w:rPr>
            <w:noProof/>
            <w:webHidden/>
          </w:rPr>
          <w:t>119</w:t>
        </w:r>
        <w:r>
          <w:rPr>
            <w:noProof/>
            <w:webHidden/>
          </w:rPr>
          <w:fldChar w:fldCharType="end"/>
        </w:r>
      </w:hyperlink>
    </w:p>
    <w:p w14:paraId="05846F83" w14:textId="3B51C638" w:rsidR="004F0B8A" w:rsidRDefault="004F0B8A">
      <w:pPr>
        <w:pStyle w:val="TOC1"/>
        <w:rPr>
          <w:rFonts w:eastAsiaTheme="minorEastAsia"/>
          <w:b w:val="0"/>
          <w:caps w:val="0"/>
          <w:noProof/>
          <w:kern w:val="2"/>
          <w:sz w:val="24"/>
          <w:szCs w:val="24"/>
          <w:lang w:val="en-US" w:eastAsia="zh-CN" w:bidi="he-IL"/>
          <w14:ligatures w14:val="standardContextual"/>
        </w:rPr>
      </w:pPr>
      <w:hyperlink w:anchor="_Toc239176572" w:history="1">
        <w:r w:rsidRPr="005D6259">
          <w:rPr>
            <w:rStyle w:val="Hyperlink"/>
            <w:noProof/>
          </w:rPr>
          <w:t>Apêndice A – Compromisso de Nível de Serviço para Deteção e Bloqueio de Vírus, Eficácia do Spam ou Falso Positivo</w:t>
        </w:r>
        <w:r>
          <w:rPr>
            <w:noProof/>
            <w:webHidden/>
          </w:rPr>
          <w:tab/>
        </w:r>
        <w:r>
          <w:rPr>
            <w:noProof/>
            <w:webHidden/>
          </w:rPr>
          <w:fldChar w:fldCharType="begin"/>
        </w:r>
        <w:r>
          <w:rPr>
            <w:noProof/>
            <w:webHidden/>
          </w:rPr>
          <w:instrText xml:space="preserve"> PAGEREF _Toc239176572 \h </w:instrText>
        </w:r>
        <w:r>
          <w:rPr>
            <w:noProof/>
            <w:webHidden/>
          </w:rPr>
        </w:r>
        <w:r>
          <w:rPr>
            <w:noProof/>
            <w:webHidden/>
          </w:rPr>
          <w:fldChar w:fldCharType="separate"/>
        </w:r>
        <w:r>
          <w:rPr>
            <w:noProof/>
            <w:webHidden/>
          </w:rPr>
          <w:t>120</w:t>
        </w:r>
        <w:r>
          <w:rPr>
            <w:noProof/>
            <w:webHidden/>
          </w:rPr>
          <w:fldChar w:fldCharType="end"/>
        </w:r>
      </w:hyperlink>
    </w:p>
    <w:p w14:paraId="16ED5D8F" w14:textId="44B6AE5C"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8B1CA1">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F01ED6">
      <w:pPr>
        <w:pStyle w:val="ProductList-SectionHeading"/>
        <w:tabs>
          <w:tab w:val="clear" w:pos="360"/>
          <w:tab w:val="clear" w:pos="720"/>
          <w:tab w:val="clear" w:pos="1080"/>
        </w:tabs>
        <w:outlineLvl w:val="0"/>
      </w:pPr>
      <w:bookmarkStart w:id="7" w:name="_Toc457821500"/>
      <w:bookmarkStart w:id="8" w:name="_Toc464226261"/>
      <w:bookmarkStart w:id="9" w:name="_Toc465333682"/>
      <w:bookmarkStart w:id="10" w:name="Introdução"/>
      <w:bookmarkStart w:id="11" w:name="_Toc239176376"/>
      <w:bookmarkStart w:id="12" w:name="Introduction"/>
      <w:r>
        <w:lastRenderedPageBreak/>
        <w:t>Introdução</w:t>
      </w:r>
      <w:bookmarkEnd w:id="7"/>
      <w:bookmarkEnd w:id="8"/>
      <w:bookmarkEnd w:id="9"/>
      <w:bookmarkEnd w:id="10"/>
      <w:bookmarkEnd w:id="11"/>
    </w:p>
    <w:p w14:paraId="0B3153E8" w14:textId="533C83C4" w:rsidR="00FA110B" w:rsidRPr="00EF7CF9" w:rsidRDefault="008D1A52" w:rsidP="00F01ED6">
      <w:pPr>
        <w:pStyle w:val="ProductList-SubSection1Heading"/>
      </w:pPr>
      <w:bookmarkStart w:id="13" w:name="_Toc457812795"/>
      <w:bookmarkStart w:id="14" w:name="_Toc457821501"/>
      <w:bookmarkEnd w:id="12"/>
      <w:r>
        <w:t>Acerca deste Documento</w:t>
      </w:r>
      <w:bookmarkEnd w:id="13"/>
      <w:bookmarkEnd w:id="14"/>
    </w:p>
    <w:p w14:paraId="77CF1F44" w14:textId="1A984534" w:rsidR="00E11454" w:rsidRPr="00EF7CF9" w:rsidRDefault="00E11454" w:rsidP="00F01ED6">
      <w:pPr>
        <w:pStyle w:val="ProductList-Body"/>
        <w:tabs>
          <w:tab w:val="clear" w:pos="360"/>
          <w:tab w:val="clear" w:pos="720"/>
          <w:tab w:val="clear" w:pos="1080"/>
        </w:tabs>
      </w:pPr>
      <w:r>
        <w:t xml:space="preserve">Este Contrato de Nível de Serviço para os Serviços Online da Microsoft (este </w:t>
      </w:r>
      <w:r w:rsidR="00380305">
        <w:t>“</w:t>
      </w:r>
      <w:r>
        <w:t>SLA</w:t>
      </w:r>
      <w:r w:rsidR="00380305">
        <w:t>”</w:t>
      </w:r>
      <w:r>
        <w:t xml:space="preserve">) é uma parte integrante do contrato de licenciamento em volume da Microsoft (o </w:t>
      </w:r>
      <w:r w:rsidR="00380305">
        <w:t>“</w:t>
      </w:r>
      <w:r>
        <w:t>Contrato</w:t>
      </w:r>
      <w:r w:rsidR="00380305">
        <w:t>”</w:t>
      </w:r>
      <w:r>
        <w:t xml:space="preserve">) do Cliente. Os termos em maiúsculas utilizados, mas não definidos, neste SLA terão o significado que lhes foi atribuído no Contrato. Este SLA aplica-se aos Serviços Online da Microsoft listados no presente (um </w:t>
      </w:r>
      <w:r w:rsidR="00380305">
        <w:t>“</w:t>
      </w:r>
      <w:r>
        <w:t>Serviço</w:t>
      </w:r>
      <w:r w:rsidR="00380305">
        <w:t>”</w:t>
      </w:r>
      <w:r>
        <w:t xml:space="preserve"> ou os </w:t>
      </w:r>
      <w:r w:rsidR="00380305">
        <w:t>“</w:t>
      </w:r>
      <w:r>
        <w:t>Serviços</w:t>
      </w:r>
      <w:r w:rsidR="00380305">
        <w:t>”</w:t>
      </w:r>
      <w:r>
        <w:t>), mas não se aplicam a serviços com marca separada disponibilizados ou ligados aos Serviços, ou a qualquer software no local que seja parte de qualquer Serviço.</w:t>
      </w:r>
    </w:p>
    <w:p w14:paraId="3CBD9792" w14:textId="77777777" w:rsidR="00E11454" w:rsidRPr="00EF7CF9" w:rsidRDefault="00E11454" w:rsidP="00F01ED6">
      <w:pPr>
        <w:pStyle w:val="ProductList-Body"/>
        <w:tabs>
          <w:tab w:val="clear" w:pos="360"/>
          <w:tab w:val="clear" w:pos="720"/>
          <w:tab w:val="clear" w:pos="1080"/>
        </w:tabs>
      </w:pPr>
    </w:p>
    <w:p w14:paraId="5FEF6AC3" w14:textId="5B928EFD" w:rsidR="00E11454" w:rsidRDefault="00E11454" w:rsidP="00F01ED6">
      <w:pPr>
        <w:pStyle w:val="ProductList-Body"/>
        <w:tabs>
          <w:tab w:val="clear" w:pos="360"/>
          <w:tab w:val="clear" w:pos="720"/>
          <w:tab w:val="clear" w:pos="1080"/>
        </w:tabs>
        <w:rPr>
          <w:rFonts w:ascii="Calibri" w:hAnsi="Calibri" w:cs="Calibri"/>
        </w:rPr>
      </w:pPr>
      <w:r>
        <w:rPr>
          <w:rFonts w:ascii="Calibri" w:hAnsi="Calibri" w:cs="Calibri"/>
        </w:rPr>
        <w:t xml:space="preserve">Se a Microsoft não atingir e mantiver os Níveis de Serviço para cada Serviço conforme descrito neste SLA, o Cliente poderá ser elegível para um crédito em troca de parte dos seus honorários mensais dos serviços. Não serão modificados os termos do SLA do Cliente durante o período inicial da subscrição do Cliente; no entanto, se a subscrição deste for renovada, a versão deste SLA atual no momento da renovação aplicar-se-á durante o período de renovação do Cliente. A Microsoft fornecerá uma notificação com, pelo menos, 90 dias de antecedência sobre as alterações substanciais adversas a este SLA. O Cliente pode rever a versão mais atual deste SLA em qualquer altura ao visitar </w:t>
      </w:r>
      <w:hyperlink r:id="rId17" w:history="1">
        <w:r>
          <w:rPr>
            <w:rStyle w:val="Hyperlink"/>
          </w:rPr>
          <w:t>https://aka.ms/CSLA</w:t>
        </w:r>
      </w:hyperlink>
      <w:r>
        <w:rPr>
          <w:rFonts w:ascii="Calibri" w:hAnsi="Calibri" w:cs="Calibri"/>
        </w:rPr>
        <w:t>.</w:t>
      </w:r>
    </w:p>
    <w:p w14:paraId="397D80C5" w14:textId="4193137C" w:rsidR="00DD4A55" w:rsidRDefault="00DD4A55" w:rsidP="00F01ED6">
      <w:pPr>
        <w:pStyle w:val="ProductList-Body"/>
        <w:tabs>
          <w:tab w:val="clear" w:pos="360"/>
          <w:tab w:val="clear" w:pos="720"/>
          <w:tab w:val="clear" w:pos="1080"/>
        </w:tabs>
        <w:rPr>
          <w:rFonts w:ascii="Calibri" w:hAnsi="Calibri" w:cs="Calibri"/>
        </w:rPr>
      </w:pPr>
    </w:p>
    <w:p w14:paraId="727066FE" w14:textId="78F0C8B4" w:rsidR="00DD4A55" w:rsidRPr="00EF7CF9" w:rsidRDefault="00DD4A55" w:rsidP="00F01ED6">
      <w:pPr>
        <w:pStyle w:val="ProductList-Body"/>
        <w:tabs>
          <w:tab w:val="clear" w:pos="360"/>
          <w:tab w:val="clear" w:pos="720"/>
          <w:tab w:val="clear" w:pos="1080"/>
        </w:tabs>
        <w:rPr>
          <w:rFonts w:ascii="Calibri" w:hAnsi="Calibri" w:cs="Calibri"/>
        </w:rPr>
      </w:pPr>
      <w:r>
        <w:rPr>
          <w:rFonts w:ascii="Calibri" w:hAnsi="Calibri" w:cs="Calibri"/>
        </w:rPr>
        <w:t>As Pré-visualizações e os Serviços Online, e/ou os níveis de serviço prestados gratuitamente não estão incluídos nem são elegíveis para créditos ou</w:t>
      </w:r>
      <w:r w:rsidR="004922CC">
        <w:rPr>
          <w:rFonts w:ascii="Calibri" w:hAnsi="Calibri" w:cs="Calibri"/>
        </w:rPr>
        <w:t> </w:t>
      </w:r>
      <w:r>
        <w:rPr>
          <w:rFonts w:ascii="Calibri" w:hAnsi="Calibri" w:cs="Calibri"/>
        </w:rPr>
        <w:t>reclamações relacionadas com o SLA.</w:t>
      </w:r>
    </w:p>
    <w:p w14:paraId="65686147" w14:textId="004AAA72" w:rsidR="008D1A52" w:rsidRPr="00EF7CF9" w:rsidRDefault="008D1A52" w:rsidP="00F01ED6">
      <w:pPr>
        <w:pStyle w:val="ProductList-SubSection1Heading"/>
      </w:pPr>
      <w:bookmarkStart w:id="15" w:name="_Toc457812796"/>
      <w:bookmarkStart w:id="16" w:name="_Toc457821502"/>
      <w:r>
        <w:t>Versões Anteriores do Presente Documento</w:t>
      </w:r>
      <w:bookmarkEnd w:id="15"/>
      <w:bookmarkEnd w:id="16"/>
    </w:p>
    <w:p w14:paraId="69561C1A" w14:textId="2C21BF8F" w:rsidR="0035123C" w:rsidRPr="00EF7CF9" w:rsidRDefault="007804B9" w:rsidP="00F01ED6">
      <w:pPr>
        <w:pStyle w:val="ProductList-Body"/>
        <w:tabs>
          <w:tab w:val="clear" w:pos="360"/>
          <w:tab w:val="clear" w:pos="720"/>
          <w:tab w:val="clear" w:pos="1080"/>
        </w:tabs>
        <w:ind w:right="900"/>
      </w:pPr>
      <w:r>
        <w:t xml:space="preserve">Este SLA fornece informações sobre os Serviços atualmente disponíveis. Estão disponíveis versões anteriores deste documento em </w:t>
      </w:r>
      <w:hyperlink r:id="rId18" w:history="1">
        <w:r>
          <w:rPr>
            <w:rStyle w:val="Hyperlink"/>
          </w:rPr>
          <w:t>http</w:t>
        </w:r>
        <w:r w:rsidRPr="00473DD3">
          <w:rPr>
            <w:rStyle w:val="Hyperlink"/>
          </w:rPr>
          <w:t>:</w:t>
        </w:r>
        <w:r>
          <w:rPr>
            <w:rStyle w:val="Hyperlink"/>
          </w:rPr>
          <w:t>//www.microsoftvolumelicensing.com</w:t>
        </w:r>
      </w:hyperlink>
      <w:r>
        <w:t>. Para encontrar a versão necessária, um cliente poderá contactar o respetivo revendedor ou o Gestor de Conta Microsoft.</w:t>
      </w:r>
    </w:p>
    <w:p w14:paraId="7F05D0EA" w14:textId="6A442A7D" w:rsidR="008D1A52" w:rsidRPr="00EF7CF9" w:rsidRDefault="008D1A52" w:rsidP="00F01ED6">
      <w:pPr>
        <w:pStyle w:val="ProductList-SubSection1Heading"/>
      </w:pPr>
      <w:bookmarkStart w:id="17" w:name="_Toc457812797"/>
      <w:bookmarkStart w:id="18" w:name="_Toc457821503"/>
      <w:r>
        <w:t>Clarificações e Resumo de Alterações a este Documento</w:t>
      </w:r>
      <w:bookmarkEnd w:id="17"/>
      <w:bookmarkEnd w:id="18"/>
    </w:p>
    <w:p w14:paraId="2487F2A9" w14:textId="2A379FE0" w:rsidR="0035123C" w:rsidRPr="00EF7CF9" w:rsidRDefault="0035123C" w:rsidP="00F01ED6">
      <w:pPr>
        <w:pStyle w:val="ProductList-Body"/>
        <w:tabs>
          <w:tab w:val="clear" w:pos="360"/>
          <w:tab w:val="clear" w:pos="720"/>
          <w:tab w:val="clear" w:pos="1080"/>
        </w:tabs>
      </w:pPr>
      <w:r>
        <w:t>Abaixo encontram-se as adições, eliminações e outras alterações recentes a este SLA. Além disso, encontram-se listadas abaixo as clarificações da</w:t>
      </w:r>
      <w:r w:rsidR="00B3758F">
        <w:t> </w:t>
      </w:r>
      <w:r>
        <w:t>política da Microsoft em resposta às questões comuns dos clientes.</w:t>
      </w:r>
    </w:p>
    <w:p w14:paraId="0E7501E2" w14:textId="6DDC6277" w:rsidR="0035123C" w:rsidRDefault="0035123C" w:rsidP="00F01ED6">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215"/>
        <w:gridCol w:w="5575"/>
      </w:tblGrid>
      <w:tr w:rsidR="00CC3273" w:rsidRPr="00571855" w14:paraId="740EEFFB" w14:textId="77777777" w:rsidTr="00315F59">
        <w:trPr>
          <w:tblHeader/>
        </w:trPr>
        <w:tc>
          <w:tcPr>
            <w:tcW w:w="5215" w:type="dxa"/>
            <w:shd w:val="clear" w:color="auto" w:fill="0072C6"/>
          </w:tcPr>
          <w:p w14:paraId="4BA49666" w14:textId="3EA722ED" w:rsidR="00CC3273" w:rsidRPr="006D4DC5" w:rsidRDefault="00CC3273" w:rsidP="00F01ED6">
            <w:pPr>
              <w:pStyle w:val="ProductList-OfferingBody"/>
            </w:pPr>
            <w:r>
              <w:rPr>
                <w:color w:val="FFFFFF" w:themeColor="background1"/>
              </w:rPr>
              <w:t>Aditamentos/Atualizações</w:t>
            </w:r>
          </w:p>
        </w:tc>
        <w:tc>
          <w:tcPr>
            <w:tcW w:w="5575" w:type="dxa"/>
            <w:shd w:val="clear" w:color="auto" w:fill="0072C6"/>
          </w:tcPr>
          <w:p w14:paraId="042AABD6" w14:textId="77777777" w:rsidR="00CC3273" w:rsidRPr="006D4DC5" w:rsidRDefault="00CC3273" w:rsidP="00F01ED6">
            <w:pPr>
              <w:pStyle w:val="ProductList-OfferingBody"/>
            </w:pPr>
            <w:r>
              <w:rPr>
                <w:color w:val="FFFFFF" w:themeColor="background1"/>
              </w:rPr>
              <w:t>Eliminações</w:t>
            </w:r>
          </w:p>
        </w:tc>
      </w:tr>
      <w:tr w:rsidR="00CF5798" w:rsidRPr="003650D0" w14:paraId="077C87EF" w14:textId="77777777" w:rsidTr="00315F59">
        <w:trPr>
          <w:tblHeader/>
        </w:trPr>
        <w:tc>
          <w:tcPr>
            <w:tcW w:w="5215" w:type="dxa"/>
          </w:tcPr>
          <w:p w14:paraId="25171BEF" w14:textId="1A7C5B38" w:rsidR="00CF5798" w:rsidRDefault="00C9065D" w:rsidP="00CF5798">
            <w:pPr>
              <w:pStyle w:val="ProductList-OfferingBody"/>
              <w:rPr>
                <w:rFonts w:ascii="Calibri" w:hAnsi="Calibri" w:cs="Calibri"/>
                <w:color w:val="000000" w:themeColor="text1"/>
              </w:rPr>
            </w:pPr>
            <w:r>
              <w:rPr>
                <w:rFonts w:ascii="Calibri" w:hAnsi="Calibri" w:cs="Calibri"/>
                <w:color w:val="000000" w:themeColor="text1"/>
                <w:szCs w:val="16"/>
              </w:rPr>
              <w:t>Azure Databricks Lakebase</w:t>
            </w:r>
          </w:p>
        </w:tc>
        <w:tc>
          <w:tcPr>
            <w:tcW w:w="5575" w:type="dxa"/>
          </w:tcPr>
          <w:p w14:paraId="02977552" w14:textId="7B22AB18" w:rsidR="00CF5798" w:rsidRPr="00771E0B" w:rsidRDefault="00CF5798" w:rsidP="00CF5798">
            <w:pPr>
              <w:pStyle w:val="ProductList-OfferingBody"/>
            </w:pPr>
          </w:p>
        </w:tc>
      </w:tr>
    </w:tbl>
    <w:p w14:paraId="473EB6D2" w14:textId="5E1B500E" w:rsidR="00654656" w:rsidRPr="00EF7CF9" w:rsidRDefault="00971220" w:rsidP="00F01ED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48C666F" w14:textId="56DC3877" w:rsidR="008E6785" w:rsidRPr="00B44CF9" w:rsidRDefault="008E6785" w:rsidP="00F01ED6">
      <w:pPr>
        <w:spacing w:line="240" w:lineRule="auto"/>
        <w:rPr>
          <w:sz w:val="18"/>
          <w:szCs w:val="18"/>
        </w:rPr>
      </w:pPr>
    </w:p>
    <w:p w14:paraId="596F13CE" w14:textId="77777777" w:rsidR="00654656" w:rsidRPr="00B44CF9" w:rsidRDefault="00654656" w:rsidP="00F01ED6">
      <w:pPr>
        <w:spacing w:line="240" w:lineRule="auto"/>
        <w:rPr>
          <w:sz w:val="18"/>
          <w:szCs w:val="18"/>
        </w:rPr>
        <w:sectPr w:rsidR="00654656" w:rsidRPr="00B44CF9" w:rsidSect="008B1CA1">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F01ED6">
      <w:pPr>
        <w:pStyle w:val="ProductList-SectionHeading"/>
        <w:tabs>
          <w:tab w:val="clear" w:pos="360"/>
          <w:tab w:val="clear" w:pos="720"/>
          <w:tab w:val="clear" w:pos="1080"/>
        </w:tabs>
        <w:outlineLvl w:val="0"/>
      </w:pPr>
      <w:bookmarkStart w:id="19" w:name="_Toc457821504"/>
      <w:bookmarkStart w:id="20" w:name="_Toc239176377"/>
      <w:bookmarkStart w:id="21" w:name="GeneralTerms"/>
      <w:bookmarkStart w:id="22" w:name="TermosGerais"/>
      <w:r>
        <w:lastRenderedPageBreak/>
        <w:t>Termos Gerais</w:t>
      </w:r>
      <w:bookmarkEnd w:id="19"/>
      <w:bookmarkEnd w:id="20"/>
    </w:p>
    <w:p w14:paraId="0BDF752D" w14:textId="6CEE0237" w:rsidR="00045C64" w:rsidRPr="00EF7CF9" w:rsidRDefault="00E11454" w:rsidP="00F01ED6">
      <w:pPr>
        <w:pStyle w:val="ProductList-SubSection1Heading"/>
      </w:pPr>
      <w:bookmarkStart w:id="23" w:name="_Toc454884885"/>
      <w:bookmarkStart w:id="24" w:name="_Toc457812799"/>
      <w:bookmarkStart w:id="25" w:name="_Toc455748582"/>
      <w:bookmarkStart w:id="26" w:name="_Toc457821505"/>
      <w:bookmarkStart w:id="27" w:name="Definições"/>
      <w:bookmarkStart w:id="28" w:name="Definitions"/>
      <w:bookmarkEnd w:id="21"/>
      <w:bookmarkEnd w:id="22"/>
      <w:r>
        <w:t>Definições</w:t>
      </w:r>
      <w:bookmarkEnd w:id="23"/>
      <w:bookmarkEnd w:id="24"/>
      <w:bookmarkEnd w:id="25"/>
      <w:bookmarkEnd w:id="26"/>
      <w:bookmarkEnd w:id="27"/>
    </w:p>
    <w:bookmarkEnd w:id="28"/>
    <w:p w14:paraId="1AED6207" w14:textId="77777777" w:rsidR="002866CF" w:rsidRPr="00A43C44" w:rsidRDefault="002866CF" w:rsidP="002866CF">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Período Aplicável</w:t>
      </w:r>
      <w:r>
        <w:rPr>
          <w:rFonts w:ascii="Calibri" w:hAnsi="Calibri" w:cs="Calibri"/>
        </w:rPr>
        <w:t xml:space="preserve">” para os Serviços Pay As You Go com tráfego limitado (por exemplo, Máquinas Virtuais do Azure) designa os 30 dias anteriores ao primeiro dia do Incidente, inclusive, para o qual é devido um Crédito de Serviço. Para os outros serviços, (por exemplo, M365 E3) “Período Aplicável” designa o mês de calendário em que um Crédito de Serviço é devido. </w:t>
      </w:r>
    </w:p>
    <w:p w14:paraId="1FD67944" w14:textId="77777777" w:rsidR="002866CF" w:rsidRPr="00A43C44" w:rsidRDefault="002866CF" w:rsidP="002866CF">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Honorários dos Serviços Aplicáveis</w:t>
      </w:r>
      <w:r>
        <w:rPr>
          <w:rFonts w:ascii="Calibri" w:hAnsi="Calibri" w:cs="Calibri"/>
        </w:rPr>
        <w:t>”</w:t>
      </w:r>
      <w:r>
        <w:rPr>
          <w:rFonts w:ascii="Calibri" w:hAnsi="Calibri" w:cs="Calibri"/>
          <w:color w:val="000000" w:themeColor="text1"/>
        </w:rPr>
        <w:t xml:space="preserve"> designa o total dos honorários efetivamente pagos pelo Cliente por um Serviço que é aplicado ao Período Aplicável em que um Crédito de Serviço é devido.</w:t>
      </w:r>
    </w:p>
    <w:p w14:paraId="01F6ED90" w14:textId="77777777" w:rsidR="002866CF" w:rsidRPr="00A43C44" w:rsidRDefault="002866CF" w:rsidP="002866CF">
      <w:pPr>
        <w:pStyle w:val="ProductList-Body"/>
        <w:spacing w:after="40"/>
        <w:rPr>
          <w:rFonts w:ascii="Calibri" w:hAnsi="Calibri" w:cs="Calibri"/>
        </w:rPr>
      </w:pPr>
      <w:r>
        <w:rPr>
          <w:rFonts w:ascii="Calibri" w:hAnsi="Calibri" w:cs="Calibri"/>
        </w:rPr>
        <w:t>“</w:t>
      </w:r>
      <w:r>
        <w:rPr>
          <w:rFonts w:ascii="Calibri" w:hAnsi="Calibri" w:cs="Calibri"/>
          <w:b/>
          <w:color w:val="00188F"/>
        </w:rPr>
        <w:t>Período de Indisponibilidade</w:t>
      </w:r>
      <w:r>
        <w:rPr>
          <w:rFonts w:ascii="Calibri" w:hAnsi="Calibri" w:cs="Calibri"/>
        </w:rPr>
        <w:t>” é definido para cada Serviço nos Termos Específicos dos Serviços abaixo. O Período de Indisponibilidade não inclui o Período de Indisponibilidade Agendado. O Período de Indisponibilidade não inclui a indisponibilidade de um Serviço devido às limitações descritas abaixo e nos Termos Específicos dos Serviços.</w:t>
      </w:r>
    </w:p>
    <w:p w14:paraId="1CAAF07A" w14:textId="7A450D75" w:rsidR="001D1C2C" w:rsidRPr="00EF7CF9" w:rsidRDefault="00380305" w:rsidP="00F01ED6">
      <w:pPr>
        <w:pStyle w:val="ProductList-Body"/>
        <w:spacing w:after="40"/>
      </w:pPr>
      <w:r>
        <w:t>“</w:t>
      </w:r>
      <w:r w:rsidR="00EF7CF9">
        <w:rPr>
          <w:b/>
          <w:color w:val="00188F"/>
        </w:rPr>
        <w:t>Código de Erro</w:t>
      </w:r>
      <w:r>
        <w:t>”</w:t>
      </w:r>
      <w:r w:rsidR="00EF7CF9">
        <w:t xml:space="preserve"> designa uma indicação que uma operação falhou, tal como um código de estado HTTP no intervalo 5xx.</w:t>
      </w:r>
    </w:p>
    <w:p w14:paraId="64D84186" w14:textId="73DB5FCE" w:rsidR="001D1C2C" w:rsidRPr="00EF7CF9" w:rsidRDefault="00380305" w:rsidP="00F01ED6">
      <w:pPr>
        <w:pStyle w:val="ProductList-Body"/>
        <w:spacing w:after="40"/>
        <w:rPr>
          <w:color w:val="000000" w:themeColor="text1"/>
        </w:rPr>
      </w:pPr>
      <w:r>
        <w:t>“</w:t>
      </w:r>
      <w:r w:rsidR="00EF7CF9">
        <w:rPr>
          <w:b/>
          <w:color w:val="00188F"/>
        </w:rPr>
        <w:t>Conectividade Externa</w:t>
      </w:r>
      <w:r>
        <w:t>”</w:t>
      </w:r>
      <w:r w:rsidR="00EF7CF9">
        <w:t xml:space="preserve"> é o tráfego de rede bidirecional por protocolos suportados, como HTTP e HTTPS, que podem ser enviados e recebidos de</w:t>
      </w:r>
      <w:r w:rsidR="00D9073A">
        <w:t> </w:t>
      </w:r>
      <w:r w:rsidR="00EF7CF9">
        <w:t>um endereço IP público.</w:t>
      </w:r>
    </w:p>
    <w:p w14:paraId="57569D47" w14:textId="1441EB2D" w:rsidR="001D1C2C" w:rsidRPr="00EF7CF9" w:rsidRDefault="00380305" w:rsidP="00F01ED6">
      <w:pPr>
        <w:pStyle w:val="ProductList-Body"/>
        <w:spacing w:after="40"/>
        <w:rPr>
          <w:color w:val="000000" w:themeColor="text1"/>
        </w:rPr>
      </w:pPr>
      <w:r>
        <w:t>“</w:t>
      </w:r>
      <w:r w:rsidR="00EF7CF9">
        <w:rPr>
          <w:b/>
          <w:color w:val="00188F"/>
        </w:rPr>
        <w:t>Incidente</w:t>
      </w:r>
      <w:r>
        <w:t>”</w:t>
      </w:r>
      <w:r w:rsidR="00EF7CF9">
        <w:rPr>
          <w:color w:val="000000" w:themeColor="text1"/>
        </w:rPr>
        <w:t xml:space="preserve"> designa (i) qualquer evento único ou (ii) qualquer conjunto de eventos que resultem num Período de Indisponibilidade.</w:t>
      </w:r>
    </w:p>
    <w:p w14:paraId="30DC8057" w14:textId="69930B5A" w:rsidR="001D1C2C" w:rsidRPr="00EF7CF9" w:rsidRDefault="00380305" w:rsidP="00F01ED6">
      <w:pPr>
        <w:pStyle w:val="ProductList-Body"/>
        <w:spacing w:after="40"/>
      </w:pPr>
      <w:r>
        <w:t>“</w:t>
      </w:r>
      <w:r w:rsidR="00EF7CF9">
        <w:rPr>
          <w:b/>
          <w:color w:val="00188F"/>
        </w:rPr>
        <w:t>Portal de Gestão</w:t>
      </w:r>
      <w:r>
        <w:t>”</w:t>
      </w:r>
      <w:r w:rsidR="00EF7CF9">
        <w:t xml:space="preserve"> designa a interface Web, fornecida pela Microsoft, através da qual os clientes podem gerir o Serviço.</w:t>
      </w:r>
    </w:p>
    <w:p w14:paraId="16345164" w14:textId="20FDAD92" w:rsidR="001D1C2C" w:rsidRPr="001D4B6B" w:rsidRDefault="00380305" w:rsidP="00F01ED6">
      <w:pPr>
        <w:pStyle w:val="ProductList-Body"/>
        <w:spacing w:after="40"/>
        <w:rPr>
          <w:color w:val="000000" w:themeColor="text1"/>
        </w:rPr>
      </w:pPr>
      <w:r>
        <w:t>“</w:t>
      </w:r>
      <w:r w:rsidR="00EF7CF9" w:rsidRPr="001D4B6B">
        <w:rPr>
          <w:b/>
          <w:color w:val="00188F"/>
        </w:rPr>
        <w:t>Período de Indisponibilidade Agendado</w:t>
      </w:r>
      <w:r>
        <w:t>”</w:t>
      </w:r>
      <w:r w:rsidR="00EF7CF9" w:rsidRPr="001D4B6B">
        <w:rPr>
          <w:color w:val="000000" w:themeColor="text1"/>
        </w:rPr>
        <w:t xml:space="preserve"> designa os Períodos de Indisponibilidade relacionados com a manutenção ou as atualizações da rede, do</w:t>
      </w:r>
      <w:r w:rsidR="00A345F5">
        <w:rPr>
          <w:color w:val="000000" w:themeColor="text1"/>
        </w:rPr>
        <w:t> </w:t>
      </w:r>
      <w:r w:rsidR="00EF7CF9" w:rsidRPr="001D4B6B">
        <w:rPr>
          <w:color w:val="000000" w:themeColor="text1"/>
        </w:rPr>
        <w:t>hardware ou do Serviço. A Microsoft publicará uma notificação ou notificará o Cliente pelo menos cinco (5) dias antes do início desse Período de</w:t>
      </w:r>
      <w:r w:rsidR="00A345F5">
        <w:rPr>
          <w:color w:val="000000" w:themeColor="text1"/>
        </w:rPr>
        <w:t> </w:t>
      </w:r>
      <w:r w:rsidR="00EF7CF9" w:rsidRPr="001D4B6B">
        <w:rPr>
          <w:color w:val="000000" w:themeColor="text1"/>
        </w:rPr>
        <w:t>Indisponibilidade.</w:t>
      </w:r>
    </w:p>
    <w:p w14:paraId="70231D40" w14:textId="73E5AE46" w:rsidR="001D1C2C" w:rsidRPr="00EF7CF9" w:rsidRDefault="00380305" w:rsidP="00F01ED6">
      <w:pPr>
        <w:pStyle w:val="ProductList-Body"/>
        <w:spacing w:after="40"/>
        <w:rPr>
          <w:color w:val="000000" w:themeColor="text1"/>
        </w:rPr>
      </w:pPr>
      <w:r>
        <w:t>“</w:t>
      </w:r>
      <w:r w:rsidR="00EF7CF9">
        <w:rPr>
          <w:b/>
          <w:color w:val="00188F"/>
        </w:rPr>
        <w:t>Crédito de Serviço</w:t>
      </w:r>
      <w:r>
        <w:t>”</w:t>
      </w:r>
      <w:r w:rsidR="00EF7CF9">
        <w:rPr>
          <w:color w:val="000000" w:themeColor="text1"/>
        </w:rPr>
        <w:t xml:space="preserve"> designa a percentagem dos Honorários dos Serviços Aplicáveis creditados ao Cliente na sequência da aprovação da reclamação da Microsoft.</w:t>
      </w:r>
    </w:p>
    <w:p w14:paraId="0E261BBC" w14:textId="3894D837" w:rsidR="001D1C2C" w:rsidRPr="00EF7CF9" w:rsidRDefault="00380305" w:rsidP="00F01ED6">
      <w:pPr>
        <w:pStyle w:val="ProductList-Body"/>
        <w:spacing w:after="40"/>
        <w:rPr>
          <w:color w:val="000000" w:themeColor="text1"/>
        </w:rPr>
      </w:pPr>
      <w:r>
        <w:t>“</w:t>
      </w:r>
      <w:r w:rsidR="00EF7CF9">
        <w:rPr>
          <w:b/>
          <w:color w:val="00188F"/>
        </w:rPr>
        <w:t>Nível de Serviço</w:t>
      </w:r>
      <w:r>
        <w:t>”</w:t>
      </w:r>
      <w:r w:rsidR="00EF7CF9">
        <w:rPr>
          <w:color w:val="000000" w:themeColor="text1"/>
        </w:rPr>
        <w:t xml:space="preserve"> designa as métricas de desempenho estabelecidas neste SLA que a Microsoft aceita cumprir na prestação dos Serviços.</w:t>
      </w:r>
    </w:p>
    <w:p w14:paraId="6702BBF5" w14:textId="2FE43712" w:rsidR="001D1C2C" w:rsidRPr="00EF7CF9" w:rsidRDefault="00380305" w:rsidP="00F01ED6">
      <w:pPr>
        <w:pStyle w:val="ProductList-Body"/>
        <w:spacing w:after="40"/>
      </w:pPr>
      <w:r>
        <w:t>“</w:t>
      </w:r>
      <w:r w:rsidR="00EF7CF9">
        <w:rPr>
          <w:b/>
          <w:color w:val="00188F"/>
        </w:rPr>
        <w:t>Recurso de Serviço</w:t>
      </w:r>
      <w:r>
        <w:t>”</w:t>
      </w:r>
      <w:r w:rsidR="00EF7CF9">
        <w:t xml:space="preserve"> designa um recurso individual disponível para utilização num Serviço.</w:t>
      </w:r>
    </w:p>
    <w:p w14:paraId="6EF19CD6" w14:textId="469CFBF1" w:rsidR="001D1C2C" w:rsidRPr="00EF7CF9" w:rsidRDefault="00380305" w:rsidP="00F01ED6">
      <w:pPr>
        <w:pStyle w:val="ProductList-Body"/>
        <w:spacing w:after="40"/>
      </w:pPr>
      <w:r>
        <w:t>“</w:t>
      </w:r>
      <w:r w:rsidR="00EF7CF9">
        <w:rPr>
          <w:b/>
          <w:color w:val="00188F"/>
        </w:rPr>
        <w:t>Código de Êxito</w:t>
      </w:r>
      <w:r>
        <w:t>”</w:t>
      </w:r>
      <w:r w:rsidR="00EF7CF9">
        <w:t xml:space="preserve"> indica que uma operação foi concluída com êxito, tal como um código de estado HTTP no intervalo 2xx.</w:t>
      </w:r>
    </w:p>
    <w:p w14:paraId="461AC117" w14:textId="6001B30E" w:rsidR="001D1C2C" w:rsidRPr="00EF7CF9" w:rsidRDefault="00380305" w:rsidP="00F01ED6">
      <w:pPr>
        <w:pStyle w:val="ProductList-Body"/>
        <w:spacing w:after="40"/>
        <w:rPr>
          <w:color w:val="000000" w:themeColor="text1"/>
        </w:rPr>
      </w:pPr>
      <w:r>
        <w:t>“</w:t>
      </w:r>
      <w:r w:rsidR="00EF7CF9">
        <w:rPr>
          <w:b/>
          <w:color w:val="00188F"/>
        </w:rPr>
        <w:t>Intervalo de Suporte</w:t>
      </w:r>
      <w:r>
        <w:t>”</w:t>
      </w:r>
      <w:r w:rsidR="00EF7CF9">
        <w:t xml:space="preserve"> designa o período de tempo durante o qual uma funcionalidade de Serviço, ou a compatibilidade com um produto ou serviço separado é suportada.</w:t>
      </w:r>
    </w:p>
    <w:p w14:paraId="0B6E793C" w14:textId="60122DC3" w:rsidR="001D1C2C" w:rsidRPr="00EF7CF9" w:rsidRDefault="00380305" w:rsidP="00F01ED6">
      <w:pPr>
        <w:pStyle w:val="ProductList-Body"/>
        <w:spacing w:after="40"/>
        <w:rPr>
          <w:color w:val="000000" w:themeColor="text1"/>
        </w:rPr>
      </w:pPr>
      <w:r>
        <w:t>“</w:t>
      </w:r>
      <w:r w:rsidR="00EF7CF9">
        <w:rPr>
          <w:b/>
          <w:color w:val="00188F"/>
        </w:rPr>
        <w:t xml:space="preserve">Minutos de </w:t>
      </w:r>
      <w:r w:rsidR="00EF7CF9" w:rsidRPr="009D6328">
        <w:rPr>
          <w:b/>
          <w:color w:val="00188F"/>
        </w:rPr>
        <w:t>Utilizador</w:t>
      </w:r>
      <w:r>
        <w:t>”</w:t>
      </w:r>
      <w:r w:rsidR="00EF7CF9">
        <w:rPr>
          <w:color w:val="000000" w:themeColor="text1"/>
        </w:rPr>
        <w:t xml:space="preserve"> designa o número total de minutos num Período Aplicável, menos todo o Período de Indisponibilidade Agendado, multiplicado pelo número total de utilizadores.</w:t>
      </w:r>
    </w:p>
    <w:p w14:paraId="637752EC" w14:textId="23513F1A" w:rsidR="001D1C2C" w:rsidRPr="00EF7CF9" w:rsidRDefault="001D1C2C" w:rsidP="00F01ED6">
      <w:pPr>
        <w:pStyle w:val="ProductList-SubSection1Heading"/>
      </w:pPr>
      <w:bookmarkStart w:id="29" w:name="_Toc454884886"/>
      <w:bookmarkStart w:id="30" w:name="_Toc457812800"/>
      <w:bookmarkStart w:id="31" w:name="_Toc455748583"/>
      <w:bookmarkStart w:id="32" w:name="_Toc457821506"/>
      <w:bookmarkStart w:id="33" w:name="Terms"/>
      <w:r>
        <w:t>Termos</w:t>
      </w:r>
      <w:bookmarkEnd w:id="29"/>
      <w:bookmarkEnd w:id="30"/>
      <w:bookmarkEnd w:id="31"/>
      <w:bookmarkEnd w:id="32"/>
    </w:p>
    <w:bookmarkEnd w:id="33"/>
    <w:p w14:paraId="7371D222" w14:textId="77777777" w:rsidR="001D1C2C" w:rsidRPr="00EF7CF9" w:rsidRDefault="001D1C2C" w:rsidP="00F01ED6">
      <w:pPr>
        <w:pStyle w:val="ProductList-ClauseHeading"/>
        <w:outlineLvl w:val="2"/>
      </w:pPr>
      <w:r>
        <w:t>Reclamações</w:t>
      </w:r>
    </w:p>
    <w:p w14:paraId="41C9C78B" w14:textId="77777777" w:rsidR="007B44F9" w:rsidRPr="00CC7A65" w:rsidRDefault="007B44F9" w:rsidP="007B44F9">
      <w:pPr>
        <w:pStyle w:val="ProductList-Body"/>
        <w:rPr>
          <w:rFonts w:ascii="Calibri" w:hAnsi="Calibri" w:cs="Calibri"/>
        </w:rPr>
      </w:pPr>
      <w:r>
        <w:rPr>
          <w:rFonts w:ascii="Calibri" w:hAnsi="Calibri" w:cs="Calibri"/>
        </w:rPr>
        <w:t xml:space="preserve">Para que a Microsoft considere uma reclamação, o Cliente tem de submeter a reclamação ao suporte ao cliente da Microsoft Corporation, incluindo todas as informações necessárias para que a Microsoft valide a reclamação, incluindo mas não se limitando a: (i) uma descrição detalhada do Incidente; (ii) informações relativas ao tempo e à duração período de indisponibilidade; (iii) nomes de recursos afetados; (iv) o número e as localizações dos utilizadores afetados; e (v) uma descrição dos erros ocorridos durante o incidente. A não apresentação das informações exigidas implicará a rejeição do pedido. Para obter orientação detalhada sobre a monitorização e o registo do Azure, consulte o artigo Consultas analíticas de registo do Azure Monitor por tabelas ou quaisquer artigos sucessores no Microsoft Learn. Este recurso fornece os dados e as informações essenciais necessários para as reclamações do Azure. </w:t>
      </w:r>
    </w:p>
    <w:p w14:paraId="74F9077E" w14:textId="77777777" w:rsidR="007B44F9" w:rsidRPr="00CC7A65" w:rsidRDefault="007B44F9" w:rsidP="007B44F9">
      <w:pPr>
        <w:pStyle w:val="ProductList-Body"/>
        <w:rPr>
          <w:rFonts w:ascii="Calibri" w:hAnsi="Calibri" w:cs="Calibri"/>
        </w:rPr>
      </w:pPr>
    </w:p>
    <w:p w14:paraId="10A1717A" w14:textId="77777777" w:rsidR="007B44F9" w:rsidRPr="00CC7A65" w:rsidRDefault="007B44F9" w:rsidP="007B44F9">
      <w:pPr>
        <w:pStyle w:val="ProductList-Body"/>
        <w:rPr>
          <w:rFonts w:ascii="Calibri" w:hAnsi="Calibri" w:cs="Calibri"/>
        </w:rPr>
      </w:pPr>
      <w:r>
        <w:rPr>
          <w:rFonts w:ascii="Calibri" w:hAnsi="Calibri" w:cs="Calibri"/>
        </w:rPr>
        <w:t>Para uma reclamação relacionada com o Microsoft Azure, temos de receber a reclamação no prazo de 60 dias após o Incidente. Para as reclamações relacionadas com todos os outros Serviços, a Microsoft deve receber a reclamação até ao fim do Período Aplicável a seguir ao mês em que o Incidente ocorreu. Por exemplo, se o Incidente tiver ocorrido a 15 de fevereiro, a Microsoft deve receber a reclamação e todas as informações necessárias até 31 de março.</w:t>
      </w:r>
    </w:p>
    <w:p w14:paraId="1C8AFCCF" w14:textId="77777777" w:rsidR="007B44F9" w:rsidRPr="00CC7A65" w:rsidRDefault="007B44F9" w:rsidP="007B44F9">
      <w:pPr>
        <w:pStyle w:val="ProductList-Body"/>
        <w:rPr>
          <w:rFonts w:ascii="Calibri" w:hAnsi="Calibri" w:cs="Calibri"/>
        </w:rPr>
      </w:pPr>
    </w:p>
    <w:p w14:paraId="1B11607A" w14:textId="77777777" w:rsidR="007B44F9" w:rsidRPr="00CC7A65" w:rsidRDefault="007B44F9" w:rsidP="007B44F9">
      <w:pPr>
        <w:pStyle w:val="ProductList-Body"/>
        <w:rPr>
          <w:rFonts w:ascii="Calibri" w:hAnsi="Calibri" w:cs="Calibri"/>
        </w:rPr>
      </w:pPr>
      <w:r>
        <w:rPr>
          <w:rFonts w:ascii="Calibri" w:hAnsi="Calibri" w:cs="Calibri"/>
        </w:rPr>
        <w:t>A Microsoft avaliará todas as informações que foram disponibilizadas de forma razoável e tomará a decisão de boa fé sobre se um Crédito de Serviço é devido. Envidaremos os esforços comercialmente razoáveis para processar as reclamações imediatamente após uma investigação, normalmente no prazo de quarenta e cinco (45) dias após a receção da reclamação. O Cliente tem de estar em conformidade com o Contrato para poder ser considerado elegível para receber um Crédito de Serviço. Se a Microsoft determinar que é devido um Crédito de Serviço ao Cliente, a Microsoft aplicará o Crédito de Serviço aos Honorários dos Serviços Aplicáveis do Cliente.</w:t>
      </w:r>
    </w:p>
    <w:p w14:paraId="58E2268D" w14:textId="77777777" w:rsidR="001D1C2C" w:rsidRPr="00EF7CF9" w:rsidRDefault="001D1C2C" w:rsidP="00F01ED6">
      <w:pPr>
        <w:pStyle w:val="ProductList-Body"/>
      </w:pPr>
    </w:p>
    <w:p w14:paraId="76EDD054" w14:textId="1386F9A8" w:rsidR="001D1C2C" w:rsidRPr="001D4B6B" w:rsidRDefault="001D1C2C" w:rsidP="00F01ED6">
      <w:pPr>
        <w:pStyle w:val="ProductList-Body"/>
        <w:rPr>
          <w:spacing w:val="-2"/>
        </w:rPr>
      </w:pPr>
      <w:r w:rsidRPr="001D4B6B">
        <w:rPr>
          <w:spacing w:val="-2"/>
        </w:rPr>
        <w:t xml:space="preserve">Se o Cliente tiver adquirido mais do que um Serviço listado (não como um conjunto de aplicações), poderá submeter reclamações em conformidade com o processo acima descrito, como se cada Serviço fosse abrangido por um SLA individual. Por exemplo, se o Cliente tiver adquirido o Exchange </w:t>
      </w:r>
      <w:r w:rsidRPr="001D4B6B">
        <w:rPr>
          <w:spacing w:val="-2"/>
        </w:rPr>
        <w:lastRenderedPageBreak/>
        <w:t>Online e SharePoint Online (sem fazerem parte de um conjunto) e durante a vigência da subscrição um Incidente tiver causado o Período de Indisponibilidade de ambos os Serviços, nesse caso o Cliente poderá ser elegível para dois Créditos de Serviço separados (um para cada Serviço), ao</w:t>
      </w:r>
      <w:r w:rsidR="00F30FB3">
        <w:rPr>
          <w:spacing w:val="-2"/>
        </w:rPr>
        <w:t> </w:t>
      </w:r>
      <w:r w:rsidRPr="001D4B6B">
        <w:rPr>
          <w:spacing w:val="-2"/>
        </w:rPr>
        <w:t>submeter duas queixas ao abrigo deste SLA. Caso não sejam cumpridos dois ou mais Níveis de Serviço para um determinado Serviço devido ao mesmo Incidente, o Cliente deve escolher apenas um Nível de Serviço ao abrigo do qual uma reclamação pode ser feita com base no Incidente. Salvo</w:t>
      </w:r>
      <w:r w:rsidR="00F30FB3">
        <w:rPr>
          <w:spacing w:val="-2"/>
        </w:rPr>
        <w:t> </w:t>
      </w:r>
      <w:r w:rsidRPr="001D4B6B">
        <w:rPr>
          <w:spacing w:val="-2"/>
        </w:rPr>
        <w:t>disposição expressa em contrário no SLA específico, só é permitido um Crédito de Serviço por Serviço para um Período Aplicável.</w:t>
      </w:r>
    </w:p>
    <w:p w14:paraId="48EACB70" w14:textId="77777777" w:rsidR="001D1C2C" w:rsidRPr="00EF7CF9" w:rsidRDefault="001D1C2C" w:rsidP="00F01ED6">
      <w:pPr>
        <w:pStyle w:val="ProductList-Body"/>
      </w:pPr>
    </w:p>
    <w:p w14:paraId="1C5E0FF1" w14:textId="77777777" w:rsidR="001D1C2C" w:rsidRPr="00EF7CF9" w:rsidRDefault="001D1C2C" w:rsidP="00F01ED6">
      <w:pPr>
        <w:pStyle w:val="ProductList-ClauseHeading"/>
        <w:outlineLvl w:val="2"/>
      </w:pPr>
      <w:r>
        <w:t>Créditos de Serviço</w:t>
      </w:r>
    </w:p>
    <w:p w14:paraId="1FE33722" w14:textId="77777777" w:rsidR="000D2AE0" w:rsidRPr="002A0A04" w:rsidRDefault="000D2AE0" w:rsidP="000D2AE0">
      <w:pPr>
        <w:pStyle w:val="ProductList-Body"/>
        <w:rPr>
          <w:rFonts w:ascii="Calibri" w:hAnsi="Calibri" w:cs="Calibri"/>
        </w:rPr>
      </w:pPr>
      <w:r>
        <w:rPr>
          <w:rFonts w:ascii="Calibri" w:hAnsi="Calibri" w:cs="Calibri"/>
        </w:rPr>
        <w:t>Os Créditos de Serviço são da única e exclusiva responsabilidade do Cliente no que diz respeito a problemas de desempenho ou de disponibilidade de qualquer Serviço ao abrigo do Contrato e deste SLA. O Cliente não pode, de forma unilateral, compensar os respetivos Honorários dos Serviços Aplicáveis por quaisquer problemas de desempenho ou de disponibilidade.</w:t>
      </w:r>
    </w:p>
    <w:p w14:paraId="6AC6CA59" w14:textId="77777777" w:rsidR="000D2AE0" w:rsidRPr="002A0A04" w:rsidRDefault="000D2AE0" w:rsidP="000D2AE0">
      <w:pPr>
        <w:pStyle w:val="ProductList-Body"/>
        <w:rPr>
          <w:rFonts w:ascii="Calibri" w:hAnsi="Calibri" w:cs="Calibri"/>
        </w:rPr>
      </w:pPr>
    </w:p>
    <w:p w14:paraId="674D9E9B" w14:textId="77777777" w:rsidR="000D2AE0" w:rsidRPr="002A0A04" w:rsidRDefault="000D2AE0" w:rsidP="000D2AE0">
      <w:pPr>
        <w:pStyle w:val="ProductList-Body"/>
        <w:rPr>
          <w:rFonts w:ascii="Calibri" w:hAnsi="Calibri" w:cs="Calibri"/>
        </w:rPr>
      </w:pPr>
      <w:r>
        <w:rPr>
          <w:rFonts w:ascii="Calibri" w:hAnsi="Calibri" w:cs="Calibri"/>
        </w:rPr>
        <w:t>Os Créditos de Serviço aplicam-se apenas aos honorários pagos pelo Serviço, Recurso de Serviço ou camada do Serviço em particular para o qual um Nível de Serviço não foi cumprido. Nos casos em que os Níveis de Serviço se aplicam a Recursos de Serviço individuais ou a camadas do Serviço separadas, os Créditos de Serviço aplicam-se apenas a honorários pagos pelo Recurso de Serviço ou camada do Serviço afetada, conforme aplicável, e apenas no que respeita ao período de indisponibilidade efetivo e não à duração total da interrupção. Os Créditos de Serviço concedidos em qualquer mês de faturação relativamente a um determinado Serviço ou Recurso de Serviço não deverão exceder, em nenhuma circunstância, os honorários mensais do serviço do Cliente para esse Serviço ou Recurso de Serviço, conforme aplicável, no Período Aplicável. Os Créditos de Serviço não serão atribuídos para compensar quaisquer outras formas de perda, incluindo, entre outras, a perda de receitas, os custos operacionais ou quaisquer perdas indiretas sofridas pelo Cliente ou pelos utilizadores finais.</w:t>
      </w:r>
    </w:p>
    <w:p w14:paraId="728B590F" w14:textId="77777777" w:rsidR="001D1C2C" w:rsidRPr="00EF7CF9" w:rsidRDefault="001D1C2C" w:rsidP="00F01ED6">
      <w:pPr>
        <w:pStyle w:val="ProductList-Body"/>
      </w:pPr>
    </w:p>
    <w:p w14:paraId="5B365128" w14:textId="77777777" w:rsidR="001D1C2C" w:rsidRPr="00EF7CF9" w:rsidRDefault="001D1C2C" w:rsidP="00F01ED6">
      <w:pPr>
        <w:pStyle w:val="ProductList-ClauseHeading"/>
        <w:outlineLvl w:val="2"/>
      </w:pPr>
      <w:bookmarkStart w:id="34" w:name="Limitations"/>
      <w:r>
        <w:t>Limitações</w:t>
      </w:r>
    </w:p>
    <w:bookmarkEnd w:id="34"/>
    <w:p w14:paraId="4DD4642A" w14:textId="77777777" w:rsidR="001D1C2C" w:rsidRPr="00EF7CF9" w:rsidRDefault="001D1C2C" w:rsidP="00F01ED6">
      <w:pPr>
        <w:pStyle w:val="ProductList-Body"/>
      </w:pPr>
      <w:r>
        <w:t>O presente SLA e quaisquer Níveis de Serviço aplicáveis não se aplicam a quaisquer problemas de desempenho ou de disponibilidade:</w:t>
      </w:r>
    </w:p>
    <w:p w14:paraId="68138A07" w14:textId="337D6413" w:rsidR="001D1C2C" w:rsidRPr="00EF7CF9" w:rsidRDefault="001D1C2C" w:rsidP="00F01ED6">
      <w:pPr>
        <w:pStyle w:val="ProductList-Body"/>
        <w:numPr>
          <w:ilvl w:val="0"/>
          <w:numId w:val="1"/>
        </w:numPr>
        <w:tabs>
          <w:tab w:val="clear" w:pos="360"/>
          <w:tab w:val="clear" w:pos="720"/>
          <w:tab w:val="clear" w:pos="1080"/>
        </w:tabs>
      </w:pPr>
      <w:r>
        <w:t>Decorrentes de fatores fora do controlo razoável da Microsoft (por exemplo, desastre natural, guerra, atos de terrorismo, tumultos, ação governamental ou uma falha na rede ou no dispositivo fora dos centros de dados da Microsoft, incluindo no local do Cliente ou entre o</w:t>
      </w:r>
      <w:r w:rsidR="001E6724">
        <w:t> </w:t>
      </w:r>
      <w:r>
        <w:t>local do Cliente e o centro de dados da Microsoft);</w:t>
      </w:r>
    </w:p>
    <w:p w14:paraId="50A32887" w14:textId="4327C0EA" w:rsidR="001D1C2C" w:rsidRDefault="001D1C2C" w:rsidP="00F01ED6">
      <w:pPr>
        <w:pStyle w:val="ProductList-Body"/>
        <w:numPr>
          <w:ilvl w:val="0"/>
          <w:numId w:val="1"/>
        </w:numPr>
        <w:tabs>
          <w:tab w:val="clear" w:pos="360"/>
          <w:tab w:val="clear" w:pos="720"/>
          <w:tab w:val="clear" w:pos="1080"/>
        </w:tabs>
      </w:pPr>
      <w:r>
        <w:t>Que resultem da utilização dos serviços, hardware ou software não fornecido pela Microsoft, incluindo, mas sem limitações, problemas resultantes de uma largura de banda inadequada ou relacionados com software ou serviços de terceiros;</w:t>
      </w:r>
    </w:p>
    <w:p w14:paraId="5F463160" w14:textId="77777777" w:rsidR="00DD3EFA" w:rsidRDefault="00DD3EFA" w:rsidP="00F01ED6">
      <w:pPr>
        <w:pStyle w:val="ProductList-Body"/>
        <w:numPr>
          <w:ilvl w:val="0"/>
          <w:numId w:val="1"/>
        </w:numPr>
        <w:tabs>
          <w:tab w:val="clear" w:pos="360"/>
          <w:tab w:val="clear" w:pos="720"/>
          <w:tab w:val="clear" w:pos="1080"/>
        </w:tabs>
      </w:pPr>
      <w:r>
        <w:t xml:space="preserve">Isto resulta de falhas numa única localização de Centros de Dados da Microsoft, quando a conectividade de rede do Cliente depende explicitamente dessa localização de uma forma não resiliente em termos geográficos; </w:t>
      </w:r>
    </w:p>
    <w:p w14:paraId="1E5691CC" w14:textId="2BE67CA0" w:rsidR="001D1C2C" w:rsidRPr="00EF7CF9" w:rsidRDefault="001D1C2C" w:rsidP="00F01ED6">
      <w:pPr>
        <w:pStyle w:val="ProductList-Body"/>
        <w:numPr>
          <w:ilvl w:val="0"/>
          <w:numId w:val="1"/>
        </w:numPr>
        <w:tabs>
          <w:tab w:val="clear" w:pos="360"/>
          <w:tab w:val="clear" w:pos="720"/>
          <w:tab w:val="clear" w:pos="1080"/>
        </w:tabs>
      </w:pPr>
      <w:r>
        <w:t>Provocados pela utilização que o Cliente faz de um Serviço depois de ter sido aconselhado pela Microsoft a modificar a utilização do</w:t>
      </w:r>
      <w:r w:rsidR="00F31F6E">
        <w:t> </w:t>
      </w:r>
      <w:r>
        <w:t>Serviço e se o Cliente não tiver modificado a sua utilização consoante aconselhado;</w:t>
      </w:r>
    </w:p>
    <w:p w14:paraId="7A23EEE9" w14:textId="17D0B297" w:rsidR="001D1C2C" w:rsidRPr="00EF7CF9" w:rsidRDefault="001D1C2C" w:rsidP="00F01ED6">
      <w:pPr>
        <w:pStyle w:val="ProductList-Body"/>
        <w:numPr>
          <w:ilvl w:val="0"/>
          <w:numId w:val="1"/>
        </w:numPr>
        <w:tabs>
          <w:tab w:val="clear" w:pos="360"/>
          <w:tab w:val="clear" w:pos="720"/>
          <w:tab w:val="clear" w:pos="1080"/>
        </w:tabs>
      </w:pPr>
      <w:r>
        <w:t>Durante ou no que se refere à pré-visualização, pré-disponibilização comercial ou versões beta ou de avaliação de um Serviço, funcionalidade ou software (conforme determinado pela Microsoft) ou a aquisições feitas utilizando créditos de subscrição da Microsoft;</w:t>
      </w:r>
    </w:p>
    <w:p w14:paraId="4F915C80" w14:textId="3C5FFBDC" w:rsidR="001D1C2C" w:rsidRPr="00EF7CF9" w:rsidRDefault="001D1C2C" w:rsidP="00F01ED6">
      <w:pPr>
        <w:pStyle w:val="ProductList-Body"/>
        <w:numPr>
          <w:ilvl w:val="0"/>
          <w:numId w:val="1"/>
        </w:numPr>
        <w:tabs>
          <w:tab w:val="clear" w:pos="360"/>
          <w:tab w:val="clear" w:pos="720"/>
          <w:tab w:val="clear" w:pos="1080"/>
        </w:tabs>
      </w:pPr>
      <w:r>
        <w:t>Que resultem da ação não autorizada do Cliente ou falta de ação quando necessária, ou dos respetivos empregados, agentes, contratantes ou fornecedores, ou qualquer pessoa que obtenha acesso à rede da Microsoft através das palavras-passe ou do equipamento do Cliente, ou de alguma forma resultantes da falha do Cliente em cumprir as práticas de segurança apropriadas;</w:t>
      </w:r>
    </w:p>
    <w:p w14:paraId="4693A7B0" w14:textId="77777777" w:rsidR="000642C3" w:rsidRPr="002A0A04" w:rsidRDefault="000642C3" w:rsidP="000642C3">
      <w:pPr>
        <w:pStyle w:val="ProductList-Body"/>
        <w:numPr>
          <w:ilvl w:val="0"/>
          <w:numId w:val="1"/>
        </w:numPr>
        <w:tabs>
          <w:tab w:val="clear" w:pos="360"/>
          <w:tab w:val="clear" w:pos="720"/>
          <w:tab w:val="clear" w:pos="1080"/>
        </w:tabs>
        <w:rPr>
          <w:rFonts w:ascii="Calibri" w:hAnsi="Calibri" w:cs="Calibri"/>
        </w:rPr>
      </w:pPr>
      <w:r>
        <w:rPr>
          <w:rFonts w:ascii="Calibri" w:hAnsi="Calibri" w:cs="Calibri"/>
        </w:rPr>
        <w:t>Que resultem da falha por parte do Cliente em cumprir quaisquer configurações necessárias, utilizar configurações ou plataformas suportadas, seguir quaisquer políticas para uma utilização aceitável ou da utilização que o Cliente faz do Serviço de uma forma inconsistente com as funcionalidades do Serviço (por exemplo, tentativas para executar operações que não sejam suportadas) ou inconsistente com as instruções publicadas da Microsoft;</w:t>
      </w:r>
    </w:p>
    <w:p w14:paraId="266FAE78" w14:textId="4F4F5838" w:rsidR="001D1C2C" w:rsidRPr="001D4B6B" w:rsidRDefault="001D1C2C" w:rsidP="00F01ED6">
      <w:pPr>
        <w:pStyle w:val="ProductList-Body"/>
        <w:numPr>
          <w:ilvl w:val="0"/>
          <w:numId w:val="1"/>
        </w:numPr>
        <w:tabs>
          <w:tab w:val="clear" w:pos="360"/>
          <w:tab w:val="clear" w:pos="720"/>
          <w:tab w:val="clear" w:pos="1080"/>
        </w:tabs>
        <w:rPr>
          <w:spacing w:val="-2"/>
        </w:rPr>
      </w:pPr>
      <w:r w:rsidRPr="001D4B6B">
        <w:rPr>
          <w:spacing w:val="-2"/>
        </w:rPr>
        <w:t>Resultantes de introdução de dados, instruções ou argumentos incorretos (por exemplo, pedidos para aceder a ficheiros que não existem);</w:t>
      </w:r>
    </w:p>
    <w:p w14:paraId="0BEBA16D" w14:textId="77777777" w:rsidR="00776624" w:rsidRDefault="00776624" w:rsidP="00776624">
      <w:pPr>
        <w:pStyle w:val="ProductList-Body"/>
        <w:numPr>
          <w:ilvl w:val="0"/>
          <w:numId w:val="1"/>
        </w:numPr>
        <w:tabs>
          <w:tab w:val="clear" w:pos="360"/>
          <w:tab w:val="clear" w:pos="720"/>
          <w:tab w:val="clear" w:pos="1080"/>
        </w:tabs>
        <w:rPr>
          <w:rFonts w:ascii="Calibri" w:hAnsi="Calibri" w:cs="Calibri"/>
        </w:rPr>
      </w:pPr>
      <w:r>
        <w:rPr>
          <w:rFonts w:ascii="Calibri" w:hAnsi="Calibri" w:cs="Calibri"/>
        </w:rPr>
        <w:t>Resultantes das tentativas por parte do Cliente para executar operações que excedam a utilização razoável, ou as quotas indicadas ou resultantes da limitação por parte da Microsoft de comportamento abusivo suspeito ou contas pirateadas;</w:t>
      </w:r>
    </w:p>
    <w:p w14:paraId="767733A8" w14:textId="1C6B61EB" w:rsidR="001D1C2C" w:rsidRPr="00EF7CF9" w:rsidRDefault="001D1C2C" w:rsidP="00F01ED6">
      <w:pPr>
        <w:pStyle w:val="ProductList-Body"/>
        <w:numPr>
          <w:ilvl w:val="0"/>
          <w:numId w:val="1"/>
        </w:numPr>
        <w:tabs>
          <w:tab w:val="clear" w:pos="360"/>
          <w:tab w:val="clear" w:pos="720"/>
          <w:tab w:val="clear" w:pos="1080"/>
        </w:tabs>
      </w:pPr>
      <w:r>
        <w:t>Decorrentes das funcionalidades do Serviço utilizado pelo Cliente que estejam fora do Intervalo de Suporte associado ou</w:t>
      </w:r>
    </w:p>
    <w:p w14:paraId="5605A8B2" w14:textId="5E9835C8" w:rsidR="001D1C2C" w:rsidRDefault="001D1C2C" w:rsidP="00F01ED6">
      <w:pPr>
        <w:pStyle w:val="ProductList-Body"/>
        <w:numPr>
          <w:ilvl w:val="0"/>
          <w:numId w:val="1"/>
        </w:numPr>
        <w:tabs>
          <w:tab w:val="clear" w:pos="360"/>
          <w:tab w:val="clear" w:pos="720"/>
          <w:tab w:val="clear" w:pos="1080"/>
        </w:tabs>
      </w:pPr>
      <w:r>
        <w:t>Para licenças reservadas, mas não pagas, no momento do Incidente.</w:t>
      </w:r>
    </w:p>
    <w:p w14:paraId="0894E1DA" w14:textId="77777777" w:rsidR="003C1FF6" w:rsidRPr="002A0A04" w:rsidRDefault="003C1FF6" w:rsidP="003C1FF6">
      <w:pPr>
        <w:pStyle w:val="ProductList-Body"/>
        <w:numPr>
          <w:ilvl w:val="0"/>
          <w:numId w:val="1"/>
        </w:numPr>
        <w:tabs>
          <w:tab w:val="clear" w:pos="360"/>
          <w:tab w:val="clear" w:pos="720"/>
          <w:tab w:val="clear" w:pos="1080"/>
        </w:tabs>
        <w:rPr>
          <w:rFonts w:ascii="Calibri" w:hAnsi="Calibri" w:cs="Calibri"/>
        </w:rPr>
      </w:pPr>
      <w:r>
        <w:rPr>
          <w:rFonts w:ascii="Calibri" w:hAnsi="Calibri" w:cs="Calibri"/>
        </w:rPr>
        <w:t>As operações iniciadas pelo Cliente, tais como reiniciar, parar, iniciar, ativar pós-falha, computação à escala e armazenamento (que, pela sua natureza, incluem restrições de capacidade) que incorrem em período de indisponibilidade são excluídas do cálculo do período de disponibilidade, exceto se explicitamente definidas no Nível de Serviço aplicável;</w:t>
      </w:r>
    </w:p>
    <w:p w14:paraId="52A92184" w14:textId="77777777" w:rsidR="003C1FF6" w:rsidRPr="002A0A04" w:rsidRDefault="003C1FF6" w:rsidP="003C1FF6">
      <w:pPr>
        <w:pStyle w:val="ProductList-Body"/>
        <w:numPr>
          <w:ilvl w:val="0"/>
          <w:numId w:val="1"/>
        </w:numPr>
        <w:tabs>
          <w:tab w:val="clear" w:pos="360"/>
          <w:tab w:val="clear" w:pos="720"/>
          <w:tab w:val="clear" w:pos="1080"/>
        </w:tabs>
        <w:rPr>
          <w:rFonts w:ascii="Calibri" w:hAnsi="Calibri" w:cs="Calibri"/>
        </w:rPr>
      </w:pPr>
      <w:r>
        <w:rPr>
          <w:rFonts w:ascii="Calibri" w:hAnsi="Calibri" w:cs="Calibri"/>
        </w:rPr>
        <w:t>A janela de manutenção mensal que implica um período de indisponibilidade para aplicar patches ao servidor e à infraestrutura está excluída do cálculo do período de disponibilidade.</w:t>
      </w:r>
    </w:p>
    <w:p w14:paraId="3D779D12" w14:textId="77777777" w:rsidR="003C1FF6" w:rsidRPr="002A0A04" w:rsidRDefault="003C1FF6" w:rsidP="003C1FF6">
      <w:pPr>
        <w:pStyle w:val="ProductList-Body"/>
        <w:numPr>
          <w:ilvl w:val="0"/>
          <w:numId w:val="1"/>
        </w:numPr>
        <w:tabs>
          <w:tab w:val="clear" w:pos="360"/>
          <w:tab w:val="clear" w:pos="720"/>
          <w:tab w:val="clear" w:pos="1080"/>
        </w:tabs>
        <w:rPr>
          <w:rFonts w:ascii="Calibri" w:hAnsi="Calibri" w:cs="Calibri"/>
        </w:rPr>
      </w:pPr>
      <w:r>
        <w:rPr>
          <w:rFonts w:ascii="Calibri" w:hAnsi="Calibri" w:cs="Calibri"/>
        </w:rPr>
        <w:t>Que resultam da degradação do desempenho ou de problemas de latência sem indisponibilidade efetiva do serviço (exceto no caso dos serviços que incluem explicitamente um Nível de Serviço baseado no desempenho).</w:t>
      </w:r>
    </w:p>
    <w:p w14:paraId="30D18665" w14:textId="77777777" w:rsidR="003C1FF6" w:rsidRPr="002A0A04" w:rsidRDefault="003C1FF6" w:rsidP="003C1FF6">
      <w:pPr>
        <w:spacing w:after="0"/>
        <w:rPr>
          <w:rFonts w:ascii="Calibri" w:hAnsi="Calibri" w:cs="Calibri"/>
          <w:sz w:val="18"/>
        </w:rPr>
      </w:pPr>
    </w:p>
    <w:p w14:paraId="4B72C513" w14:textId="505B9FAC" w:rsidR="001D1C2C" w:rsidRPr="003C1FF6" w:rsidRDefault="003C1FF6" w:rsidP="003C1FF6">
      <w:pPr>
        <w:keepNext/>
        <w:rPr>
          <w:rFonts w:ascii="Calibri" w:hAnsi="Calibri" w:cs="Calibri"/>
          <w:sz w:val="18"/>
        </w:rPr>
      </w:pPr>
      <w:r>
        <w:rPr>
          <w:rFonts w:ascii="Calibri" w:hAnsi="Calibri" w:cs="Calibri"/>
          <w:sz w:val="18"/>
        </w:rPr>
        <w:t>As comunicações de indisponibilidade da Microsoft destinam-se a ajudar os clientes a tomar medidas preventivas para as suas aplicações críticas para a empresa e não são uma confirmação dos Níveis de Serviço em falta ou da elegibilidade dos Créditos de Serviço.</w:t>
      </w:r>
    </w:p>
    <w:p w14:paraId="61871B44" w14:textId="08E4E02B" w:rsidR="001D1C2C" w:rsidRPr="00EF7CF9" w:rsidRDefault="001D1C2C" w:rsidP="00F01ED6">
      <w:pPr>
        <w:pStyle w:val="ProductList-Body"/>
      </w:pPr>
      <w:r>
        <w:t>Os Serviços adquiridos através de contratos de licenciamento em volume Open, Open Value e Open Value Subscription e Serviços num conjunto de</w:t>
      </w:r>
      <w:r w:rsidR="001D4B6B">
        <w:t> </w:t>
      </w:r>
      <w:r>
        <w:t xml:space="preserve">aplicações do Office 365 Pequenas Empresas Premium adquiridos sob a forma de uma chave de produto não são elegíveis para os Créditos </w:t>
      </w:r>
      <w:r>
        <w:lastRenderedPageBreak/>
        <w:t>de</w:t>
      </w:r>
      <w:r w:rsidR="001268E5">
        <w:t> </w:t>
      </w:r>
      <w:r>
        <w:t xml:space="preserve">Serviço com base nos honorários dos serviços. Para estes Serviços, qualquer Crédito de Serviço para o qual o Cliente possa ser elegível será creditado sob a forma de tempo de serviço (ou seja, dias), por oposição aos honorários dos serviços. Quaisquer referências a </w:t>
      </w:r>
      <w:r w:rsidR="00380305">
        <w:t>“</w:t>
      </w:r>
      <w:r>
        <w:t>Honorários dos Serviços Aplicáveis</w:t>
      </w:r>
      <w:r w:rsidR="00380305">
        <w:t>”</w:t>
      </w:r>
      <w:r>
        <w:t xml:space="preserve"> são eliminadas e substituídas por </w:t>
      </w:r>
      <w:r w:rsidR="00380305">
        <w:t>“</w:t>
      </w:r>
      <w:r>
        <w:t>Período Aplicável</w:t>
      </w:r>
      <w:r w:rsidR="00380305">
        <w:t>”</w:t>
      </w:r>
      <w:r>
        <w:t>.</w:t>
      </w:r>
    </w:p>
    <w:p w14:paraId="5B5DA3B9"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12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4885D4F" w14:textId="77CE35F8" w:rsidR="00045C64" w:rsidRPr="00EF7CF9" w:rsidRDefault="00045C64" w:rsidP="00F01ED6">
      <w:pPr>
        <w:pStyle w:val="ProductList-SectionHeading"/>
        <w:tabs>
          <w:tab w:val="clear" w:pos="360"/>
          <w:tab w:val="clear" w:pos="720"/>
          <w:tab w:val="clear" w:pos="1080"/>
        </w:tabs>
        <w:outlineLvl w:val="0"/>
      </w:pPr>
      <w:bookmarkStart w:id="35" w:name="_Toc457821507"/>
      <w:bookmarkStart w:id="36" w:name="_Toc239176378"/>
      <w:bookmarkStart w:id="37" w:name="ServiceSpecificTerms"/>
      <w:bookmarkStart w:id="38" w:name="TermosEspecíficosdoServiço"/>
      <w:r>
        <w:t>Termos Específicos do Serviço</w:t>
      </w:r>
      <w:bookmarkEnd w:id="35"/>
      <w:bookmarkEnd w:id="36"/>
    </w:p>
    <w:p w14:paraId="07111700" w14:textId="7469B3B8" w:rsidR="00045C64" w:rsidRPr="00EF7CF9" w:rsidRDefault="00045C64" w:rsidP="00F01ED6">
      <w:pPr>
        <w:pStyle w:val="ProductList-OfferingGroupHeading"/>
        <w:tabs>
          <w:tab w:val="clear" w:pos="360"/>
          <w:tab w:val="clear" w:pos="720"/>
          <w:tab w:val="clear" w:pos="1080"/>
        </w:tabs>
        <w:outlineLvl w:val="1"/>
      </w:pPr>
      <w:bookmarkStart w:id="39" w:name="_Toc457821508"/>
      <w:bookmarkStart w:id="40" w:name="_Toc239176379"/>
      <w:bookmarkEnd w:id="37"/>
      <w:bookmarkEnd w:id="38"/>
      <w:r>
        <w:t>Microsoft Dynamics</w:t>
      </w:r>
      <w:bookmarkEnd w:id="39"/>
      <w:r>
        <w:t xml:space="preserve"> 365</w:t>
      </w:r>
      <w:bookmarkEnd w:id="40"/>
    </w:p>
    <w:p w14:paraId="39192933" w14:textId="77777777" w:rsidR="00D50DE8" w:rsidRDefault="00D50DE8" w:rsidP="00F01ED6">
      <w:pPr>
        <w:pStyle w:val="ProductList-Offering2Heading"/>
        <w:pBdr>
          <w:between w:val="single" w:sz="4" w:space="1" w:color="auto"/>
        </w:pBdr>
        <w:tabs>
          <w:tab w:val="clear" w:pos="360"/>
          <w:tab w:val="clear" w:pos="720"/>
          <w:tab w:val="clear" w:pos="1080"/>
        </w:tabs>
        <w:outlineLvl w:val="2"/>
      </w:pPr>
      <w:bookmarkStart w:id="41" w:name="_Toc239176380"/>
      <w:bookmarkStart w:id="42" w:name="_Toc524384433"/>
      <w:bookmarkStart w:id="43" w:name="MicrosoftDynamics365forCustSrvcEntProIns"/>
      <w:bookmarkStart w:id="44" w:name="_Toc5018151"/>
      <w:bookmarkStart w:id="45" w:name="_Toc438127029"/>
      <w:bookmarkStart w:id="46" w:name="_Toc457821509"/>
      <w:r>
        <w:t>Dynamics 365 Business Central</w:t>
      </w:r>
      <w:bookmarkEnd w:id="41"/>
    </w:p>
    <w:p w14:paraId="154E5881" w14:textId="77777777" w:rsidR="00D50DE8" w:rsidRPr="00EF7CF9" w:rsidRDefault="00D50DE8" w:rsidP="00F01ED6">
      <w:pPr>
        <w:pStyle w:val="ProductList-Body"/>
      </w:pPr>
      <w:r>
        <w:rPr>
          <w:b/>
          <w:color w:val="00188F"/>
        </w:rPr>
        <w:t>Período de Indisponibilidade</w:t>
      </w:r>
      <w:r w:rsidRPr="00473DD3">
        <w:rPr>
          <w:b/>
          <w:color w:val="00188F"/>
        </w:rPr>
        <w:t>:</w:t>
      </w:r>
      <w:r>
        <w:t xml:space="preserve"> Qualquer período de tempo em que os utilizadores finais não conseguem iniciar sessão na respetiva instância.</w:t>
      </w:r>
    </w:p>
    <w:p w14:paraId="79A61192" w14:textId="754A2D9A" w:rsidR="00D50DE8"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2FCFD88" w14:textId="77777777" w:rsidR="00D50DE8" w:rsidRPr="00EF7CF9" w:rsidRDefault="00D50DE8" w:rsidP="00F01ED6">
      <w:pPr>
        <w:pStyle w:val="ProductList-Body"/>
      </w:pPr>
    </w:p>
    <w:p w14:paraId="6E972F08" w14:textId="21F2A5D3" w:rsidR="00D50DE8"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38F44403" w14:textId="58D4620A" w:rsidR="00D50DE8" w:rsidRPr="00EF7CF9" w:rsidRDefault="00AC48A7" w:rsidP="00F01ED6">
      <w:pPr>
        <w:pStyle w:val="ProductList-Body"/>
      </w:pPr>
      <w:r>
        <w:t>em que o Período de Indisponibilidade é calculado em minutos de utilizador, ou seja, para cada Período Aplicável, o Período de Indisponibilidade é</w:t>
      </w:r>
      <w:r w:rsidR="001D4B6B">
        <w:t> </w:t>
      </w:r>
      <w:r>
        <w:t>a soma da duração (em minutos) de cada Incidente que ocorre durante o Período Aplicável multiplicada pelo número de utilizadores afetados por</w:t>
      </w:r>
      <w:r w:rsidR="00C7355C">
        <w:t> </w:t>
      </w:r>
      <w:r>
        <w:t>esse Incidente.</w:t>
      </w:r>
    </w:p>
    <w:p w14:paraId="0DE1F58B" w14:textId="77777777" w:rsidR="00D50DE8" w:rsidRPr="00EF7CF9" w:rsidRDefault="00D50DE8" w:rsidP="00F01ED6">
      <w:pPr>
        <w:pStyle w:val="ProductList-Body"/>
      </w:pPr>
    </w:p>
    <w:p w14:paraId="30958FCB" w14:textId="77777777" w:rsidR="00D50DE8" w:rsidRPr="00EF7CF9" w:rsidRDefault="00D50DE8"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32B916E" w14:textId="77777777" w:rsidR="00D50DE8" w:rsidRPr="00EF7CF9" w:rsidRDefault="00D50DE8" w:rsidP="00F01ED6">
            <w:pPr>
              <w:pStyle w:val="ProductList-OfferingBody"/>
              <w:jc w:val="center"/>
              <w:rPr>
                <w:color w:val="FFFFFF" w:themeColor="background1"/>
              </w:rPr>
            </w:pPr>
            <w:r>
              <w:rPr>
                <w:color w:val="FFFFFF" w:themeColor="background1"/>
              </w:rPr>
              <w:t>Crédito de Serviço</w:t>
            </w:r>
          </w:p>
        </w:tc>
      </w:tr>
      <w:tr w:rsidR="00D50DE8" w:rsidRPr="00B44CF9" w14:paraId="3F75069E" w14:textId="77777777" w:rsidTr="001439A9">
        <w:tc>
          <w:tcPr>
            <w:tcW w:w="5400" w:type="dxa"/>
          </w:tcPr>
          <w:p w14:paraId="4351DF90" w14:textId="77777777" w:rsidR="00D50DE8" w:rsidRPr="00EF7CF9" w:rsidRDefault="00D50DE8" w:rsidP="00F01ED6">
            <w:pPr>
              <w:pStyle w:val="ProductList-OfferingBody"/>
              <w:jc w:val="center"/>
            </w:pPr>
            <w:r>
              <w:t>&lt; 99,9%</w:t>
            </w:r>
          </w:p>
        </w:tc>
        <w:tc>
          <w:tcPr>
            <w:tcW w:w="5400" w:type="dxa"/>
          </w:tcPr>
          <w:p w14:paraId="36FA6803" w14:textId="77777777" w:rsidR="00D50DE8" w:rsidRPr="00EF7CF9" w:rsidRDefault="00D50DE8" w:rsidP="00F01ED6">
            <w:pPr>
              <w:pStyle w:val="ProductList-OfferingBody"/>
              <w:jc w:val="center"/>
            </w:pPr>
            <w:r>
              <w:t>25%</w:t>
            </w:r>
          </w:p>
        </w:tc>
      </w:tr>
      <w:tr w:rsidR="00D50DE8" w:rsidRPr="00B44CF9" w14:paraId="7E0ABD84" w14:textId="77777777" w:rsidTr="001439A9">
        <w:tc>
          <w:tcPr>
            <w:tcW w:w="5400" w:type="dxa"/>
          </w:tcPr>
          <w:p w14:paraId="078BB8D6" w14:textId="77777777" w:rsidR="00D50DE8" w:rsidRPr="00EF7CF9" w:rsidRDefault="00D50DE8" w:rsidP="00F01ED6">
            <w:pPr>
              <w:pStyle w:val="ProductList-OfferingBody"/>
              <w:jc w:val="center"/>
            </w:pPr>
            <w:r>
              <w:t>&lt; 99%</w:t>
            </w:r>
          </w:p>
        </w:tc>
        <w:tc>
          <w:tcPr>
            <w:tcW w:w="5400" w:type="dxa"/>
          </w:tcPr>
          <w:p w14:paraId="163EB0A1" w14:textId="77777777" w:rsidR="00D50DE8" w:rsidRPr="00EF7CF9" w:rsidRDefault="00D50DE8" w:rsidP="00F01ED6">
            <w:pPr>
              <w:pStyle w:val="ProductList-OfferingBody"/>
              <w:jc w:val="center"/>
            </w:pPr>
            <w:r>
              <w:t>50%</w:t>
            </w:r>
          </w:p>
        </w:tc>
      </w:tr>
      <w:tr w:rsidR="00D50DE8" w:rsidRPr="00B44CF9" w14:paraId="326E1610" w14:textId="77777777" w:rsidTr="001439A9">
        <w:tc>
          <w:tcPr>
            <w:tcW w:w="5400" w:type="dxa"/>
          </w:tcPr>
          <w:p w14:paraId="7D157785" w14:textId="77777777" w:rsidR="00D50DE8" w:rsidRPr="00EF7CF9" w:rsidRDefault="00D50DE8" w:rsidP="00F01ED6">
            <w:pPr>
              <w:pStyle w:val="ProductList-OfferingBody"/>
              <w:jc w:val="center"/>
            </w:pPr>
            <w:r>
              <w:t>&lt; 95%</w:t>
            </w:r>
          </w:p>
        </w:tc>
        <w:tc>
          <w:tcPr>
            <w:tcW w:w="5400" w:type="dxa"/>
          </w:tcPr>
          <w:p w14:paraId="3B973236" w14:textId="77777777" w:rsidR="00D50DE8" w:rsidRPr="00EF7CF9" w:rsidRDefault="00D50DE8" w:rsidP="00F01ED6">
            <w:pPr>
              <w:pStyle w:val="ProductList-OfferingBody"/>
              <w:jc w:val="center"/>
            </w:pPr>
            <w:r>
              <w:t>100%</w:t>
            </w:r>
          </w:p>
        </w:tc>
      </w:tr>
    </w:tbl>
    <w:p w14:paraId="49B25FE7" w14:textId="77777777" w:rsidR="006410DA" w:rsidRPr="00EF7CF9" w:rsidRDefault="006410DA" w:rsidP="006410D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E4442E">
          <w:rPr>
            <w:rStyle w:val="Hyperlink"/>
            <w:sz w:val="16"/>
            <w:szCs w:val="16"/>
          </w:rPr>
          <w:t>Índice</w:t>
        </w:r>
      </w:hyperlink>
      <w:r>
        <w:rPr>
          <w:sz w:val="16"/>
          <w:szCs w:val="16"/>
        </w:rPr>
        <w:t xml:space="preserve"> / </w:t>
      </w:r>
      <w:hyperlink w:anchor="Definitions" w:history="1">
        <w:r w:rsidRPr="00E4442E">
          <w:rPr>
            <w:rStyle w:val="Hyperlink"/>
            <w:sz w:val="16"/>
            <w:szCs w:val="16"/>
          </w:rPr>
          <w:t>Definições</w:t>
        </w:r>
      </w:hyperlink>
    </w:p>
    <w:p w14:paraId="6C9CF5B3" w14:textId="77777777" w:rsidR="00D50DE8" w:rsidRPr="00EF7CF9" w:rsidRDefault="00D50DE8" w:rsidP="00F01ED6">
      <w:pPr>
        <w:pStyle w:val="ProductList-Offering2Heading"/>
        <w:pBdr>
          <w:between w:val="single" w:sz="4" w:space="1" w:color="auto"/>
        </w:pBdr>
        <w:tabs>
          <w:tab w:val="clear" w:pos="360"/>
          <w:tab w:val="clear" w:pos="720"/>
          <w:tab w:val="clear" w:pos="1080"/>
        </w:tabs>
        <w:outlineLvl w:val="2"/>
      </w:pPr>
      <w:bookmarkStart w:id="47" w:name="_Toc239176381"/>
      <w:r>
        <w:t>Dynamics 365 Commerce</w:t>
      </w:r>
      <w:bookmarkEnd w:id="47"/>
    </w:p>
    <w:p w14:paraId="5C8ACDEF" w14:textId="77777777" w:rsidR="00D50DE8" w:rsidRPr="00EF7CF9" w:rsidRDefault="00D50DE8" w:rsidP="00F01ED6">
      <w:pPr>
        <w:pStyle w:val="ProductList-Body"/>
        <w:rPr>
          <w:b/>
          <w:color w:val="00188F"/>
        </w:rPr>
      </w:pPr>
      <w:r>
        <w:rPr>
          <w:b/>
          <w:color w:val="00188F"/>
        </w:rPr>
        <w:t>Definições Adicionais</w:t>
      </w:r>
      <w:r w:rsidRPr="00473DD3">
        <w:rPr>
          <w:b/>
          <w:color w:val="00188F"/>
        </w:rPr>
        <w:t>:</w:t>
      </w:r>
    </w:p>
    <w:p w14:paraId="540B380B" w14:textId="33151FD8" w:rsidR="00D50DE8" w:rsidRPr="00EF7CF9" w:rsidRDefault="00380305" w:rsidP="00F01ED6">
      <w:pPr>
        <w:pStyle w:val="ProductList-Body"/>
      </w:pPr>
      <w:r>
        <w:t>“</w:t>
      </w:r>
      <w:r w:rsidR="00D50DE8">
        <w:rPr>
          <w:b/>
          <w:color w:val="00188F"/>
        </w:rPr>
        <w:t>Inquilino Ativo</w:t>
      </w:r>
      <w:r>
        <w:t>”</w:t>
      </w:r>
      <w:r w:rsidR="00D50DE8">
        <w:t xml:space="preserve"> designa um inquilino com uma topologia de produção de elevada disponibilidade ativa no Portal de Gestão que (A) foi implementado num Serviço de Aplicação de Parceiro; e (B) tem uma base de dados ativa onde os utilizadores podem iniciar sessão.</w:t>
      </w:r>
    </w:p>
    <w:p w14:paraId="4D71DF41" w14:textId="67C51EE8" w:rsidR="00D50DE8" w:rsidRPr="00EF7CF9" w:rsidRDefault="00380305" w:rsidP="00F01ED6">
      <w:pPr>
        <w:pStyle w:val="ProductList-Body"/>
      </w:pPr>
      <w:r>
        <w:t>“</w:t>
      </w:r>
      <w:r w:rsidR="00D50DE8">
        <w:rPr>
          <w:b/>
          <w:color w:val="00188F"/>
        </w:rPr>
        <w:t>Serviço de Aplicação de Parceiro</w:t>
      </w:r>
      <w:r>
        <w:t>”</w:t>
      </w:r>
      <w:r w:rsidR="00D50DE8">
        <w:t xml:space="preserve"> designa uma aplicação de parceiro que assenta e está combinada com a Plataforma que (A) é utilizada no</w:t>
      </w:r>
      <w:r w:rsidR="006946B0">
        <w:t> </w:t>
      </w:r>
      <w:r w:rsidR="00D50DE8">
        <w:t>processamento das transações comerciais reais da organização do Cliente; e (B) tem recursos informáticos e de armazenamento de reserva equivalentes ou superiores a uma das Unidades de Escala selecionadas pelo parceiro para a aplicação de parceiro aplicável.</w:t>
      </w:r>
    </w:p>
    <w:p w14:paraId="248E919D" w14:textId="74B5D1A4" w:rsidR="00D50DE8" w:rsidRPr="00EF7CF9" w:rsidRDefault="00380305" w:rsidP="00F01ED6">
      <w:pPr>
        <w:pStyle w:val="ProductList-Body"/>
      </w:pPr>
      <w:r>
        <w:t>“</w:t>
      </w:r>
      <w:r w:rsidR="00D50DE8">
        <w:rPr>
          <w:b/>
          <w:color w:val="00188F"/>
        </w:rPr>
        <w:t>Máximo de Minutos Disponíveis</w:t>
      </w:r>
      <w:r>
        <w:t>”</w:t>
      </w:r>
      <w:r w:rsidR="00D50DE8">
        <w:t xml:space="preserve"> designa o total de minutos acumulados durante um Período Aplicável durante os quais um Inquilino Ativo foi</w:t>
      </w:r>
      <w:r w:rsidR="006946B0">
        <w:t> </w:t>
      </w:r>
      <w:r w:rsidR="00D50DE8">
        <w:t>implementado num Serviço de Aplicação de Parceiro utilizando uma topologia de produção de elevada disponibilidade ativa.</w:t>
      </w:r>
    </w:p>
    <w:p w14:paraId="0C74F514" w14:textId="553ED208" w:rsidR="00D50DE8" w:rsidRPr="00EF7CF9" w:rsidRDefault="00380305" w:rsidP="00F01ED6">
      <w:pPr>
        <w:pStyle w:val="ProductList-Body"/>
      </w:pPr>
      <w:r>
        <w:t>“</w:t>
      </w:r>
      <w:r w:rsidR="00D50DE8">
        <w:rPr>
          <w:b/>
          <w:color w:val="00188F"/>
        </w:rPr>
        <w:t>Plataforma</w:t>
      </w:r>
      <w:r>
        <w:t>”</w:t>
      </w:r>
      <w:r w:rsidR="00D50DE8">
        <w:t xml:space="preserve"> designa os formulários de cliente do Serviço, os relatórios do SQL Server, operações em batch e os pontos finais da API ou as APIs de</w:t>
      </w:r>
      <w:r w:rsidR="006946B0">
        <w:t> </w:t>
      </w:r>
      <w:r w:rsidR="00D50DE8">
        <w:t>retalho do Serviço utilizadas apenas para fins comerciais ou de retalho.</w:t>
      </w:r>
    </w:p>
    <w:p w14:paraId="7DEAA6DA" w14:textId="564DC0EA" w:rsidR="00D50DE8" w:rsidRPr="00EF7CF9" w:rsidRDefault="00380305" w:rsidP="00F01ED6">
      <w:pPr>
        <w:pStyle w:val="ProductList-Body"/>
      </w:pPr>
      <w:r>
        <w:t>“</w:t>
      </w:r>
      <w:r w:rsidR="00D50DE8">
        <w:rPr>
          <w:b/>
          <w:color w:val="00188F"/>
        </w:rPr>
        <w:t>Unidade de Escala</w:t>
      </w:r>
      <w:r>
        <w:t>”</w:t>
      </w:r>
      <w:r w:rsidR="00D50DE8">
        <w:t xml:space="preserve"> designa os incrementos pelos quais os recursos informáticos e de armazenamento são adicionais ou removidos de um Serviço de Aplicação de Parceiro.</w:t>
      </w:r>
    </w:p>
    <w:p w14:paraId="2E0FE7F1" w14:textId="409EB012" w:rsidR="00D50DE8" w:rsidRPr="00EF7CF9" w:rsidRDefault="00380305" w:rsidP="00F01ED6">
      <w:pPr>
        <w:pStyle w:val="ProductList-Body"/>
      </w:pPr>
      <w:r>
        <w:t>“</w:t>
      </w:r>
      <w:r w:rsidR="00D50DE8">
        <w:rPr>
          <w:b/>
          <w:color w:val="00188F"/>
        </w:rPr>
        <w:t>Infraestrutura do Serviço</w:t>
      </w:r>
      <w:r>
        <w:t>”</w:t>
      </w:r>
      <w:r w:rsidR="00D50DE8">
        <w:t xml:space="preserve"> designa os recursos de autenticação, informáticos e armazenamento que a Microsoft fornece no âmbito do Serviço.</w:t>
      </w:r>
    </w:p>
    <w:p w14:paraId="3341CE03" w14:textId="77777777" w:rsidR="00D50DE8" w:rsidRPr="00EF7CF9" w:rsidRDefault="00D50DE8" w:rsidP="00F01ED6">
      <w:pPr>
        <w:pStyle w:val="ProductList-Body"/>
      </w:pPr>
    </w:p>
    <w:p w14:paraId="7E890B2C" w14:textId="0018238A" w:rsidR="00D50DE8" w:rsidRPr="00EF7CF9" w:rsidRDefault="00D50DE8" w:rsidP="00F01ED6">
      <w:pPr>
        <w:pStyle w:val="ProductList-Body"/>
      </w:pPr>
      <w:r>
        <w:rPr>
          <w:b/>
          <w:color w:val="00188F"/>
        </w:rPr>
        <w:t>Período de Indisponibilidade</w:t>
      </w:r>
      <w:r w:rsidRPr="00473DD3">
        <w:rPr>
          <w:b/>
          <w:color w:val="00188F"/>
        </w:rPr>
        <w:t>:</w:t>
      </w:r>
      <w:r>
        <w:t xml:space="preserve"> Qualquer período de tempo durante o qual os utilizadores finais não conseguem aceder ao respetivo Inquilino Ativo devido a uma falha na Infraestrutura do Serviço ou na Plataforma não expirada, consoante o que a Microsoft determinar com base nos registos de</w:t>
      </w:r>
      <w:r w:rsidR="00AB60B1">
        <w:t> </w:t>
      </w:r>
      <w:r>
        <w:t>sistema e monitorização do estado de funcionamento automáticos. O Período de Indisponibilidade não inclui a Indisponibilidade Agendada, a</w:t>
      </w:r>
      <w:r w:rsidR="00AB60B1">
        <w:t> </w:t>
      </w:r>
      <w:r>
        <w:t>indisponibilidade das funcionalidades dos suplementos do Serviço, a incapacidade de aceder ao Serviço devido a modificações efetuadas ao Serviço pelo Cliente ou os períodos em que é excedida a capacidade da Unidade de Escala.</w:t>
      </w:r>
    </w:p>
    <w:p w14:paraId="6A7E9F20" w14:textId="77777777" w:rsidR="00D50DE8" w:rsidRPr="00EF7CF9" w:rsidRDefault="00D50DE8" w:rsidP="00F01ED6">
      <w:pPr>
        <w:pStyle w:val="ProductList-Body"/>
      </w:pPr>
    </w:p>
    <w:p w14:paraId="16AB907B" w14:textId="0523E1D5" w:rsidR="00D50DE8"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para um determinado Inquilino Ativo num Período Aplicável é calculada através da seguinte fórmula:</w:t>
      </w:r>
    </w:p>
    <w:p w14:paraId="4ED269D7" w14:textId="77777777" w:rsidR="00D50DE8" w:rsidRPr="00EF7CF9" w:rsidRDefault="00D50DE8" w:rsidP="00F01ED6">
      <w:pPr>
        <w:pStyle w:val="ProductList-Body"/>
      </w:pPr>
    </w:p>
    <w:p w14:paraId="79334EEB" w14:textId="11B12BF5" w:rsidR="00D50DE8"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40678A34" w14:textId="6C9EED92" w:rsidR="00D50DE8" w:rsidRPr="00EF7CF9" w:rsidRDefault="00AC48A7" w:rsidP="00F01ED6">
      <w:pPr>
        <w:pStyle w:val="ProductList-Body"/>
      </w:pPr>
      <w:r>
        <w:lastRenderedPageBreak/>
        <w:t>em que o Período de Indisponibilidade é calculado em minutos de utilizador, ou seja, para cada Período Aplicável, o Período de Indisponibilidade é</w:t>
      </w:r>
      <w:r w:rsidR="004E0FBE">
        <w:t> </w:t>
      </w:r>
      <w:r>
        <w:t>a soma da duração (em minutos) de cada Incidente que ocorre durante o Período Aplicável multiplicada pelo número de utilizadores afetados por esse Incidente.</w:t>
      </w:r>
    </w:p>
    <w:p w14:paraId="5F2DB80B" w14:textId="77777777" w:rsidR="00D50DE8" w:rsidRPr="00EF7CF9" w:rsidRDefault="00D50DE8" w:rsidP="00F01ED6">
      <w:pPr>
        <w:pStyle w:val="ProductList-Body"/>
      </w:pPr>
    </w:p>
    <w:p w14:paraId="77FA5EF3" w14:textId="77777777" w:rsidR="00D50DE8" w:rsidRPr="00EF7CF9" w:rsidRDefault="00D50DE8"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F07CD95" w14:textId="77777777" w:rsidR="00D50DE8" w:rsidRPr="00EF7CF9" w:rsidRDefault="00D50DE8" w:rsidP="00F01ED6">
            <w:pPr>
              <w:pStyle w:val="ProductList-OfferingBody"/>
              <w:jc w:val="center"/>
              <w:rPr>
                <w:color w:val="FFFFFF" w:themeColor="background1"/>
              </w:rPr>
            </w:pPr>
            <w:r>
              <w:rPr>
                <w:color w:val="FFFFFF" w:themeColor="background1"/>
              </w:rPr>
              <w:t>Crédito de Serviço</w:t>
            </w:r>
          </w:p>
        </w:tc>
      </w:tr>
      <w:tr w:rsidR="00D50DE8" w:rsidRPr="00B44CF9" w14:paraId="2825A230" w14:textId="77777777" w:rsidTr="001439A9">
        <w:tc>
          <w:tcPr>
            <w:tcW w:w="5400" w:type="dxa"/>
          </w:tcPr>
          <w:p w14:paraId="26C3745B" w14:textId="77777777" w:rsidR="00D50DE8" w:rsidRPr="00EF7CF9" w:rsidRDefault="00D50DE8" w:rsidP="00F01ED6">
            <w:pPr>
              <w:pStyle w:val="ProductList-OfferingBody"/>
              <w:jc w:val="center"/>
            </w:pPr>
            <w:r>
              <w:t>&lt; 99,9%</w:t>
            </w:r>
          </w:p>
        </w:tc>
        <w:tc>
          <w:tcPr>
            <w:tcW w:w="5400" w:type="dxa"/>
          </w:tcPr>
          <w:p w14:paraId="33539270" w14:textId="77777777" w:rsidR="00D50DE8" w:rsidRPr="00EF7CF9" w:rsidRDefault="00D50DE8" w:rsidP="00F01ED6">
            <w:pPr>
              <w:pStyle w:val="ProductList-OfferingBody"/>
              <w:jc w:val="center"/>
            </w:pPr>
            <w:r>
              <w:t>25%</w:t>
            </w:r>
          </w:p>
        </w:tc>
      </w:tr>
      <w:tr w:rsidR="00D50DE8" w:rsidRPr="00B44CF9" w14:paraId="4DD4D641" w14:textId="77777777" w:rsidTr="001439A9">
        <w:tc>
          <w:tcPr>
            <w:tcW w:w="5400" w:type="dxa"/>
          </w:tcPr>
          <w:p w14:paraId="46CBDA90" w14:textId="77777777" w:rsidR="00D50DE8" w:rsidRPr="00EF7CF9" w:rsidRDefault="00D50DE8" w:rsidP="00F01ED6">
            <w:pPr>
              <w:pStyle w:val="ProductList-OfferingBody"/>
              <w:jc w:val="center"/>
            </w:pPr>
            <w:r>
              <w:t>&lt; 99%</w:t>
            </w:r>
          </w:p>
        </w:tc>
        <w:tc>
          <w:tcPr>
            <w:tcW w:w="5400" w:type="dxa"/>
          </w:tcPr>
          <w:p w14:paraId="158C98F6" w14:textId="77777777" w:rsidR="00D50DE8" w:rsidRPr="00EF7CF9" w:rsidRDefault="00D50DE8" w:rsidP="00F01ED6">
            <w:pPr>
              <w:pStyle w:val="ProductList-OfferingBody"/>
              <w:jc w:val="center"/>
            </w:pPr>
            <w:r>
              <w:t>50%</w:t>
            </w:r>
          </w:p>
        </w:tc>
      </w:tr>
      <w:tr w:rsidR="00D50DE8" w:rsidRPr="00B44CF9" w14:paraId="10A1FC1E" w14:textId="77777777" w:rsidTr="001439A9">
        <w:tc>
          <w:tcPr>
            <w:tcW w:w="5400" w:type="dxa"/>
          </w:tcPr>
          <w:p w14:paraId="792C60FD" w14:textId="77777777" w:rsidR="00D50DE8" w:rsidRPr="00EF7CF9" w:rsidRDefault="00D50DE8" w:rsidP="00F01ED6">
            <w:pPr>
              <w:pStyle w:val="ProductList-OfferingBody"/>
              <w:jc w:val="center"/>
            </w:pPr>
            <w:r>
              <w:t>&lt; 95%</w:t>
            </w:r>
          </w:p>
        </w:tc>
        <w:tc>
          <w:tcPr>
            <w:tcW w:w="5400" w:type="dxa"/>
          </w:tcPr>
          <w:p w14:paraId="3691C0E6" w14:textId="77777777" w:rsidR="00D50DE8" w:rsidRPr="00EF7CF9" w:rsidRDefault="00D50DE8" w:rsidP="00F01ED6">
            <w:pPr>
              <w:pStyle w:val="ProductList-OfferingBody"/>
              <w:jc w:val="center"/>
            </w:pPr>
            <w:r>
              <w:t>100%</w:t>
            </w:r>
          </w:p>
        </w:tc>
      </w:tr>
    </w:tbl>
    <w:p w14:paraId="280CF8D2"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21AB26C" w14:textId="6EFF1606" w:rsidR="00BE2AB2" w:rsidRDefault="00BE2AB2" w:rsidP="00F01ED6">
      <w:pPr>
        <w:pStyle w:val="ProductList-Offering2Heading"/>
        <w:pBdr>
          <w:between w:val="single" w:sz="4" w:space="1" w:color="auto"/>
        </w:pBdr>
        <w:tabs>
          <w:tab w:val="clear" w:pos="360"/>
          <w:tab w:val="clear" w:pos="720"/>
          <w:tab w:val="clear" w:pos="1080"/>
        </w:tabs>
        <w:outlineLvl w:val="2"/>
      </w:pPr>
      <w:bookmarkStart w:id="48" w:name="_Toc239176382"/>
      <w:r>
        <w:t>Dynamics 365 Contact Center</w:t>
      </w:r>
      <w:bookmarkEnd w:id="48"/>
    </w:p>
    <w:p w14:paraId="46059B88" w14:textId="77777777" w:rsidR="00963DD8" w:rsidRPr="008B3B98" w:rsidRDefault="00963DD8" w:rsidP="00963DD8">
      <w:pPr>
        <w:pStyle w:val="ProductList-Body"/>
        <w:rPr>
          <w:rFonts w:ascii="Calibri" w:hAnsi="Calibri" w:cs="Calibri"/>
          <w:color w:val="000000"/>
        </w:rPr>
      </w:pPr>
      <w:r>
        <w:rPr>
          <w:rFonts w:ascii="Calibri" w:hAnsi="Calibri" w:cs="Calibri"/>
          <w:b/>
          <w:bCs/>
          <w:color w:val="00188F"/>
        </w:rPr>
        <w:t>Período de Indisponibilidade</w:t>
      </w:r>
      <w:r>
        <w:rPr>
          <w:rFonts w:ascii="Calibri" w:hAnsi="Calibri" w:cs="Calibri"/>
        </w:rPr>
        <w:t>:</w:t>
      </w:r>
      <w:r>
        <w:rPr>
          <w:rFonts w:ascii="Calibri" w:hAnsi="Calibri" w:cs="Calibri"/>
          <w:color w:val="000000"/>
        </w:rPr>
        <w:t xml:space="preserve"> Qualquer período durante o qual os utilizadores finais não conseguem iniciar ou receber chamadas RTPC ou efetuar comunicações em tempo real (por exemplo, encaminhamento IVR).</w:t>
      </w:r>
    </w:p>
    <w:p w14:paraId="602C9808" w14:textId="77777777" w:rsidR="00963DD8" w:rsidRPr="008B3B98" w:rsidRDefault="00963DD8" w:rsidP="00963DD8">
      <w:pPr>
        <w:pStyle w:val="ProductList-Body"/>
        <w:rPr>
          <w:rFonts w:ascii="Calibri" w:hAnsi="Calibri" w:cs="Calibri"/>
        </w:rPr>
      </w:pPr>
      <w:r>
        <w:rPr>
          <w:rFonts w:ascii="Calibri" w:hAnsi="Calibri" w:cs="Calibri"/>
          <w:b/>
          <w:bCs/>
          <w:color w:val="00188F"/>
        </w:rPr>
        <w:t>Percentagem de Período de Disponibilidade</w:t>
      </w:r>
      <w:r>
        <w:rPr>
          <w:rFonts w:ascii="Calibri" w:hAnsi="Calibri" w:cs="Calibri"/>
        </w:rPr>
        <w:t>: A Percentagem de Período de Disponibilidade é calculada através da seguinte fórmula:</w:t>
      </w:r>
    </w:p>
    <w:p w14:paraId="29D14CC4" w14:textId="77777777" w:rsidR="00963DD8" w:rsidRPr="008F7773" w:rsidRDefault="00963DD8" w:rsidP="00963DD8">
      <w:pPr>
        <w:pStyle w:val="ProductList-Body"/>
      </w:pPr>
    </w:p>
    <w:p w14:paraId="5D7AB738" w14:textId="77777777" w:rsidR="00963DD8" w:rsidRDefault="00000000" w:rsidP="00963DD8">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Minutos de utilizador - período de indisponibilidade </m:t>
              </m:r>
            </m:num>
            <m:den>
              <m:r>
                <w:rPr>
                  <w:rFonts w:ascii="Cambria Math" w:hAnsi="Cambria Math"/>
                  <w:sz w:val="18"/>
                  <w:szCs w:val="18"/>
                </w:rPr>
                <m:t>Minutos de utilizador</m:t>
              </m:r>
            </m:den>
          </m:f>
          <m:r>
            <w:rPr>
              <w:rFonts w:ascii="Cambria Math" w:hAnsi="Cambria Math"/>
              <w:sz w:val="18"/>
              <w:szCs w:val="18"/>
            </w:rPr>
            <m:t xml:space="preserve"> x 100</m:t>
          </m:r>
        </m:oMath>
      </m:oMathPara>
    </w:p>
    <w:p w14:paraId="47D3CC24" w14:textId="77777777" w:rsidR="00963DD8" w:rsidRPr="008B3B98" w:rsidRDefault="00963DD8" w:rsidP="00963DD8">
      <w:pPr>
        <w:pStyle w:val="ProductList-Body"/>
        <w:rPr>
          <w:rFonts w:ascii="Calibri" w:hAnsi="Calibri" w:cs="Calibri"/>
        </w:rPr>
      </w:pPr>
      <w:r>
        <w:rPr>
          <w:rFonts w:ascii="Calibri" w:hAnsi="Calibri" w:cs="Calibri"/>
        </w:rP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 O crédito será pago apenas em relação aos serviços reais que são afetados.</w:t>
      </w:r>
    </w:p>
    <w:p w14:paraId="234B5107" w14:textId="77777777" w:rsidR="00963DD8" w:rsidRPr="008B3B98" w:rsidRDefault="00963DD8" w:rsidP="00963DD8">
      <w:pPr>
        <w:pStyle w:val="ProductList-Body"/>
        <w:rPr>
          <w:rFonts w:ascii="Calibri" w:hAnsi="Calibri" w:cs="Calibri"/>
        </w:rPr>
      </w:pPr>
    </w:p>
    <w:p w14:paraId="1B704C1E" w14:textId="77777777" w:rsidR="00963DD8" w:rsidRPr="008B3B98" w:rsidRDefault="00963DD8" w:rsidP="00963DD8">
      <w:pPr>
        <w:pStyle w:val="ProductList-Body"/>
        <w:rPr>
          <w:rFonts w:ascii="Calibri" w:hAnsi="Calibri" w:cs="Calibri"/>
        </w:rPr>
      </w:pPr>
      <w:r>
        <w:rPr>
          <w:rFonts w:ascii="Calibri" w:hAnsi="Calibri" w:cs="Calibri"/>
        </w:rPr>
        <w:t>Este SLA não inclui o Período de Indisponibilidade Agendado, a indisponibilidade das funcionalidades do suplemento Serviço, a incapacidade de aceder ao Serviço devido a modificações do Serviço pelo Cliente, falhas causada por qualquer falha de software, equipamento ou serviços de terceiros que não sejam controlados pela Microsoft, ou pelo software Microsoft que não esteja a ser executado pela própria Microsoft no âmbito do Serviço.</w:t>
      </w:r>
    </w:p>
    <w:p w14:paraId="3E24D4D2" w14:textId="77777777" w:rsidR="00963DD8" w:rsidRDefault="00963DD8" w:rsidP="00963DD8">
      <w:pPr>
        <w:pStyle w:val="ProductList-Body"/>
      </w:pPr>
    </w:p>
    <w:p w14:paraId="26053F6D" w14:textId="77777777" w:rsidR="00963DD8" w:rsidRPr="003D5054" w:rsidRDefault="00963DD8" w:rsidP="00963DD8">
      <w:pPr>
        <w:pStyle w:val="ProductList-Body"/>
        <w:rPr>
          <w:rFonts w:ascii="Calibri" w:hAnsi="Calibri" w:cs="Calibri"/>
        </w:rPr>
      </w:pPr>
      <w:r>
        <w:rPr>
          <w:rFonts w:ascii="Calibri" w:hAnsi="Calibri" w:cs="Calibri"/>
          <w:b/>
          <w:color w:val="00188F"/>
        </w:rPr>
        <w:t>Crédito de Serviço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63DD8" w:rsidRPr="00B44CF9" w14:paraId="6171C4CE" w14:textId="77777777" w:rsidTr="00CE6437">
        <w:trPr>
          <w:tblHeader/>
        </w:trPr>
        <w:tc>
          <w:tcPr>
            <w:tcW w:w="5400" w:type="dxa"/>
            <w:shd w:val="clear" w:color="auto" w:fill="0072C6"/>
          </w:tcPr>
          <w:p w14:paraId="325F08D9" w14:textId="77777777" w:rsidR="00963DD8" w:rsidRPr="003D5054" w:rsidRDefault="00963DD8"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02E334EB" w14:textId="77777777" w:rsidR="00963DD8" w:rsidRPr="003D5054" w:rsidRDefault="00963DD8"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963DD8" w:rsidRPr="00B44CF9" w14:paraId="195B4AF8" w14:textId="77777777" w:rsidTr="00CE6437">
        <w:tc>
          <w:tcPr>
            <w:tcW w:w="5400" w:type="dxa"/>
          </w:tcPr>
          <w:p w14:paraId="6497FDD5" w14:textId="77777777" w:rsidR="00963DD8" w:rsidRPr="003D5054" w:rsidRDefault="00963DD8"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w:t>
            </w:r>
          </w:p>
        </w:tc>
        <w:tc>
          <w:tcPr>
            <w:tcW w:w="5400" w:type="dxa"/>
          </w:tcPr>
          <w:p w14:paraId="35F1D3E8" w14:textId="77777777" w:rsidR="00963DD8" w:rsidRPr="003D5054" w:rsidRDefault="00963DD8"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963DD8" w:rsidRPr="00B44CF9" w14:paraId="10C33D06" w14:textId="77777777" w:rsidTr="00CE6437">
        <w:tc>
          <w:tcPr>
            <w:tcW w:w="5400" w:type="dxa"/>
          </w:tcPr>
          <w:p w14:paraId="5E57BDD8" w14:textId="77777777" w:rsidR="00963DD8" w:rsidRPr="003D5054" w:rsidRDefault="00963DD8" w:rsidP="00CE6437">
            <w:pPr>
              <w:pStyle w:val="ProductList-OfferingBody"/>
              <w:jc w:val="center"/>
              <w:rPr>
                <w:rFonts w:ascii="Calibri" w:hAnsi="Calibri" w:cs="Calibri"/>
                <w:szCs w:val="16"/>
              </w:rPr>
            </w:pPr>
            <w:r>
              <w:rPr>
                <w:rFonts w:ascii="Calibri" w:hAnsi="Calibri" w:cs="Calibri"/>
                <w:szCs w:val="16"/>
              </w:rPr>
              <w:t>&lt; 99,9%</w:t>
            </w:r>
          </w:p>
        </w:tc>
        <w:tc>
          <w:tcPr>
            <w:tcW w:w="5400" w:type="dxa"/>
          </w:tcPr>
          <w:p w14:paraId="671AF8AF" w14:textId="77777777" w:rsidR="00963DD8" w:rsidRPr="003D5054" w:rsidRDefault="00963DD8" w:rsidP="00CE6437">
            <w:pPr>
              <w:pStyle w:val="ProductList-OfferingBody"/>
              <w:jc w:val="center"/>
              <w:rPr>
                <w:rFonts w:ascii="Calibri" w:hAnsi="Calibri" w:cs="Calibri"/>
                <w:szCs w:val="16"/>
              </w:rPr>
            </w:pPr>
            <w:r>
              <w:rPr>
                <w:rFonts w:ascii="Calibri" w:hAnsi="Calibri" w:cs="Calibri"/>
                <w:szCs w:val="16"/>
              </w:rPr>
              <w:t>25%</w:t>
            </w:r>
          </w:p>
        </w:tc>
      </w:tr>
      <w:tr w:rsidR="00963DD8" w:rsidRPr="00B44CF9" w14:paraId="6B538451" w14:textId="77777777" w:rsidTr="00CE6437">
        <w:tc>
          <w:tcPr>
            <w:tcW w:w="5400" w:type="dxa"/>
          </w:tcPr>
          <w:p w14:paraId="2D08D4CA" w14:textId="77777777" w:rsidR="00963DD8" w:rsidRPr="003D5054" w:rsidRDefault="00963DD8" w:rsidP="00CE6437">
            <w:pPr>
              <w:pStyle w:val="ProductList-OfferingBody"/>
              <w:jc w:val="center"/>
              <w:rPr>
                <w:rFonts w:ascii="Calibri" w:hAnsi="Calibri" w:cs="Calibri"/>
                <w:szCs w:val="16"/>
              </w:rPr>
            </w:pPr>
            <w:r>
              <w:rPr>
                <w:rFonts w:ascii="Calibri" w:hAnsi="Calibri" w:cs="Calibri"/>
                <w:szCs w:val="16"/>
              </w:rPr>
              <w:t>&lt; 99%</w:t>
            </w:r>
          </w:p>
        </w:tc>
        <w:tc>
          <w:tcPr>
            <w:tcW w:w="5400" w:type="dxa"/>
          </w:tcPr>
          <w:p w14:paraId="46D81968" w14:textId="77777777" w:rsidR="00963DD8" w:rsidRPr="003D5054" w:rsidRDefault="00963DD8" w:rsidP="00CE6437">
            <w:pPr>
              <w:pStyle w:val="ProductList-OfferingBody"/>
              <w:jc w:val="center"/>
              <w:rPr>
                <w:rFonts w:ascii="Calibri" w:hAnsi="Calibri" w:cs="Calibri"/>
                <w:szCs w:val="16"/>
              </w:rPr>
            </w:pPr>
            <w:r>
              <w:rPr>
                <w:rFonts w:ascii="Calibri" w:hAnsi="Calibri" w:cs="Calibri"/>
                <w:szCs w:val="16"/>
              </w:rPr>
              <w:t>50%</w:t>
            </w:r>
          </w:p>
        </w:tc>
      </w:tr>
      <w:tr w:rsidR="00963DD8" w:rsidRPr="00B44CF9" w14:paraId="644C89B5" w14:textId="77777777" w:rsidTr="00CE6437">
        <w:tc>
          <w:tcPr>
            <w:tcW w:w="5400" w:type="dxa"/>
          </w:tcPr>
          <w:p w14:paraId="7E0819F3" w14:textId="77777777" w:rsidR="00963DD8" w:rsidRPr="003D5054" w:rsidRDefault="00963DD8" w:rsidP="00CE6437">
            <w:pPr>
              <w:pStyle w:val="ProductList-OfferingBody"/>
              <w:jc w:val="center"/>
              <w:rPr>
                <w:rFonts w:ascii="Calibri" w:hAnsi="Calibri" w:cs="Calibri"/>
                <w:szCs w:val="16"/>
              </w:rPr>
            </w:pPr>
            <w:r>
              <w:rPr>
                <w:rFonts w:ascii="Calibri" w:hAnsi="Calibri" w:cs="Calibri"/>
                <w:szCs w:val="16"/>
              </w:rPr>
              <w:t>&lt; 95%</w:t>
            </w:r>
          </w:p>
        </w:tc>
        <w:tc>
          <w:tcPr>
            <w:tcW w:w="5400" w:type="dxa"/>
          </w:tcPr>
          <w:p w14:paraId="17D8694E" w14:textId="77777777" w:rsidR="00963DD8" w:rsidRPr="003D5054" w:rsidRDefault="00963DD8" w:rsidP="00CE6437">
            <w:pPr>
              <w:pStyle w:val="ProductList-OfferingBody"/>
              <w:jc w:val="center"/>
              <w:rPr>
                <w:rFonts w:ascii="Calibri" w:hAnsi="Calibri" w:cs="Calibri"/>
                <w:szCs w:val="16"/>
              </w:rPr>
            </w:pPr>
            <w:r>
              <w:rPr>
                <w:rFonts w:ascii="Calibri" w:hAnsi="Calibri" w:cs="Calibri"/>
                <w:szCs w:val="16"/>
              </w:rPr>
              <w:t>100%</w:t>
            </w:r>
          </w:p>
        </w:tc>
      </w:tr>
    </w:tbl>
    <w:p w14:paraId="5DD72DC4" w14:textId="77777777" w:rsidR="00963DD8" w:rsidRPr="00EF7CF9" w:rsidRDefault="00963DD8" w:rsidP="00963DD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667EA19" w14:textId="1639CA83" w:rsidR="00D50DE8" w:rsidRDefault="00D50DE8" w:rsidP="00F01ED6">
      <w:pPr>
        <w:pStyle w:val="ProductList-Offering2Heading"/>
        <w:pBdr>
          <w:between w:val="single" w:sz="4" w:space="1" w:color="auto"/>
        </w:pBdr>
        <w:tabs>
          <w:tab w:val="clear" w:pos="360"/>
          <w:tab w:val="clear" w:pos="720"/>
          <w:tab w:val="clear" w:pos="1080"/>
        </w:tabs>
        <w:outlineLvl w:val="2"/>
      </w:pPr>
      <w:bookmarkStart w:id="49" w:name="_Toc239176383"/>
      <w:r>
        <w:t>Dynamics 365 Customer Insights</w:t>
      </w:r>
      <w:bookmarkEnd w:id="49"/>
    </w:p>
    <w:p w14:paraId="0B8CB214" w14:textId="77777777" w:rsidR="00D50DE8" w:rsidRDefault="00D50DE8" w:rsidP="00F01ED6">
      <w:pPr>
        <w:pStyle w:val="ProductList-Body"/>
        <w:rPr>
          <w:color w:val="000000"/>
        </w:rPr>
      </w:pPr>
      <w:r>
        <w:rPr>
          <w:b/>
          <w:bCs/>
          <w:color w:val="00188F"/>
        </w:rPr>
        <w:t>Período de Indisponibilidade</w:t>
      </w:r>
      <w:r w:rsidRPr="00473DD3">
        <w:rPr>
          <w:b/>
          <w:bCs/>
          <w:color w:val="00188F"/>
        </w:rPr>
        <w:t>:</w:t>
      </w:r>
      <w:r>
        <w:rPr>
          <w:color w:val="000000"/>
        </w:rPr>
        <w:t xml:space="preserve"> Qualquer período em que os utilizadores finais não conseguem iniciar sessão no respetivo ambiente. O Período de Indisponibilidade não inclui a Indisponibilidade Agendada, a indisponibilidade das funcionalidades dos suplementos do Serviço ou a incapacidade de aceder ao Serviço devido a modificações efetuadas ao Serviço.</w:t>
      </w:r>
    </w:p>
    <w:p w14:paraId="02AC3C64" w14:textId="46F2E2F7" w:rsidR="00D50DE8" w:rsidRDefault="00AC48A7" w:rsidP="00F01ED6">
      <w:pPr>
        <w:pStyle w:val="ProductList-Body"/>
        <w:rPr>
          <w:sz w:val="20"/>
          <w:szCs w:val="20"/>
        </w:rPr>
      </w:pPr>
      <w:r>
        <w:rPr>
          <w:b/>
          <w:bCs/>
          <w:color w:val="00188F"/>
        </w:rPr>
        <w:t>Percentagem de Período de Disponibilidade</w:t>
      </w:r>
      <w:r w:rsidRPr="00473DD3">
        <w:rPr>
          <w:b/>
          <w:bCs/>
          <w:color w:val="00188F"/>
        </w:rPr>
        <w:t>:</w:t>
      </w:r>
      <w:r>
        <w:t xml:space="preserve"> A Percentagem de Período de Disponibilidade é calculada através da seguinte fórmula:</w:t>
      </w:r>
    </w:p>
    <w:p w14:paraId="249570DE" w14:textId="77777777" w:rsidR="00D50DE8" w:rsidRDefault="00D50DE8" w:rsidP="00F01ED6">
      <w:pPr>
        <w:pStyle w:val="ProductList-Body"/>
      </w:pPr>
    </w:p>
    <w:p w14:paraId="1417B265" w14:textId="0B0494E4" w:rsidR="00D50DE8"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2A885151" w14:textId="4AA94CCB" w:rsidR="00D50DE8" w:rsidRDefault="00AC48A7" w:rsidP="00F01ED6">
      <w:pPr>
        <w:pStyle w:val="ProductList-Body"/>
      </w:pPr>
      <w:r>
        <w:t>em que o Período de Indisponibilidade é calculado em minutos de utilizador, ou seja, para cada Período Aplicável, o Período de Indisponibilidade é</w:t>
      </w:r>
      <w:r w:rsidR="001D4B6B">
        <w:t> </w:t>
      </w:r>
      <w:r>
        <w:t>a soma da duração (em minutos) de cada Incidente que ocorre durante o Período Aplicável multiplicada pelo número de utilizadores afetados por</w:t>
      </w:r>
      <w:r w:rsidR="001D4B6B">
        <w:t> </w:t>
      </w:r>
      <w:r>
        <w:t>esse Incidente.</w:t>
      </w:r>
    </w:p>
    <w:p w14:paraId="4AA46C83" w14:textId="77777777" w:rsidR="00D50DE8" w:rsidRDefault="00D50DE8" w:rsidP="00F01ED6">
      <w:pPr>
        <w:pStyle w:val="ProductList-Body"/>
      </w:pPr>
    </w:p>
    <w:p w14:paraId="20E3C07F" w14:textId="77777777" w:rsidR="00D50DE8" w:rsidRPr="00EF7CF9" w:rsidRDefault="00D50DE8"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765D502" w14:textId="77777777" w:rsidR="00D50DE8" w:rsidRPr="00EF7CF9" w:rsidRDefault="00D50DE8" w:rsidP="00F01ED6">
            <w:pPr>
              <w:pStyle w:val="ProductList-OfferingBody"/>
              <w:jc w:val="center"/>
              <w:rPr>
                <w:color w:val="FFFFFF" w:themeColor="background1"/>
              </w:rPr>
            </w:pPr>
            <w:r>
              <w:rPr>
                <w:color w:val="FFFFFF" w:themeColor="background1"/>
              </w:rPr>
              <w:t>Crédito de Serviço</w:t>
            </w:r>
          </w:p>
        </w:tc>
      </w:tr>
      <w:tr w:rsidR="00D50DE8" w:rsidRPr="00B44CF9" w14:paraId="080E24AE" w14:textId="77777777" w:rsidTr="001439A9">
        <w:tc>
          <w:tcPr>
            <w:tcW w:w="5400" w:type="dxa"/>
          </w:tcPr>
          <w:p w14:paraId="2FD01D27" w14:textId="77777777" w:rsidR="00D50DE8" w:rsidRPr="00EF7CF9" w:rsidRDefault="00D50DE8" w:rsidP="00F01ED6">
            <w:pPr>
              <w:pStyle w:val="ProductList-OfferingBody"/>
              <w:jc w:val="center"/>
            </w:pPr>
            <w:r>
              <w:t>&lt; 99,9%</w:t>
            </w:r>
          </w:p>
        </w:tc>
        <w:tc>
          <w:tcPr>
            <w:tcW w:w="5400" w:type="dxa"/>
          </w:tcPr>
          <w:p w14:paraId="5DFB2D85" w14:textId="77777777" w:rsidR="00D50DE8" w:rsidRPr="00EF7CF9" w:rsidRDefault="00D50DE8" w:rsidP="00F01ED6">
            <w:pPr>
              <w:pStyle w:val="ProductList-OfferingBody"/>
              <w:jc w:val="center"/>
            </w:pPr>
            <w:r>
              <w:t>25%</w:t>
            </w:r>
          </w:p>
        </w:tc>
      </w:tr>
      <w:tr w:rsidR="00D50DE8" w:rsidRPr="00B44CF9" w14:paraId="5755DAE9" w14:textId="77777777" w:rsidTr="001439A9">
        <w:tc>
          <w:tcPr>
            <w:tcW w:w="5400" w:type="dxa"/>
          </w:tcPr>
          <w:p w14:paraId="21A1E720" w14:textId="77777777" w:rsidR="00D50DE8" w:rsidRPr="00EF7CF9" w:rsidRDefault="00D50DE8" w:rsidP="00F01ED6">
            <w:pPr>
              <w:pStyle w:val="ProductList-OfferingBody"/>
              <w:jc w:val="center"/>
            </w:pPr>
            <w:r>
              <w:t>&lt; 99%</w:t>
            </w:r>
          </w:p>
        </w:tc>
        <w:tc>
          <w:tcPr>
            <w:tcW w:w="5400" w:type="dxa"/>
          </w:tcPr>
          <w:p w14:paraId="5B2C8E24" w14:textId="77777777" w:rsidR="00D50DE8" w:rsidRPr="00EF7CF9" w:rsidRDefault="00D50DE8" w:rsidP="00F01ED6">
            <w:pPr>
              <w:pStyle w:val="ProductList-OfferingBody"/>
              <w:jc w:val="center"/>
            </w:pPr>
            <w:r>
              <w:t>50%</w:t>
            </w:r>
          </w:p>
        </w:tc>
      </w:tr>
      <w:tr w:rsidR="00D50DE8" w:rsidRPr="00B44CF9" w14:paraId="22BC0C6A" w14:textId="77777777" w:rsidTr="001439A9">
        <w:tc>
          <w:tcPr>
            <w:tcW w:w="5400" w:type="dxa"/>
          </w:tcPr>
          <w:p w14:paraId="13BC02B3" w14:textId="77777777" w:rsidR="00D50DE8" w:rsidRPr="00EF7CF9" w:rsidRDefault="00D50DE8" w:rsidP="00F01ED6">
            <w:pPr>
              <w:pStyle w:val="ProductList-OfferingBody"/>
              <w:jc w:val="center"/>
            </w:pPr>
            <w:r>
              <w:t>&lt; 95%</w:t>
            </w:r>
          </w:p>
        </w:tc>
        <w:tc>
          <w:tcPr>
            <w:tcW w:w="5400" w:type="dxa"/>
          </w:tcPr>
          <w:p w14:paraId="2EC04FA4" w14:textId="77777777" w:rsidR="00D50DE8" w:rsidRPr="00EF7CF9" w:rsidRDefault="00D50DE8" w:rsidP="00F01ED6">
            <w:pPr>
              <w:pStyle w:val="ProductList-OfferingBody"/>
              <w:jc w:val="center"/>
            </w:pPr>
            <w:r>
              <w:t>100%</w:t>
            </w:r>
          </w:p>
        </w:tc>
      </w:tr>
    </w:tbl>
    <w:p w14:paraId="1617120E"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A2503BF" w14:textId="2E9FA398" w:rsidR="00EA5FB1" w:rsidRPr="006F3CBD" w:rsidRDefault="00EA5FB1" w:rsidP="00F01ED6">
      <w:pPr>
        <w:pStyle w:val="ProductList-Offering2Heading"/>
        <w:pBdr>
          <w:between w:val="single" w:sz="4" w:space="1" w:color="auto"/>
        </w:pBdr>
        <w:tabs>
          <w:tab w:val="clear" w:pos="360"/>
          <w:tab w:val="clear" w:pos="720"/>
          <w:tab w:val="clear" w:pos="1080"/>
        </w:tabs>
        <w:outlineLvl w:val="2"/>
        <w:rPr>
          <w:lang w:val="en-IN"/>
        </w:rPr>
      </w:pPr>
      <w:bookmarkStart w:id="50" w:name="_Toc239176384"/>
      <w:r w:rsidRPr="006F3CBD">
        <w:rPr>
          <w:lang w:val="en-IN"/>
        </w:rPr>
        <w:t>Dynamics 365 Customer Service Enterprise; Dynamics 365 Customer Service Professional</w:t>
      </w:r>
      <w:bookmarkEnd w:id="42"/>
      <w:r w:rsidRPr="006F3CBD">
        <w:rPr>
          <w:lang w:val="en-IN"/>
        </w:rPr>
        <w:t>; Dynamics 365 Customer Service Insights</w:t>
      </w:r>
      <w:bookmarkEnd w:id="43"/>
      <w:bookmarkEnd w:id="44"/>
      <w:r w:rsidRPr="006F3CBD">
        <w:rPr>
          <w:lang w:val="en-IN"/>
        </w:rPr>
        <w:t>; Dynamics 365 Field Service</w:t>
      </w:r>
      <w:bookmarkStart w:id="51" w:name="_Hlk51044693"/>
      <w:r w:rsidRPr="006F3CBD">
        <w:rPr>
          <w:lang w:val="en-IN"/>
        </w:rPr>
        <w:t xml:space="preserve">; </w:t>
      </w:r>
      <w:bookmarkStart w:id="52" w:name="_Hlk51044489"/>
      <w:r w:rsidRPr="006F3CBD">
        <w:rPr>
          <w:lang w:val="en-IN"/>
        </w:rPr>
        <w:t>Dynamics 365 Marketing</w:t>
      </w:r>
      <w:bookmarkEnd w:id="50"/>
      <w:bookmarkEnd w:id="51"/>
      <w:bookmarkEnd w:id="52"/>
    </w:p>
    <w:p w14:paraId="6CD0EAC6" w14:textId="6A97FABA" w:rsidR="001C41EA" w:rsidRPr="00EF7CF9" w:rsidRDefault="001C41EA" w:rsidP="00F01ED6">
      <w:pPr>
        <w:pStyle w:val="ProductList-Body"/>
      </w:pPr>
      <w:r>
        <w:rPr>
          <w:b/>
          <w:color w:val="00188F"/>
        </w:rPr>
        <w:t>Período de Indisponibilidade</w:t>
      </w:r>
      <w:r w:rsidRPr="00473DD3">
        <w:rPr>
          <w:b/>
          <w:color w:val="00188F"/>
        </w:rPr>
        <w:t>:</w:t>
      </w:r>
      <w:r>
        <w:t xml:space="preserve"> Qualquer período de tempo durante o qual os utilizadores finais não conseguem ler ou escrever quaisquer dados de</w:t>
      </w:r>
      <w:r w:rsidR="0066099B">
        <w:t> </w:t>
      </w:r>
      <w:r>
        <w:t>Serviços para os quais têm a permissão adequada mas não está incluída a indisponibilidade das funcionalidades dos suplementos do Serviço.</w:t>
      </w:r>
    </w:p>
    <w:p w14:paraId="25CB9B8D" w14:textId="1317DA15" w:rsidR="001C41EA"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8FCA426" w14:textId="77777777" w:rsidR="001A6663" w:rsidRPr="00EF7CF9" w:rsidRDefault="001A6663" w:rsidP="00F01ED6">
      <w:pPr>
        <w:pStyle w:val="ProductList-Body"/>
      </w:pPr>
    </w:p>
    <w:p w14:paraId="0F1B402D" w14:textId="3BC29CBD" w:rsidR="001C41EA"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2379AA8F" w14:textId="58E2D654" w:rsidR="001C41EA" w:rsidRPr="00EF7CF9" w:rsidRDefault="00AC48A7" w:rsidP="00F01ED6">
      <w:pPr>
        <w:pStyle w:val="ProductList-Body"/>
      </w:pPr>
      <w:r>
        <w:t>em que o Período de Indisponibilidade é calculado em minutos de utilizador, ou seja, para cada Período Aplicável, o Período de Indisponibilidade é</w:t>
      </w:r>
      <w:r w:rsidR="001D4B6B">
        <w:t> </w:t>
      </w:r>
      <w:r>
        <w:t>a soma da duração (em minutos) de cada Incidente que ocorre durante o Período Aplicável multiplicada pelo número de utilizadores afetados por</w:t>
      </w:r>
      <w:r w:rsidR="001D4B6B">
        <w:t> </w:t>
      </w:r>
      <w:r>
        <w:t>esse Incidente.</w:t>
      </w:r>
    </w:p>
    <w:p w14:paraId="0D90E9DF" w14:textId="77777777" w:rsidR="001C41EA" w:rsidRPr="00EF7CF9" w:rsidRDefault="001C41EA" w:rsidP="00F01ED6">
      <w:pPr>
        <w:pStyle w:val="ProductList-Body"/>
      </w:pPr>
    </w:p>
    <w:p w14:paraId="0B68D327" w14:textId="77777777" w:rsidR="001C41EA" w:rsidRPr="00EF7CF9" w:rsidRDefault="001C41EA"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628C62A" w14:textId="77777777" w:rsidR="001C41EA" w:rsidRPr="00EF7CF9" w:rsidRDefault="001C41EA" w:rsidP="00F01ED6">
            <w:pPr>
              <w:pStyle w:val="ProductList-OfferingBody"/>
              <w:jc w:val="center"/>
              <w:rPr>
                <w:color w:val="FFFFFF" w:themeColor="background1"/>
              </w:rPr>
            </w:pPr>
            <w:r>
              <w:rPr>
                <w:color w:val="FFFFFF" w:themeColor="background1"/>
              </w:rPr>
              <w:t>Crédito de Serviço</w:t>
            </w:r>
          </w:p>
        </w:tc>
      </w:tr>
      <w:tr w:rsidR="001C41EA" w:rsidRPr="00B44CF9" w14:paraId="7E0BF99F" w14:textId="77777777" w:rsidTr="009A32C6">
        <w:tc>
          <w:tcPr>
            <w:tcW w:w="5400" w:type="dxa"/>
          </w:tcPr>
          <w:p w14:paraId="66F306F1" w14:textId="77777777" w:rsidR="001C41EA" w:rsidRPr="00EF7CF9" w:rsidRDefault="001C41EA" w:rsidP="00F01ED6">
            <w:pPr>
              <w:pStyle w:val="ProductList-OfferingBody"/>
              <w:jc w:val="center"/>
            </w:pPr>
            <w:r>
              <w:t>&lt; 99,9%</w:t>
            </w:r>
          </w:p>
        </w:tc>
        <w:tc>
          <w:tcPr>
            <w:tcW w:w="5400" w:type="dxa"/>
          </w:tcPr>
          <w:p w14:paraId="145E3B0C" w14:textId="77777777" w:rsidR="001C41EA" w:rsidRPr="00EF7CF9" w:rsidRDefault="001C41EA" w:rsidP="00F01ED6">
            <w:pPr>
              <w:pStyle w:val="ProductList-OfferingBody"/>
              <w:jc w:val="center"/>
            </w:pPr>
            <w:r>
              <w:t>25%</w:t>
            </w:r>
          </w:p>
        </w:tc>
      </w:tr>
      <w:tr w:rsidR="001C41EA" w:rsidRPr="00B44CF9" w14:paraId="5C54F2B8" w14:textId="77777777" w:rsidTr="009A32C6">
        <w:tc>
          <w:tcPr>
            <w:tcW w:w="5400" w:type="dxa"/>
          </w:tcPr>
          <w:p w14:paraId="2C7446CB" w14:textId="77777777" w:rsidR="001C41EA" w:rsidRPr="00EF7CF9" w:rsidRDefault="001C41EA" w:rsidP="00F01ED6">
            <w:pPr>
              <w:pStyle w:val="ProductList-OfferingBody"/>
              <w:jc w:val="center"/>
            </w:pPr>
            <w:r>
              <w:t>&lt; 99%</w:t>
            </w:r>
          </w:p>
        </w:tc>
        <w:tc>
          <w:tcPr>
            <w:tcW w:w="5400" w:type="dxa"/>
          </w:tcPr>
          <w:p w14:paraId="03CCA14E" w14:textId="77777777" w:rsidR="001C41EA" w:rsidRPr="00EF7CF9" w:rsidRDefault="001C41EA" w:rsidP="00F01ED6">
            <w:pPr>
              <w:pStyle w:val="ProductList-OfferingBody"/>
              <w:jc w:val="center"/>
            </w:pPr>
            <w:r>
              <w:t>50%</w:t>
            </w:r>
          </w:p>
        </w:tc>
      </w:tr>
      <w:tr w:rsidR="001C41EA" w:rsidRPr="00B44CF9" w14:paraId="13270020" w14:textId="77777777" w:rsidTr="009A32C6">
        <w:tc>
          <w:tcPr>
            <w:tcW w:w="5400" w:type="dxa"/>
          </w:tcPr>
          <w:p w14:paraId="41F05E53" w14:textId="77777777" w:rsidR="001C41EA" w:rsidRPr="00EF7CF9" w:rsidRDefault="001C41EA" w:rsidP="00F01ED6">
            <w:pPr>
              <w:pStyle w:val="ProductList-OfferingBody"/>
              <w:jc w:val="center"/>
            </w:pPr>
            <w:r>
              <w:t>&lt; 95%</w:t>
            </w:r>
          </w:p>
        </w:tc>
        <w:tc>
          <w:tcPr>
            <w:tcW w:w="5400" w:type="dxa"/>
          </w:tcPr>
          <w:p w14:paraId="3D5F7C0E" w14:textId="77777777" w:rsidR="001C41EA" w:rsidRPr="00EF7CF9" w:rsidRDefault="001C41EA" w:rsidP="00F01ED6">
            <w:pPr>
              <w:pStyle w:val="ProductList-OfferingBody"/>
              <w:jc w:val="center"/>
            </w:pPr>
            <w:r>
              <w:t>100%</w:t>
            </w:r>
          </w:p>
        </w:tc>
      </w:tr>
    </w:tbl>
    <w:bookmarkStart w:id="53" w:name="_Toc24376584"/>
    <w:bookmarkStart w:id="54" w:name="MicrosoftDynamics365forFianceandOps"/>
    <w:p w14:paraId="1C19B5EF"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B44A48B" w14:textId="723F27C9" w:rsidR="005D2062" w:rsidRDefault="005D2062" w:rsidP="00F01ED6">
      <w:pPr>
        <w:pStyle w:val="ProductList-Offering2Heading"/>
        <w:pBdr>
          <w:between w:val="single" w:sz="4" w:space="1" w:color="auto"/>
        </w:pBdr>
        <w:tabs>
          <w:tab w:val="clear" w:pos="360"/>
          <w:tab w:val="clear" w:pos="720"/>
          <w:tab w:val="clear" w:pos="1080"/>
        </w:tabs>
        <w:outlineLvl w:val="2"/>
      </w:pPr>
      <w:bookmarkStart w:id="55" w:name="_Toc239176385"/>
      <w:bookmarkEnd w:id="53"/>
      <w:r>
        <w:t>Guias do Dynamics 365</w:t>
      </w:r>
      <w:bookmarkEnd w:id="55"/>
    </w:p>
    <w:p w14:paraId="73695421" w14:textId="77777777" w:rsidR="005D2062" w:rsidRDefault="005D2062" w:rsidP="00F01ED6">
      <w:pPr>
        <w:pStyle w:val="ProductList-Body"/>
      </w:pPr>
      <w:r>
        <w:rPr>
          <w:b/>
          <w:color w:val="00188F"/>
        </w:rPr>
        <w:t>Definições Adicionais</w:t>
      </w:r>
      <w:r w:rsidRPr="00473DD3">
        <w:rPr>
          <w:b/>
          <w:color w:val="00188F"/>
        </w:rPr>
        <w:t>:</w:t>
      </w:r>
    </w:p>
    <w:p w14:paraId="6290D355" w14:textId="75B66A9E" w:rsidR="00053629" w:rsidRDefault="00053629" w:rsidP="00F01ED6">
      <w:pPr>
        <w:pStyle w:val="ProductList-Body"/>
      </w:pPr>
      <w:r>
        <w:rPr>
          <w:b/>
          <w:color w:val="00188F"/>
        </w:rPr>
        <w:t>Período de Indisponibilidade</w:t>
      </w:r>
      <w:r w:rsidRPr="00473DD3">
        <w:rPr>
          <w:b/>
          <w:color w:val="00188F"/>
        </w:rPr>
        <w:t>:</w:t>
      </w:r>
      <w:r>
        <w:t xml:space="preserve"> Qualquer período de tempo durante o qual o utilizador final não consegue ler ou escrever quaisquer dados de</w:t>
      </w:r>
      <w:r w:rsidR="00780493">
        <w:t> </w:t>
      </w:r>
      <w:r>
        <w:t>Serviços para os quais tem a permissão adequada. Qualquer período de tempo durante o qual os utilizadores finais não conseguem iniciar ou</w:t>
      </w:r>
      <w:r w:rsidR="00780493">
        <w:t> </w:t>
      </w:r>
      <w:r>
        <w:t>participar em chamadas.</w:t>
      </w:r>
    </w:p>
    <w:p w14:paraId="4E0FB4C9" w14:textId="279EE74A" w:rsidR="0005362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61BB76C9" w14:textId="77777777" w:rsidR="00EF1A8C" w:rsidRPr="00EF7CF9" w:rsidRDefault="00EF1A8C" w:rsidP="00F01ED6">
      <w:pPr>
        <w:pStyle w:val="ProductList-Body"/>
      </w:pPr>
    </w:p>
    <w:p w14:paraId="6FC8E398" w14:textId="609004DA" w:rsidR="00EF1A8C"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64C7B4AE" w14:textId="4F690C0B" w:rsidR="00363902" w:rsidRDefault="00AC48A7" w:rsidP="00F01ED6">
      <w:pPr>
        <w:pStyle w:val="ProductList-Body"/>
      </w:pPr>
      <w:r>
        <w:t>em que o Período de Indisponibilidade é calculado em minutos de utilizador, ou seja, para cada Período Aplicável, o Período de Indisponibilidade é</w:t>
      </w:r>
      <w:r w:rsidR="001D4B6B">
        <w:t> </w:t>
      </w:r>
      <w:r>
        <w:t>a soma da duração (em minutos) de cada Incidente que ocorre durante o Período Aplicável multiplicada pelo número de utilizadores afetados por</w:t>
      </w:r>
      <w:r w:rsidR="001D4B6B">
        <w:t> </w:t>
      </w:r>
      <w:r>
        <w:t>esse Incidente.</w:t>
      </w:r>
    </w:p>
    <w:p w14:paraId="372FC373" w14:textId="77777777" w:rsidR="00363902" w:rsidRPr="00122CF3" w:rsidRDefault="00363902" w:rsidP="00F01ED6">
      <w:pPr>
        <w:pStyle w:val="ProductList-Body"/>
      </w:pPr>
    </w:p>
    <w:p w14:paraId="5C6B69ED" w14:textId="77777777" w:rsidR="00363902" w:rsidRDefault="00363902" w:rsidP="00F01ED6">
      <w:pPr>
        <w:pStyle w:val="ProductList-Body"/>
      </w:pPr>
      <w:r>
        <w:t>* O Período de Indisponibilidade não inclui o Período de Indisponibilidade Agendado.</w:t>
      </w:r>
    </w:p>
    <w:p w14:paraId="15EBF827" w14:textId="77777777" w:rsidR="00363902" w:rsidRPr="00363902" w:rsidRDefault="00363902" w:rsidP="00F01ED6">
      <w:pPr>
        <w:pStyle w:val="ProductList-Body"/>
      </w:pPr>
    </w:p>
    <w:p w14:paraId="1FCB8676" w14:textId="77777777" w:rsidR="00363902" w:rsidRPr="00122CF3" w:rsidRDefault="00363902" w:rsidP="00F01ED6">
      <w:pPr>
        <w:pStyle w:val="ProductList-Body"/>
        <w:rPr>
          <w:b/>
          <w:color w:val="00188F"/>
        </w:rPr>
      </w:pPr>
      <w:r>
        <w:rPr>
          <w:b/>
          <w:color w:val="00188F"/>
        </w:rPr>
        <w:t>Crédito de Serviço:</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F01ED6">
            <w:pPr>
              <w:pStyle w:val="ProductList-OfferingBody"/>
              <w:jc w:val="center"/>
              <w:rPr>
                <w:color w:val="FFFFFF" w:themeColor="background1"/>
              </w:rPr>
            </w:pPr>
            <w:r>
              <w:rPr>
                <w:color w:val="FFFFFF" w:themeColor="background1"/>
              </w:rPr>
              <w:t>Percentagem de Período de Disponibilidade</w:t>
            </w:r>
          </w:p>
        </w:tc>
        <w:tc>
          <w:tcPr>
            <w:tcW w:w="5398" w:type="dxa"/>
            <w:shd w:val="clear" w:color="auto" w:fill="0072C6"/>
          </w:tcPr>
          <w:p w14:paraId="2C46FC2D" w14:textId="77777777" w:rsidR="00363902" w:rsidRPr="00363902" w:rsidRDefault="00363902" w:rsidP="00F01ED6">
            <w:pPr>
              <w:pStyle w:val="ProductList-OfferingBody"/>
              <w:jc w:val="center"/>
              <w:rPr>
                <w:color w:val="FFFFFF" w:themeColor="background1"/>
              </w:rPr>
            </w:pPr>
            <w:r>
              <w:rPr>
                <w:color w:val="FFFFFF" w:themeColor="background1"/>
              </w:rPr>
              <w:t>Crédito de Serviço</w:t>
            </w:r>
          </w:p>
        </w:tc>
      </w:tr>
      <w:tr w:rsidR="00363902" w:rsidRPr="004A3F60" w14:paraId="009518F2" w14:textId="77777777" w:rsidTr="00122CF3">
        <w:tc>
          <w:tcPr>
            <w:tcW w:w="5397" w:type="dxa"/>
          </w:tcPr>
          <w:p w14:paraId="04B04EFB" w14:textId="77777777" w:rsidR="00363902" w:rsidRPr="00363902" w:rsidRDefault="00363902" w:rsidP="00F01ED6">
            <w:pPr>
              <w:pStyle w:val="ProductList-OfferingBody"/>
              <w:jc w:val="center"/>
            </w:pPr>
            <w:r>
              <w:t>&lt; 99,5%</w:t>
            </w:r>
          </w:p>
        </w:tc>
        <w:tc>
          <w:tcPr>
            <w:tcW w:w="5398" w:type="dxa"/>
          </w:tcPr>
          <w:p w14:paraId="7AD2B5CB" w14:textId="77777777" w:rsidR="00363902" w:rsidRPr="00363902" w:rsidRDefault="00363902" w:rsidP="00F01ED6">
            <w:pPr>
              <w:pStyle w:val="ProductList-OfferingBody"/>
              <w:jc w:val="center"/>
            </w:pPr>
            <w:r>
              <w:t>25%</w:t>
            </w:r>
          </w:p>
        </w:tc>
      </w:tr>
      <w:tr w:rsidR="00363902" w:rsidRPr="004A3F60" w14:paraId="63E659BF" w14:textId="77777777" w:rsidTr="00122CF3">
        <w:tc>
          <w:tcPr>
            <w:tcW w:w="5397" w:type="dxa"/>
          </w:tcPr>
          <w:p w14:paraId="72EABA7A" w14:textId="77777777" w:rsidR="00363902" w:rsidRPr="00363902" w:rsidRDefault="00363902" w:rsidP="00F01ED6">
            <w:pPr>
              <w:pStyle w:val="ProductList-OfferingBody"/>
              <w:jc w:val="center"/>
            </w:pPr>
            <w:r>
              <w:t>&lt; 99%</w:t>
            </w:r>
          </w:p>
        </w:tc>
        <w:tc>
          <w:tcPr>
            <w:tcW w:w="5398" w:type="dxa"/>
          </w:tcPr>
          <w:p w14:paraId="3200CDDD" w14:textId="77777777" w:rsidR="00363902" w:rsidRPr="00363902" w:rsidRDefault="00363902" w:rsidP="00F01ED6">
            <w:pPr>
              <w:pStyle w:val="ProductList-OfferingBody"/>
              <w:jc w:val="center"/>
            </w:pPr>
            <w:r>
              <w:t>50%</w:t>
            </w:r>
          </w:p>
        </w:tc>
      </w:tr>
    </w:tbl>
    <w:p w14:paraId="79616C67"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0DD4CDC2" w14:textId="77777777" w:rsidR="00D50DE8" w:rsidRDefault="00D50DE8" w:rsidP="00F01ED6">
      <w:pPr>
        <w:pStyle w:val="ProductList-Offering2Heading"/>
        <w:pBdr>
          <w:between w:val="single" w:sz="4" w:space="1" w:color="auto"/>
        </w:pBdr>
        <w:tabs>
          <w:tab w:val="clear" w:pos="360"/>
          <w:tab w:val="clear" w:pos="720"/>
          <w:tab w:val="clear" w:pos="1080"/>
        </w:tabs>
        <w:outlineLvl w:val="2"/>
      </w:pPr>
      <w:bookmarkStart w:id="56" w:name="_Toc239176386"/>
      <w:r>
        <w:t>Dynamics 365 Human Resources</w:t>
      </w:r>
      <w:bookmarkEnd w:id="56"/>
    </w:p>
    <w:p w14:paraId="37E650DD" w14:textId="77777777" w:rsidR="00D50DE8" w:rsidRPr="00EF7CF9" w:rsidRDefault="00D50DE8" w:rsidP="00F01ED6">
      <w:pPr>
        <w:pStyle w:val="ProductList-Body"/>
        <w:rPr>
          <w:b/>
          <w:color w:val="00188F"/>
        </w:rPr>
      </w:pPr>
      <w:r>
        <w:rPr>
          <w:b/>
          <w:color w:val="00188F"/>
        </w:rPr>
        <w:t>Definições Adicionais</w:t>
      </w:r>
      <w:r w:rsidRPr="00473DD3">
        <w:rPr>
          <w:b/>
          <w:color w:val="00188F"/>
        </w:rPr>
        <w:t>:</w:t>
      </w:r>
    </w:p>
    <w:p w14:paraId="19B90069" w14:textId="3AC193DC" w:rsidR="00D50DE8" w:rsidRPr="00EF7CF9" w:rsidRDefault="00380305" w:rsidP="00F01ED6">
      <w:pPr>
        <w:pStyle w:val="ProductList-Body"/>
      </w:pPr>
      <w:r>
        <w:t>“</w:t>
      </w:r>
      <w:r w:rsidR="00D50DE8">
        <w:rPr>
          <w:b/>
          <w:color w:val="00188F"/>
        </w:rPr>
        <w:t>Inquilino Ativo</w:t>
      </w:r>
      <w:r>
        <w:t>”</w:t>
      </w:r>
      <w:r w:rsidR="00D50DE8">
        <w:t xml:space="preserve"> designa um inquilino com uma topologia de produção de elevada disponibilidade ativa no Portal de Gestão que tem uma base de</w:t>
      </w:r>
      <w:r w:rsidR="00E6633A">
        <w:t> </w:t>
      </w:r>
      <w:r w:rsidR="00D50DE8">
        <w:t>dados ativa onde os utilizadores podem iniciar sessão.</w:t>
      </w:r>
    </w:p>
    <w:p w14:paraId="74A6F342" w14:textId="7FD9E833" w:rsidR="00D50DE8" w:rsidRPr="00EF7CF9" w:rsidRDefault="00D50DE8" w:rsidP="00F01ED6">
      <w:pPr>
        <w:pStyle w:val="ProductList-Body"/>
      </w:pPr>
      <w:r>
        <w:rPr>
          <w:b/>
          <w:color w:val="00188F"/>
        </w:rPr>
        <w:t>Período de Indisponibilidade</w:t>
      </w:r>
      <w:r w:rsidRPr="00473DD3">
        <w:rPr>
          <w:b/>
          <w:color w:val="00188F"/>
        </w:rPr>
        <w:t>:</w:t>
      </w:r>
      <w:r>
        <w:t xml:space="preserve"> Qualquer período de tempo durante o qual os utilizadores finais não conseguem ler ou escrever quaisquer dados de</w:t>
      </w:r>
      <w:r w:rsidR="00E6633A">
        <w:t> </w:t>
      </w:r>
      <w:r>
        <w:t>Serviços para os quais têm a permissão adequada. O Período de Indisponibilidade não inclui o Período de Indisponibilidade Agendado.</w:t>
      </w:r>
    </w:p>
    <w:p w14:paraId="43CF1F57" w14:textId="5E3DE4EC" w:rsidR="00D50DE8"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BF229E3" w14:textId="77777777" w:rsidR="00D50DE8" w:rsidRPr="00EF7CF9" w:rsidRDefault="00D50DE8" w:rsidP="00F01ED6">
      <w:pPr>
        <w:pStyle w:val="ProductList-Body"/>
      </w:pPr>
    </w:p>
    <w:p w14:paraId="143DEF24" w14:textId="4D5E7D8D" w:rsidR="00D50DE8"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270BED5B" w14:textId="3880E929" w:rsidR="00D50DE8" w:rsidRPr="00EF7CF9" w:rsidRDefault="00AC48A7" w:rsidP="00F01ED6">
      <w:pPr>
        <w:pStyle w:val="ProductList-Body"/>
      </w:pPr>
      <w:r>
        <w:lastRenderedPageBreak/>
        <w:t>em que o Período de Indisponibilidade é calculado em minutos de utilizador, ou seja, para cada Período Aplicável, o Período de Indisponibilidade é</w:t>
      </w:r>
      <w:r w:rsidR="001D4B6B">
        <w:t> </w:t>
      </w:r>
      <w:r>
        <w:t>a soma da duração (em minutos) de cada Incidente que ocorre durante o Período Aplicável multiplicada pelo número de utilizadores afetados por</w:t>
      </w:r>
      <w:r w:rsidR="001D4B6B">
        <w:t> </w:t>
      </w:r>
      <w:r>
        <w:t>esse Incidente.</w:t>
      </w:r>
      <w:r w:rsidR="00AE2118">
        <w:t xml:space="preserve"> </w:t>
      </w:r>
    </w:p>
    <w:p w14:paraId="0F9D7528" w14:textId="77777777" w:rsidR="00D50DE8" w:rsidRPr="00EF7CF9" w:rsidRDefault="00D50DE8" w:rsidP="00F01ED6">
      <w:pPr>
        <w:pStyle w:val="ProductList-Body"/>
      </w:pPr>
    </w:p>
    <w:p w14:paraId="26A442BE" w14:textId="77777777" w:rsidR="00D50DE8" w:rsidRPr="00EF7CF9" w:rsidRDefault="00D50DE8" w:rsidP="003B4E10">
      <w:pPr>
        <w:pStyle w:val="ProductList-Body"/>
        <w:keepNext/>
        <w:keepLines/>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4A9F07B" w14:textId="77777777" w:rsidR="00D50DE8" w:rsidRPr="00EF7CF9" w:rsidRDefault="00D50DE8" w:rsidP="00F01ED6">
            <w:pPr>
              <w:pStyle w:val="ProductList-OfferingBody"/>
              <w:jc w:val="center"/>
              <w:rPr>
                <w:color w:val="FFFFFF" w:themeColor="background1"/>
              </w:rPr>
            </w:pPr>
            <w:r>
              <w:rPr>
                <w:color w:val="FFFFFF" w:themeColor="background1"/>
              </w:rPr>
              <w:t>Crédito de Serviço</w:t>
            </w:r>
          </w:p>
        </w:tc>
      </w:tr>
      <w:tr w:rsidR="00D50DE8" w:rsidRPr="00B44CF9" w14:paraId="46EA17A8" w14:textId="77777777" w:rsidTr="001439A9">
        <w:tc>
          <w:tcPr>
            <w:tcW w:w="5400" w:type="dxa"/>
          </w:tcPr>
          <w:p w14:paraId="3E186CF8" w14:textId="77777777" w:rsidR="00D50DE8" w:rsidRPr="00EF7CF9" w:rsidRDefault="00D50DE8" w:rsidP="00F01ED6">
            <w:pPr>
              <w:pStyle w:val="ProductList-OfferingBody"/>
              <w:jc w:val="center"/>
            </w:pPr>
            <w:r>
              <w:t>&lt; 99,5%</w:t>
            </w:r>
          </w:p>
        </w:tc>
        <w:tc>
          <w:tcPr>
            <w:tcW w:w="5400" w:type="dxa"/>
          </w:tcPr>
          <w:p w14:paraId="4A1947F3" w14:textId="77777777" w:rsidR="00D50DE8" w:rsidRPr="00EF7CF9" w:rsidRDefault="00D50DE8" w:rsidP="00F01ED6">
            <w:pPr>
              <w:pStyle w:val="ProductList-OfferingBody"/>
              <w:jc w:val="center"/>
            </w:pPr>
            <w:r>
              <w:t>25%</w:t>
            </w:r>
          </w:p>
        </w:tc>
      </w:tr>
      <w:tr w:rsidR="00D50DE8" w:rsidRPr="00B44CF9" w14:paraId="6A44AE4D" w14:textId="77777777" w:rsidTr="001439A9">
        <w:tc>
          <w:tcPr>
            <w:tcW w:w="5400" w:type="dxa"/>
          </w:tcPr>
          <w:p w14:paraId="1D9A74D4" w14:textId="77777777" w:rsidR="00D50DE8" w:rsidRPr="00EF7CF9" w:rsidRDefault="00D50DE8" w:rsidP="00F01ED6">
            <w:pPr>
              <w:pStyle w:val="ProductList-OfferingBody"/>
              <w:jc w:val="center"/>
            </w:pPr>
            <w:r>
              <w:t>&lt; 99%</w:t>
            </w:r>
          </w:p>
        </w:tc>
        <w:tc>
          <w:tcPr>
            <w:tcW w:w="5400" w:type="dxa"/>
          </w:tcPr>
          <w:p w14:paraId="4980B8F7" w14:textId="77777777" w:rsidR="00D50DE8" w:rsidRPr="00EF7CF9" w:rsidRDefault="00D50DE8" w:rsidP="00F01ED6">
            <w:pPr>
              <w:pStyle w:val="ProductList-OfferingBody"/>
              <w:jc w:val="center"/>
            </w:pPr>
            <w:r>
              <w:t>50%</w:t>
            </w:r>
          </w:p>
        </w:tc>
      </w:tr>
      <w:tr w:rsidR="00D50DE8" w:rsidRPr="00B44CF9" w14:paraId="56CA73C8" w14:textId="77777777" w:rsidTr="001439A9">
        <w:tc>
          <w:tcPr>
            <w:tcW w:w="5400" w:type="dxa"/>
          </w:tcPr>
          <w:p w14:paraId="67DFA041" w14:textId="77777777" w:rsidR="00D50DE8" w:rsidRPr="00EF7CF9" w:rsidRDefault="00D50DE8" w:rsidP="00F01ED6">
            <w:pPr>
              <w:pStyle w:val="ProductList-OfferingBody"/>
              <w:jc w:val="center"/>
            </w:pPr>
            <w:r>
              <w:t>&lt; 95%</w:t>
            </w:r>
          </w:p>
        </w:tc>
        <w:tc>
          <w:tcPr>
            <w:tcW w:w="5400" w:type="dxa"/>
          </w:tcPr>
          <w:p w14:paraId="0913C71E" w14:textId="77777777" w:rsidR="00D50DE8" w:rsidRPr="00EF7CF9" w:rsidRDefault="00D50DE8" w:rsidP="00F01ED6">
            <w:pPr>
              <w:pStyle w:val="ProductList-OfferingBody"/>
              <w:jc w:val="center"/>
            </w:pPr>
            <w:r>
              <w:t>100%</w:t>
            </w:r>
          </w:p>
        </w:tc>
      </w:tr>
    </w:tbl>
    <w:bookmarkStart w:id="57" w:name="_Toc75271387"/>
    <w:bookmarkStart w:id="58" w:name="_Toc45621200"/>
    <w:p w14:paraId="29E7F467"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66D59E2" w14:textId="77777777" w:rsidR="007D56EB" w:rsidRDefault="007D56EB" w:rsidP="00F01ED6">
      <w:pPr>
        <w:pStyle w:val="ProductList-Offering2Heading"/>
        <w:pBdr>
          <w:between w:val="single" w:sz="4" w:space="1" w:color="auto"/>
        </w:pBdr>
        <w:tabs>
          <w:tab w:val="clear" w:pos="360"/>
          <w:tab w:val="clear" w:pos="720"/>
          <w:tab w:val="clear" w:pos="1080"/>
        </w:tabs>
        <w:outlineLvl w:val="2"/>
      </w:pPr>
      <w:bookmarkStart w:id="59" w:name="_Toc239176387"/>
      <w:r>
        <w:t>Dynamics 365 Intelligent Order Management</w:t>
      </w:r>
      <w:bookmarkEnd w:id="57"/>
      <w:bookmarkEnd w:id="59"/>
    </w:p>
    <w:p w14:paraId="3C1E0D2A" w14:textId="721828A3" w:rsidR="007D56EB" w:rsidRDefault="007D56EB"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o utilizador finais não consegue ler ou escrever quaisquer dados de Serviços para os quais tem a permissão adequada, mas não está incluída qualquer indisponibilidade das funcionalidades dos suplementos do Serviço.</w:t>
      </w:r>
      <w:r w:rsidR="000514F4">
        <w:rPr>
          <w:szCs w:val="18"/>
        </w:rPr>
        <w:t xml:space="preserve"> </w:t>
      </w:r>
      <w:r>
        <w:t>O Período de Indisponibilidade não inclui o Período de Indisponibilidade Agendado.</w:t>
      </w:r>
    </w:p>
    <w:p w14:paraId="609CE0C4" w14:textId="54CFCC4C" w:rsidR="007D56EB"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D67B4E9" w14:textId="77777777" w:rsidR="007D56EB" w:rsidRDefault="007D56EB" w:rsidP="00F01ED6">
      <w:pPr>
        <w:pStyle w:val="ProductList-Body"/>
      </w:pPr>
    </w:p>
    <w:p w14:paraId="0E945C90" w14:textId="250A7440" w:rsidR="007D56EB"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6CAFB4FC" w14:textId="4371F547" w:rsidR="007D56EB" w:rsidRDefault="00AC48A7" w:rsidP="00F01ED6">
      <w:pPr>
        <w:pStyle w:val="ProductList-Body"/>
        <w:ind w:right="126"/>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2BBF1BFD" w14:textId="77777777" w:rsidR="007D56EB" w:rsidRDefault="007D56EB" w:rsidP="00F01ED6">
      <w:pPr>
        <w:pStyle w:val="ProductList-Body"/>
      </w:pPr>
    </w:p>
    <w:p w14:paraId="5DA176E0" w14:textId="77777777" w:rsidR="007D56EB" w:rsidRDefault="007D56EB"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rsidP="00F01ED6">
            <w:pPr>
              <w:pStyle w:val="ProductList-OfferingBody"/>
              <w:jc w:val="center"/>
              <w:rPr>
                <w:color w:val="FFFFFF" w:themeColor="background1"/>
              </w:rPr>
            </w:pPr>
            <w:r>
              <w:rPr>
                <w:color w:val="FFFFFF" w:themeColor="background1"/>
              </w:rPr>
              <w:t>Crédito de Serviço</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rsidP="00F01ED6">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rsidP="00F01ED6">
            <w:pPr>
              <w:pStyle w:val="ProductList-OfferingBody"/>
              <w:jc w:val="center"/>
            </w:pPr>
            <w:r>
              <w:t>25%</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rsidP="00F01ED6">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rsidP="00F01ED6">
            <w:pPr>
              <w:pStyle w:val="ProductList-OfferingBody"/>
              <w:jc w:val="center"/>
            </w:pPr>
            <w:r>
              <w:t>50%</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rsidP="00F01ED6">
            <w:pPr>
              <w:pStyle w:val="ProductList-OfferingBody"/>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rsidP="00F01ED6">
            <w:pPr>
              <w:pStyle w:val="ProductList-OfferingBody"/>
              <w:jc w:val="center"/>
            </w:pPr>
            <w:r>
              <w:t>100%</w:t>
            </w:r>
          </w:p>
        </w:tc>
      </w:tr>
    </w:tbl>
    <w:p w14:paraId="0108C996"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6227EBA" w14:textId="77777777" w:rsidR="001439A9" w:rsidRDefault="001439A9" w:rsidP="00F01ED6">
      <w:pPr>
        <w:pStyle w:val="ProductList-Offering2Heading"/>
        <w:keepNext/>
        <w:pBdr>
          <w:between w:val="single" w:sz="4" w:space="1" w:color="auto"/>
        </w:pBdr>
        <w:tabs>
          <w:tab w:val="clear" w:pos="360"/>
          <w:tab w:val="clear" w:pos="720"/>
          <w:tab w:val="clear" w:pos="1080"/>
        </w:tabs>
        <w:outlineLvl w:val="2"/>
      </w:pPr>
      <w:bookmarkStart w:id="60" w:name="_Toc239176388"/>
      <w:r>
        <w:t>Dynamics 365 Remote Assist</w:t>
      </w:r>
      <w:bookmarkEnd w:id="58"/>
      <w:bookmarkEnd w:id="60"/>
    </w:p>
    <w:p w14:paraId="24648987" w14:textId="77777777" w:rsidR="001439A9" w:rsidRPr="00EF7CF9" w:rsidRDefault="001439A9" w:rsidP="00F01ED6">
      <w:pPr>
        <w:pStyle w:val="ProductList-Body"/>
        <w:rPr>
          <w:b/>
          <w:color w:val="00188F"/>
        </w:rPr>
      </w:pPr>
      <w:r>
        <w:rPr>
          <w:b/>
          <w:color w:val="00188F"/>
        </w:rPr>
        <w:t>Definições Adicionais</w:t>
      </w:r>
      <w:r w:rsidRPr="00473DD3">
        <w:rPr>
          <w:b/>
          <w:color w:val="00188F"/>
        </w:rPr>
        <w:t>:</w:t>
      </w:r>
    </w:p>
    <w:p w14:paraId="3FFCBF82" w14:textId="77777777" w:rsidR="001439A9" w:rsidRPr="00EF7CF9" w:rsidRDefault="001439A9" w:rsidP="00F01ED6">
      <w:pPr>
        <w:pStyle w:val="ProductList-Body"/>
      </w:pPr>
      <w:r>
        <w:rPr>
          <w:b/>
          <w:color w:val="00188F"/>
        </w:rPr>
        <w:t>Período de Indisponibilidade</w:t>
      </w:r>
      <w:r w:rsidRPr="00473DD3">
        <w:rPr>
          <w:b/>
          <w:color w:val="00188F"/>
        </w:rPr>
        <w:t>:</w:t>
      </w:r>
      <w:r>
        <w:t xml:space="preserve"> Qualquer período durante o qual os utilizadores finais não conseguem realizar conversações de mensagens instantâneas, ou iniciar ou participar em chamadas*.</w:t>
      </w:r>
    </w:p>
    <w:p w14:paraId="5E4BB24B" w14:textId="4A49FE03" w:rsidR="001439A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1903DFCF" w14:textId="77777777" w:rsidR="001439A9" w:rsidRPr="00EF7CF9" w:rsidRDefault="001439A9" w:rsidP="00F01ED6">
      <w:pPr>
        <w:pStyle w:val="ProductList-Body"/>
      </w:pPr>
    </w:p>
    <w:p w14:paraId="44ADC5A4" w14:textId="010604CB" w:rsidR="001439A9"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5983FC51" w14:textId="6221A125" w:rsidR="001439A9" w:rsidRDefault="00AC48A7" w:rsidP="00F01ED6">
      <w:pPr>
        <w:pStyle w:val="ProductList-Body"/>
        <w:ind w:right="99"/>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6A6DB8F2" w14:textId="6643970B" w:rsidR="001439A9" w:rsidRPr="001A7F2A" w:rsidRDefault="001439A9" w:rsidP="00F01ED6">
      <w:pPr>
        <w:pStyle w:val="ProductList-Body"/>
        <w:rPr>
          <w:i/>
          <w:iCs/>
        </w:rPr>
      </w:pPr>
      <w:r>
        <w:rPr>
          <w:i/>
          <w:iCs/>
        </w:rPr>
        <w:t>*</w:t>
      </w:r>
      <w:r w:rsidR="006F3CBD">
        <w:rPr>
          <w:i/>
          <w:iCs/>
        </w:rPr>
        <w:t xml:space="preserve"> </w:t>
      </w:r>
      <w:r>
        <w:rPr>
          <w:i/>
          <w:iCs/>
        </w:rPr>
        <w:t>Conversações de mensagens instantâneas disponíveis apenas em algumas plataformas</w:t>
      </w:r>
    </w:p>
    <w:p w14:paraId="0E5D0604" w14:textId="77777777" w:rsidR="001439A9" w:rsidRPr="00EF7CF9" w:rsidRDefault="001439A9" w:rsidP="00F01ED6">
      <w:pPr>
        <w:pStyle w:val="ProductList-Body"/>
      </w:pPr>
    </w:p>
    <w:p w14:paraId="21BC82B9" w14:textId="77777777" w:rsidR="001439A9" w:rsidRPr="00EF7CF9" w:rsidRDefault="001439A9"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3BFCC5F" w14:textId="77777777" w:rsidR="001439A9" w:rsidRPr="00EF7CF9" w:rsidRDefault="001439A9" w:rsidP="00F01ED6">
            <w:pPr>
              <w:pStyle w:val="ProductList-OfferingBody"/>
              <w:jc w:val="center"/>
              <w:rPr>
                <w:color w:val="FFFFFF" w:themeColor="background1"/>
              </w:rPr>
            </w:pPr>
            <w:r>
              <w:rPr>
                <w:color w:val="FFFFFF" w:themeColor="background1"/>
              </w:rPr>
              <w:t>Crédito de Serviço</w:t>
            </w:r>
          </w:p>
        </w:tc>
      </w:tr>
      <w:tr w:rsidR="001439A9" w:rsidRPr="00B44CF9" w14:paraId="2130798E" w14:textId="77777777" w:rsidTr="001439A9">
        <w:tc>
          <w:tcPr>
            <w:tcW w:w="5400" w:type="dxa"/>
          </w:tcPr>
          <w:p w14:paraId="56C1EB61" w14:textId="77777777" w:rsidR="001439A9" w:rsidRPr="00EF7CF9" w:rsidRDefault="001439A9" w:rsidP="00F01ED6">
            <w:pPr>
              <w:pStyle w:val="ProductList-OfferingBody"/>
              <w:jc w:val="center"/>
            </w:pPr>
            <w:r>
              <w:t>&lt; 99,9%</w:t>
            </w:r>
          </w:p>
        </w:tc>
        <w:tc>
          <w:tcPr>
            <w:tcW w:w="5400" w:type="dxa"/>
          </w:tcPr>
          <w:p w14:paraId="686FB99C" w14:textId="77777777" w:rsidR="001439A9" w:rsidRPr="00EF7CF9" w:rsidRDefault="001439A9" w:rsidP="00F01ED6">
            <w:pPr>
              <w:pStyle w:val="ProductList-OfferingBody"/>
              <w:jc w:val="center"/>
            </w:pPr>
            <w:r>
              <w:t>25%</w:t>
            </w:r>
          </w:p>
        </w:tc>
      </w:tr>
      <w:tr w:rsidR="001439A9" w:rsidRPr="00B44CF9" w14:paraId="1A28BC55" w14:textId="77777777" w:rsidTr="001439A9">
        <w:tc>
          <w:tcPr>
            <w:tcW w:w="5400" w:type="dxa"/>
          </w:tcPr>
          <w:p w14:paraId="5BB3F4EE" w14:textId="77777777" w:rsidR="001439A9" w:rsidRPr="00EF7CF9" w:rsidRDefault="001439A9" w:rsidP="00F01ED6">
            <w:pPr>
              <w:pStyle w:val="ProductList-OfferingBody"/>
              <w:jc w:val="center"/>
            </w:pPr>
            <w:r>
              <w:t>&lt; 99%</w:t>
            </w:r>
          </w:p>
        </w:tc>
        <w:tc>
          <w:tcPr>
            <w:tcW w:w="5400" w:type="dxa"/>
          </w:tcPr>
          <w:p w14:paraId="21C83F15" w14:textId="77777777" w:rsidR="001439A9" w:rsidRPr="00EF7CF9" w:rsidRDefault="001439A9" w:rsidP="00F01ED6">
            <w:pPr>
              <w:pStyle w:val="ProductList-OfferingBody"/>
              <w:jc w:val="center"/>
            </w:pPr>
            <w:r>
              <w:t>50%</w:t>
            </w:r>
          </w:p>
        </w:tc>
      </w:tr>
    </w:tbl>
    <w:p w14:paraId="766849DB"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226BFA7" w14:textId="77777777" w:rsidR="00D50DE8" w:rsidRPr="00EF7CF9" w:rsidRDefault="00D50DE8" w:rsidP="00F01ED6">
      <w:pPr>
        <w:pStyle w:val="ProductList-Offering2Heading"/>
        <w:keepNext/>
        <w:pBdr>
          <w:between w:val="single" w:sz="4" w:space="1" w:color="auto"/>
        </w:pBdr>
        <w:tabs>
          <w:tab w:val="clear" w:pos="360"/>
          <w:tab w:val="clear" w:pos="720"/>
          <w:tab w:val="clear" w:pos="1080"/>
        </w:tabs>
        <w:outlineLvl w:val="2"/>
      </w:pPr>
      <w:bookmarkStart w:id="61" w:name="_Toc239176389"/>
      <w:r>
        <w:lastRenderedPageBreak/>
        <w:t>Dynamics 365 Sales Enterprise; Dynamics 365 Sales Professional</w:t>
      </w:r>
      <w:bookmarkEnd w:id="61"/>
    </w:p>
    <w:p w14:paraId="539367AE" w14:textId="528B09F4" w:rsidR="00D50DE8" w:rsidRPr="00EF7CF9" w:rsidRDefault="00D50DE8" w:rsidP="00F01ED6">
      <w:pPr>
        <w:pStyle w:val="ProductList-Body"/>
      </w:pPr>
      <w:r>
        <w:rPr>
          <w:b/>
          <w:color w:val="00188F"/>
        </w:rPr>
        <w:t>Período de Indisponibilidade</w:t>
      </w:r>
      <w:r w:rsidRPr="00473DD3">
        <w:rPr>
          <w:b/>
          <w:color w:val="00188F"/>
        </w:rPr>
        <w:t>:</w:t>
      </w:r>
      <w:r>
        <w:t xml:space="preserve"> Qualquer período de tempo durante o qual os utilizadores finais não conseguem ler ou escrever quaisquer dados de</w:t>
      </w:r>
      <w:r w:rsidR="00EC07A5">
        <w:t> </w:t>
      </w:r>
      <w:r>
        <w:t>Serviços para os quais têm a permissão adequada mas não está incluída a indisponibilidade das funcionalidades dos suplementos do Serviço.</w:t>
      </w:r>
    </w:p>
    <w:p w14:paraId="58FD4D8F" w14:textId="1D9CA08A" w:rsidR="00D50DE8"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62F15F63" w14:textId="4E1D31B8" w:rsidR="00D50DE8" w:rsidRPr="00EF7CF9" w:rsidRDefault="00000000" w:rsidP="00963DD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60E53F77" w14:textId="2CE96DAA" w:rsidR="00D50DE8" w:rsidRPr="00EF7CF9" w:rsidRDefault="00AC48A7" w:rsidP="00F01ED6">
      <w:pPr>
        <w:pStyle w:val="ProductList-Body"/>
        <w:ind w:right="135"/>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24090D09" w14:textId="77777777" w:rsidR="00657A3A" w:rsidRDefault="00657A3A" w:rsidP="00F01ED6">
      <w:pPr>
        <w:pStyle w:val="ProductList-Body"/>
        <w:rPr>
          <w:b/>
          <w:color w:val="00188F"/>
        </w:rPr>
      </w:pPr>
    </w:p>
    <w:p w14:paraId="55C0A4A7" w14:textId="5C6183C5" w:rsidR="00D50DE8" w:rsidRPr="00EF7CF9" w:rsidRDefault="00D50DE8"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F831BE3" w14:textId="77777777" w:rsidR="00D50DE8" w:rsidRPr="00EF7CF9" w:rsidRDefault="00D50DE8" w:rsidP="00F01ED6">
            <w:pPr>
              <w:pStyle w:val="ProductList-OfferingBody"/>
              <w:jc w:val="center"/>
              <w:rPr>
                <w:color w:val="FFFFFF" w:themeColor="background1"/>
              </w:rPr>
            </w:pPr>
            <w:r>
              <w:rPr>
                <w:color w:val="FFFFFF" w:themeColor="background1"/>
              </w:rPr>
              <w:t>Crédito de Serviço</w:t>
            </w:r>
          </w:p>
        </w:tc>
      </w:tr>
      <w:tr w:rsidR="00D50DE8" w:rsidRPr="00B44CF9" w14:paraId="79C4124E" w14:textId="77777777" w:rsidTr="001439A9">
        <w:tc>
          <w:tcPr>
            <w:tcW w:w="5400" w:type="dxa"/>
          </w:tcPr>
          <w:p w14:paraId="046170E8" w14:textId="77777777" w:rsidR="00D50DE8" w:rsidRPr="00EF7CF9" w:rsidRDefault="00D50DE8" w:rsidP="00F01ED6">
            <w:pPr>
              <w:pStyle w:val="ProductList-OfferingBody"/>
              <w:jc w:val="center"/>
            </w:pPr>
            <w:r>
              <w:t>&lt; 99,9%</w:t>
            </w:r>
          </w:p>
        </w:tc>
        <w:tc>
          <w:tcPr>
            <w:tcW w:w="5400" w:type="dxa"/>
          </w:tcPr>
          <w:p w14:paraId="29353878" w14:textId="77777777" w:rsidR="00D50DE8" w:rsidRPr="00EF7CF9" w:rsidRDefault="00D50DE8" w:rsidP="00F01ED6">
            <w:pPr>
              <w:pStyle w:val="ProductList-OfferingBody"/>
              <w:jc w:val="center"/>
            </w:pPr>
            <w:r>
              <w:t>25%</w:t>
            </w:r>
          </w:p>
        </w:tc>
      </w:tr>
      <w:tr w:rsidR="00D50DE8" w:rsidRPr="00B44CF9" w14:paraId="77146D70" w14:textId="77777777" w:rsidTr="001439A9">
        <w:tc>
          <w:tcPr>
            <w:tcW w:w="5400" w:type="dxa"/>
          </w:tcPr>
          <w:p w14:paraId="71FF3BCF" w14:textId="77777777" w:rsidR="00D50DE8" w:rsidRPr="00EF7CF9" w:rsidRDefault="00D50DE8" w:rsidP="00F01ED6">
            <w:pPr>
              <w:pStyle w:val="ProductList-OfferingBody"/>
              <w:jc w:val="center"/>
            </w:pPr>
            <w:r>
              <w:t>&lt; 99%</w:t>
            </w:r>
          </w:p>
        </w:tc>
        <w:tc>
          <w:tcPr>
            <w:tcW w:w="5400" w:type="dxa"/>
          </w:tcPr>
          <w:p w14:paraId="67A66F9B" w14:textId="77777777" w:rsidR="00D50DE8" w:rsidRPr="00EF7CF9" w:rsidRDefault="00D50DE8" w:rsidP="00F01ED6">
            <w:pPr>
              <w:pStyle w:val="ProductList-OfferingBody"/>
              <w:jc w:val="center"/>
            </w:pPr>
            <w:r>
              <w:t>50%</w:t>
            </w:r>
          </w:p>
        </w:tc>
      </w:tr>
      <w:tr w:rsidR="00D50DE8" w:rsidRPr="00B44CF9" w14:paraId="7B8B001D" w14:textId="77777777" w:rsidTr="001439A9">
        <w:tc>
          <w:tcPr>
            <w:tcW w:w="5400" w:type="dxa"/>
          </w:tcPr>
          <w:p w14:paraId="65B7639C" w14:textId="77777777" w:rsidR="00D50DE8" w:rsidRPr="00EF7CF9" w:rsidRDefault="00D50DE8" w:rsidP="00F01ED6">
            <w:pPr>
              <w:pStyle w:val="ProductList-OfferingBody"/>
              <w:jc w:val="center"/>
            </w:pPr>
            <w:r>
              <w:t>&lt; 95%</w:t>
            </w:r>
          </w:p>
        </w:tc>
        <w:tc>
          <w:tcPr>
            <w:tcW w:w="5400" w:type="dxa"/>
          </w:tcPr>
          <w:p w14:paraId="477556AD" w14:textId="77777777" w:rsidR="00D50DE8" w:rsidRPr="00EF7CF9" w:rsidRDefault="00D50DE8" w:rsidP="00F01ED6">
            <w:pPr>
              <w:pStyle w:val="ProductList-OfferingBody"/>
              <w:jc w:val="center"/>
            </w:pPr>
            <w:r>
              <w:t>100%</w:t>
            </w:r>
          </w:p>
        </w:tc>
      </w:tr>
    </w:tbl>
    <w:p w14:paraId="3F8390D5"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682B31F" w14:textId="7AE67E3D" w:rsidR="00E044E6" w:rsidRPr="00EF7CF9" w:rsidRDefault="00E044E6" w:rsidP="00F01ED6">
      <w:pPr>
        <w:pStyle w:val="ProductList-Offering2Heading"/>
        <w:pBdr>
          <w:between w:val="single" w:sz="4" w:space="1" w:color="auto"/>
        </w:pBdr>
        <w:tabs>
          <w:tab w:val="clear" w:pos="360"/>
          <w:tab w:val="clear" w:pos="720"/>
          <w:tab w:val="clear" w:pos="1080"/>
        </w:tabs>
        <w:outlineLvl w:val="2"/>
      </w:pPr>
      <w:bookmarkStart w:id="62" w:name="_Toc239176390"/>
      <w:r>
        <w:t xml:space="preserve">Dynamics 365 </w:t>
      </w:r>
      <w:bookmarkStart w:id="63" w:name="_Hlk19533710"/>
      <w:bookmarkEnd w:id="45"/>
      <w:bookmarkEnd w:id="46"/>
      <w:bookmarkEnd w:id="54"/>
      <w:r>
        <w:t>Supply Chain Management; Dynamics 365 Finance</w:t>
      </w:r>
      <w:bookmarkStart w:id="64" w:name="_Hlk51044510"/>
      <w:bookmarkEnd w:id="63"/>
      <w:r>
        <w:t>; Dynamics 365 Project Operations</w:t>
      </w:r>
      <w:bookmarkEnd w:id="62"/>
      <w:bookmarkEnd w:id="64"/>
    </w:p>
    <w:p w14:paraId="0F1E9C48" w14:textId="77777777" w:rsidR="00E044E6" w:rsidRPr="00EF7CF9" w:rsidRDefault="00E044E6" w:rsidP="00F01ED6">
      <w:pPr>
        <w:pStyle w:val="ProductList-Body"/>
      </w:pPr>
      <w:r>
        <w:rPr>
          <w:b/>
          <w:color w:val="00188F"/>
        </w:rPr>
        <w:t>Definições Adicionais</w:t>
      </w:r>
      <w:r w:rsidRPr="00473DD3">
        <w:rPr>
          <w:b/>
          <w:color w:val="00188F"/>
        </w:rPr>
        <w:t>:</w:t>
      </w:r>
    </w:p>
    <w:p w14:paraId="245E3EEA" w14:textId="51637007" w:rsidR="00E044E6" w:rsidRPr="00EF7CF9" w:rsidRDefault="00380305" w:rsidP="00F01ED6">
      <w:pPr>
        <w:pStyle w:val="ProductList-Body"/>
        <w:tabs>
          <w:tab w:val="clear" w:pos="360"/>
          <w:tab w:val="clear" w:pos="720"/>
          <w:tab w:val="clear" w:pos="1080"/>
        </w:tabs>
        <w:spacing w:after="40"/>
        <w:rPr>
          <w:color w:val="000000" w:themeColor="text1"/>
          <w:szCs w:val="18"/>
        </w:rPr>
      </w:pPr>
      <w:r>
        <w:rPr>
          <w:rFonts w:eastAsia="Segoe UI" w:cs="Segoe UI"/>
          <w:szCs w:val="18"/>
        </w:rPr>
        <w:t>“</w:t>
      </w:r>
      <w:r w:rsidR="00EF7CF9">
        <w:rPr>
          <w:rFonts w:eastAsia="Segoe UI" w:cs="Segoe UI"/>
          <w:b/>
          <w:color w:val="00188F"/>
          <w:szCs w:val="18"/>
        </w:rPr>
        <w:t>Inquilino Ativo</w:t>
      </w:r>
      <w:r>
        <w:rPr>
          <w:rFonts w:eastAsia="Segoe UI" w:cs="Segoe UI"/>
          <w:szCs w:val="18"/>
        </w:rPr>
        <w:t>”</w:t>
      </w:r>
      <w:r w:rsidR="00EF7CF9">
        <w:rPr>
          <w:rFonts w:eastAsia="Segoe UI" w:cs="Segoe UI"/>
          <w:szCs w:val="18"/>
        </w:rPr>
        <w:t xml:space="preserve"> designa um inquilino com uma topologia de produção de elevada disponibilidade ativa no Portal de Gestão que (A) foi implementado num Serviço de Aplicação de Parceiro; e (B) tem uma base de dados ativa onde os utilizadores podem iniciar sessão.</w:t>
      </w:r>
    </w:p>
    <w:p w14:paraId="4EA058CB" w14:textId="7ABF37CA" w:rsidR="00E044E6" w:rsidRPr="00EF7CF9" w:rsidRDefault="00380305" w:rsidP="00F01ED6">
      <w:pPr>
        <w:spacing w:after="40" w:line="240" w:lineRule="auto"/>
        <w:rPr>
          <w:rFonts w:cs="Segoe UI"/>
          <w:sz w:val="18"/>
          <w:szCs w:val="18"/>
        </w:rPr>
      </w:pPr>
      <w:r>
        <w:rPr>
          <w:rFonts w:cs="Segoe UI"/>
          <w:sz w:val="18"/>
          <w:szCs w:val="18"/>
        </w:rPr>
        <w:t>“</w:t>
      </w:r>
      <w:r w:rsidR="00EF7CF9">
        <w:rPr>
          <w:rFonts w:cs="Segoe UI"/>
          <w:b/>
          <w:color w:val="00188F"/>
          <w:sz w:val="18"/>
          <w:szCs w:val="18"/>
        </w:rPr>
        <w:t>Serviço de Aplicação de Parceiro</w:t>
      </w:r>
      <w:r>
        <w:rPr>
          <w:rFonts w:cs="Segoe UI"/>
          <w:sz w:val="18"/>
          <w:szCs w:val="18"/>
        </w:rPr>
        <w:t>”</w:t>
      </w:r>
      <w:r w:rsidR="00EF7CF9">
        <w:rPr>
          <w:rFonts w:cs="Segoe UI"/>
          <w:sz w:val="18"/>
          <w:szCs w:val="18"/>
        </w:rPr>
        <w:t xml:space="preserve"> designa uma aplicação de parceiro que assenta e está combinada com a Plataforma que (A) é utilizada no processamento das transações comerciais reais da organização do Cliente; e (B) tem recursos informáticos e de armazenamento de reserva equivalentes ou superiores a uma das Unidades de Escala selecionadas pelo parceiro para a aplicação de parceiro aplicável.</w:t>
      </w:r>
    </w:p>
    <w:p w14:paraId="787B5004" w14:textId="324B5C8D" w:rsidR="00E044E6" w:rsidRPr="00EF7CF9" w:rsidRDefault="00380305" w:rsidP="00F01ED6">
      <w:pPr>
        <w:pStyle w:val="ProductList-Body"/>
        <w:spacing w:after="40"/>
        <w:rPr>
          <w:szCs w:val="18"/>
        </w:rPr>
      </w:pPr>
      <w:r>
        <w:rPr>
          <w:szCs w:val="18"/>
        </w:rPr>
        <w:t>“</w:t>
      </w:r>
      <w:r w:rsidR="00EF7CF9">
        <w:rPr>
          <w:b/>
          <w:color w:val="00188F"/>
          <w:szCs w:val="18"/>
        </w:rPr>
        <w:t>Máximo de Minutos Disponíveis</w:t>
      </w:r>
      <w:r>
        <w:rPr>
          <w:szCs w:val="18"/>
        </w:rPr>
        <w:t>”</w:t>
      </w:r>
      <w:r w:rsidR="00EF7CF9">
        <w:rPr>
          <w:szCs w:val="18"/>
        </w:rPr>
        <w:t xml:space="preserve"> designa o total de minutos acumulados durante um Período Aplicável durante os quais um Inquilino Ativo foi implementado num Serviço de Aplicação de Parceiro utilizando uma topologia de produção de elevada disponibilidade ativa.</w:t>
      </w:r>
    </w:p>
    <w:p w14:paraId="2DB9955A" w14:textId="7022B42F" w:rsidR="00E044E6" w:rsidRPr="00EF7CF9" w:rsidRDefault="00380305" w:rsidP="00F01ED6">
      <w:pPr>
        <w:pStyle w:val="ProductList-Body"/>
        <w:spacing w:after="40"/>
        <w:rPr>
          <w:rFonts w:cs="Segoe UI"/>
          <w:szCs w:val="18"/>
        </w:rPr>
      </w:pPr>
      <w:r>
        <w:rPr>
          <w:rFonts w:cs="Segoe UI"/>
          <w:szCs w:val="18"/>
        </w:rPr>
        <w:t>“</w:t>
      </w:r>
      <w:r w:rsidR="00EF7CF9">
        <w:rPr>
          <w:rFonts w:cs="Segoe UI"/>
          <w:b/>
          <w:color w:val="00188F"/>
          <w:szCs w:val="18"/>
        </w:rPr>
        <w:t>Plataforma</w:t>
      </w:r>
      <w:r>
        <w:rPr>
          <w:rFonts w:cs="Segoe UI"/>
          <w:szCs w:val="18"/>
        </w:rPr>
        <w:t>”</w:t>
      </w:r>
      <w:r w:rsidR="00EF7CF9">
        <w:rPr>
          <w:rFonts w:cs="Segoe UI"/>
          <w:szCs w:val="18"/>
        </w:rPr>
        <w:t xml:space="preserve"> designa os formulários de cliente do Serviço, os relatórios do SQL Server, operações em batch e os pontos finais da API ou as APIs de</w:t>
      </w:r>
      <w:r w:rsidR="005742DB">
        <w:rPr>
          <w:rFonts w:cs="Segoe UI"/>
          <w:szCs w:val="18"/>
        </w:rPr>
        <w:t> </w:t>
      </w:r>
      <w:r w:rsidR="00EF7CF9">
        <w:rPr>
          <w:rFonts w:cs="Segoe UI"/>
          <w:szCs w:val="18"/>
        </w:rPr>
        <w:t>retalho do Serviço utilizadas apenas para fins comerciais ou de retalho.</w:t>
      </w:r>
    </w:p>
    <w:p w14:paraId="43A366C0" w14:textId="09CB09B9" w:rsidR="00E044E6" w:rsidRPr="00EF7CF9" w:rsidRDefault="00380305" w:rsidP="00F01ED6">
      <w:pPr>
        <w:pStyle w:val="ProductList-Body"/>
        <w:spacing w:after="40"/>
        <w:rPr>
          <w:color w:val="000000" w:themeColor="text1"/>
          <w:szCs w:val="18"/>
        </w:rPr>
      </w:pPr>
      <w:r>
        <w:rPr>
          <w:szCs w:val="18"/>
        </w:rPr>
        <w:t>“</w:t>
      </w:r>
      <w:r w:rsidR="00EF7CF9">
        <w:rPr>
          <w:b/>
          <w:bCs/>
          <w:color w:val="00188F"/>
          <w:szCs w:val="18"/>
        </w:rPr>
        <w:t>Unidade de Escala</w:t>
      </w:r>
      <w:r>
        <w:rPr>
          <w:szCs w:val="18"/>
        </w:rPr>
        <w:t>”</w:t>
      </w:r>
      <w:r w:rsidR="00EF7CF9">
        <w:rPr>
          <w:color w:val="000000" w:themeColor="text1"/>
          <w:szCs w:val="18"/>
        </w:rPr>
        <w:t xml:space="preserve"> designa os incrementos pelos quais os recursos informáticos e de armazenamento são adicionais ou removidos de um Serviço de Aplicação de Parceiro.</w:t>
      </w:r>
    </w:p>
    <w:p w14:paraId="6EA9B168" w14:textId="60B39088" w:rsidR="00E044E6" w:rsidRPr="00EF7CF9" w:rsidRDefault="00380305" w:rsidP="00F01ED6">
      <w:pPr>
        <w:pStyle w:val="ProductList-Body"/>
        <w:rPr>
          <w:color w:val="000000" w:themeColor="text1"/>
          <w:szCs w:val="18"/>
        </w:rPr>
      </w:pPr>
      <w:r>
        <w:rPr>
          <w:szCs w:val="18"/>
        </w:rPr>
        <w:t>“</w:t>
      </w:r>
      <w:r w:rsidR="00EF7CF9">
        <w:rPr>
          <w:b/>
          <w:color w:val="00188F"/>
          <w:szCs w:val="18"/>
        </w:rPr>
        <w:t>Infraestrutura do Serviço</w:t>
      </w:r>
      <w:r>
        <w:rPr>
          <w:szCs w:val="18"/>
        </w:rPr>
        <w:t>”</w:t>
      </w:r>
      <w:r w:rsidR="00EF7CF9">
        <w:rPr>
          <w:color w:val="000000" w:themeColor="text1"/>
          <w:szCs w:val="18"/>
        </w:rPr>
        <w:t xml:space="preserve"> designa os recursos de autenticação, informáticos e de armazenamento que a Microsoft fornece no âmbito do Serviço.</w:t>
      </w:r>
    </w:p>
    <w:p w14:paraId="6CE66BEE" w14:textId="7DD4B86A" w:rsidR="00E044E6" w:rsidRPr="00EF7CF9" w:rsidRDefault="00E044E6" w:rsidP="00F01ED6">
      <w:pPr>
        <w:pStyle w:val="ProductList-Body"/>
      </w:pPr>
      <w:r>
        <w:rPr>
          <w:b/>
          <w:color w:val="00188F"/>
        </w:rPr>
        <w:t>Período de Indisponibilidade</w:t>
      </w:r>
      <w:r w:rsidRPr="00473DD3">
        <w:rPr>
          <w:b/>
          <w:color w:val="00188F"/>
        </w:rPr>
        <w:t>:</w:t>
      </w:r>
      <w:r>
        <w:t xml:space="preserve"> Qualquer período de tempo durante o qual os utilizadores finais não conseguem iniciar sessão no respetivo Inquilino Ativo devido a uma falha na Infraestrutura do Serviço ou na Plataforma não expirada, consoante o que a Microsoft determinar com base nos registos de sistema e monitorização do estado de funcionamento automáticos. O Período de Indisponibilidade não inclui a Indisponibilidade Agendada, a indisponibilidade das funcionalidades dos suplementos do Serviço, a incapacidade de aceder ao Serviço devido a modificações efetuadas ao Serviço pelo Cliente ou os períodos em que é excedida a capacidade da Unidade de Escala.</w:t>
      </w:r>
    </w:p>
    <w:p w14:paraId="2466F9A2" w14:textId="6C46BDD3" w:rsidR="00E044E6"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para um determinado Inquilino Ativo num Período Aplicável é calculada através da seguinte fórmula:</w:t>
      </w:r>
    </w:p>
    <w:p w14:paraId="58388555" w14:textId="61E21337" w:rsidR="00E044E6" w:rsidRPr="00EF7CF9" w:rsidRDefault="00000000" w:rsidP="00963DD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2DDA59DB" w14:textId="18EEA68A" w:rsidR="009C64EA" w:rsidRPr="00EF7CF9" w:rsidRDefault="00AC48A7" w:rsidP="00F01ED6">
      <w:pPr>
        <w:pStyle w:val="ProductList-Body"/>
        <w:ind w:right="99"/>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7854FA81" w14:textId="28BC6D70" w:rsidR="00E044E6" w:rsidRPr="00EF7CF9" w:rsidRDefault="00E044E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065E0F7" w14:textId="77777777" w:rsidR="00E044E6" w:rsidRPr="00EF7CF9" w:rsidRDefault="00E044E6" w:rsidP="00F01ED6">
            <w:pPr>
              <w:pStyle w:val="ProductList-OfferingBody"/>
              <w:jc w:val="center"/>
              <w:rPr>
                <w:color w:val="FFFFFF" w:themeColor="background1"/>
              </w:rPr>
            </w:pPr>
            <w:r>
              <w:rPr>
                <w:color w:val="FFFFFF" w:themeColor="background1"/>
              </w:rPr>
              <w:t>Crédito de Serviço</w:t>
            </w:r>
          </w:p>
        </w:tc>
      </w:tr>
      <w:tr w:rsidR="00E044E6" w:rsidRPr="00B44CF9" w14:paraId="4E8FC469" w14:textId="77777777" w:rsidTr="005326DD">
        <w:tc>
          <w:tcPr>
            <w:tcW w:w="5400" w:type="dxa"/>
          </w:tcPr>
          <w:p w14:paraId="006F432D" w14:textId="488AB23A" w:rsidR="00E044E6" w:rsidRPr="00EF7CF9" w:rsidRDefault="00E044E6" w:rsidP="00F01ED6">
            <w:pPr>
              <w:pStyle w:val="ProductList-OfferingBody"/>
              <w:jc w:val="center"/>
            </w:pPr>
            <w:r>
              <w:t>&lt; 99,9%</w:t>
            </w:r>
          </w:p>
        </w:tc>
        <w:tc>
          <w:tcPr>
            <w:tcW w:w="5400" w:type="dxa"/>
          </w:tcPr>
          <w:p w14:paraId="4770D45D" w14:textId="77777777" w:rsidR="00E044E6" w:rsidRPr="00EF7CF9" w:rsidRDefault="00E044E6" w:rsidP="00F01ED6">
            <w:pPr>
              <w:pStyle w:val="ProductList-OfferingBody"/>
              <w:jc w:val="center"/>
            </w:pPr>
            <w:r>
              <w:t>25%</w:t>
            </w:r>
          </w:p>
        </w:tc>
      </w:tr>
      <w:tr w:rsidR="00E044E6" w:rsidRPr="00B44CF9" w14:paraId="04EC0023" w14:textId="77777777" w:rsidTr="005326DD">
        <w:tc>
          <w:tcPr>
            <w:tcW w:w="5400" w:type="dxa"/>
          </w:tcPr>
          <w:p w14:paraId="7C6EC02A" w14:textId="77777777" w:rsidR="00E044E6" w:rsidRPr="00EF7CF9" w:rsidRDefault="00E044E6" w:rsidP="00F01ED6">
            <w:pPr>
              <w:pStyle w:val="ProductList-OfferingBody"/>
              <w:jc w:val="center"/>
            </w:pPr>
            <w:r>
              <w:t>&lt; 99%</w:t>
            </w:r>
          </w:p>
        </w:tc>
        <w:tc>
          <w:tcPr>
            <w:tcW w:w="5400" w:type="dxa"/>
          </w:tcPr>
          <w:p w14:paraId="3FCF0B29" w14:textId="77777777" w:rsidR="00E044E6" w:rsidRPr="00EF7CF9" w:rsidRDefault="00E044E6" w:rsidP="00F01ED6">
            <w:pPr>
              <w:pStyle w:val="ProductList-OfferingBody"/>
              <w:jc w:val="center"/>
            </w:pPr>
            <w:r>
              <w:t>50%</w:t>
            </w:r>
          </w:p>
        </w:tc>
      </w:tr>
      <w:tr w:rsidR="00E044E6" w:rsidRPr="00B44CF9" w14:paraId="288216D6" w14:textId="77777777" w:rsidTr="005326DD">
        <w:tc>
          <w:tcPr>
            <w:tcW w:w="5400" w:type="dxa"/>
          </w:tcPr>
          <w:p w14:paraId="6CCDE2D4" w14:textId="77777777" w:rsidR="00E044E6" w:rsidRPr="00EF7CF9" w:rsidRDefault="00E044E6" w:rsidP="00F01ED6">
            <w:pPr>
              <w:pStyle w:val="ProductList-OfferingBody"/>
              <w:jc w:val="center"/>
            </w:pPr>
            <w:r>
              <w:t>&lt; 95%</w:t>
            </w:r>
          </w:p>
        </w:tc>
        <w:tc>
          <w:tcPr>
            <w:tcW w:w="5400" w:type="dxa"/>
          </w:tcPr>
          <w:p w14:paraId="3183CDFC" w14:textId="77777777" w:rsidR="00E044E6" w:rsidRPr="00EF7CF9" w:rsidRDefault="00E044E6" w:rsidP="00F01ED6">
            <w:pPr>
              <w:pStyle w:val="ProductList-OfferingBody"/>
              <w:jc w:val="center"/>
            </w:pPr>
            <w:r>
              <w:t>100%</w:t>
            </w:r>
          </w:p>
        </w:tc>
      </w:tr>
    </w:tbl>
    <w:bookmarkStart w:id="65" w:name="_Toc457821511"/>
    <w:p w14:paraId="7AEB209A"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00DD0F59" w14:textId="50C907E7" w:rsidR="00774CA1" w:rsidRPr="00EF7CF9" w:rsidRDefault="00774CA1" w:rsidP="00454A0B">
      <w:pPr>
        <w:pStyle w:val="ProductList-OfferingGroupHeading"/>
        <w:pageBreakBefore/>
        <w:tabs>
          <w:tab w:val="clear" w:pos="360"/>
          <w:tab w:val="clear" w:pos="720"/>
          <w:tab w:val="clear" w:pos="1080"/>
        </w:tabs>
        <w:outlineLvl w:val="1"/>
      </w:pPr>
      <w:bookmarkStart w:id="66" w:name="_Toc239176391"/>
      <w:r>
        <w:lastRenderedPageBreak/>
        <w:t>Serviços do Office 365</w:t>
      </w:r>
      <w:bookmarkEnd w:id="65"/>
      <w:bookmarkEnd w:id="66"/>
    </w:p>
    <w:p w14:paraId="3BA27431" w14:textId="0D957E31" w:rsidR="00774CA1" w:rsidRPr="00EF7CF9" w:rsidRDefault="0076238C" w:rsidP="00F01ED6">
      <w:pPr>
        <w:pStyle w:val="ProductList-Offering2Heading"/>
        <w:tabs>
          <w:tab w:val="clear" w:pos="360"/>
          <w:tab w:val="clear" w:pos="720"/>
          <w:tab w:val="clear" w:pos="1080"/>
        </w:tabs>
        <w:outlineLvl w:val="2"/>
      </w:pPr>
      <w:bookmarkStart w:id="67" w:name="_Toc457821512"/>
      <w:bookmarkStart w:id="68" w:name="_Toc239176392"/>
      <w:r>
        <w:t>Duet Enterprise Online</w:t>
      </w:r>
      <w:bookmarkEnd w:id="67"/>
      <w:bookmarkEnd w:id="68"/>
    </w:p>
    <w:p w14:paraId="190CEC04" w14:textId="52467775" w:rsidR="00457D2C" w:rsidRPr="00EF7CF9" w:rsidRDefault="00457D2C" w:rsidP="00F01ED6">
      <w:pPr>
        <w:pStyle w:val="ProductList-Body"/>
      </w:pPr>
      <w:r>
        <w:rPr>
          <w:b/>
          <w:color w:val="00188F"/>
        </w:rPr>
        <w:t>Período de Indisponibilidade</w:t>
      </w:r>
      <w:r w:rsidRPr="00473DD3">
        <w:rPr>
          <w:b/>
          <w:color w:val="00188F"/>
        </w:rPr>
        <w:t>:</w:t>
      </w:r>
      <w:r>
        <w:t xml:space="preserve"> Qualquer período de tempo durante o qual os utilizadores não conseguem ler ou escrever qualquer parte de uma coleção de sites do SharePoint Online para a qual têm permissões adequadas.</w:t>
      </w:r>
    </w:p>
    <w:p w14:paraId="243E6003" w14:textId="635A9981" w:rsidR="00457D2C"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1004673B" w14:textId="77777777" w:rsidR="001A6663" w:rsidRPr="00EF7CF9" w:rsidRDefault="001A6663" w:rsidP="00F01ED6">
      <w:pPr>
        <w:pStyle w:val="ProductList-Body"/>
      </w:pPr>
    </w:p>
    <w:p w14:paraId="05C84A72" w14:textId="586F9E35" w:rsidR="00457D2C"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6FDCA245" w14:textId="4B3EE57B" w:rsidR="00457D2C" w:rsidRPr="00EF7CF9" w:rsidRDefault="00AC48A7" w:rsidP="00F01ED6">
      <w:pPr>
        <w:pStyle w:val="ProductList-Body"/>
        <w:ind w:right="126"/>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0F6A470D" w14:textId="77777777" w:rsidR="00657A3A" w:rsidRDefault="00657A3A" w:rsidP="00F01ED6">
      <w:pPr>
        <w:pStyle w:val="ProductList-Body"/>
        <w:rPr>
          <w:b/>
          <w:color w:val="00188F"/>
        </w:rPr>
      </w:pPr>
    </w:p>
    <w:p w14:paraId="7EBB7C89" w14:textId="19EF6109" w:rsidR="00457D2C" w:rsidRPr="00EF7CF9" w:rsidRDefault="00457D2C"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EC6193D" w14:textId="77777777" w:rsidR="00457D2C" w:rsidRPr="00EF7CF9" w:rsidRDefault="00457D2C" w:rsidP="00F01ED6">
            <w:pPr>
              <w:pStyle w:val="ProductList-OfferingBody"/>
              <w:jc w:val="center"/>
              <w:rPr>
                <w:color w:val="FFFFFF" w:themeColor="background1"/>
              </w:rPr>
            </w:pPr>
            <w:r>
              <w:rPr>
                <w:color w:val="FFFFFF" w:themeColor="background1"/>
              </w:rPr>
              <w:t>Crédito de Serviço</w:t>
            </w:r>
          </w:p>
        </w:tc>
      </w:tr>
      <w:tr w:rsidR="00457D2C" w:rsidRPr="00B44CF9" w14:paraId="58F94D70" w14:textId="77777777" w:rsidTr="00C86427">
        <w:tc>
          <w:tcPr>
            <w:tcW w:w="5400" w:type="dxa"/>
          </w:tcPr>
          <w:p w14:paraId="09911816" w14:textId="6F60CB41" w:rsidR="00457D2C" w:rsidRPr="00EF7CF9" w:rsidRDefault="00457D2C" w:rsidP="00F01ED6">
            <w:pPr>
              <w:pStyle w:val="ProductList-OfferingBody"/>
              <w:jc w:val="center"/>
            </w:pPr>
            <w:r>
              <w:t>&lt; 99,9%</w:t>
            </w:r>
          </w:p>
        </w:tc>
        <w:tc>
          <w:tcPr>
            <w:tcW w:w="5400" w:type="dxa"/>
          </w:tcPr>
          <w:p w14:paraId="1E55B479" w14:textId="77777777" w:rsidR="00457D2C" w:rsidRPr="00EF7CF9" w:rsidRDefault="00457D2C" w:rsidP="00F01ED6">
            <w:pPr>
              <w:pStyle w:val="ProductList-OfferingBody"/>
              <w:jc w:val="center"/>
            </w:pPr>
            <w:r>
              <w:t>25%</w:t>
            </w:r>
          </w:p>
        </w:tc>
      </w:tr>
      <w:tr w:rsidR="00457D2C" w:rsidRPr="00B44CF9" w14:paraId="42FEB8E8" w14:textId="77777777" w:rsidTr="00C86427">
        <w:tc>
          <w:tcPr>
            <w:tcW w:w="5400" w:type="dxa"/>
          </w:tcPr>
          <w:p w14:paraId="6F1CA677" w14:textId="6F627B9D" w:rsidR="00457D2C" w:rsidRPr="00EF7CF9" w:rsidRDefault="00457D2C" w:rsidP="00F01ED6">
            <w:pPr>
              <w:pStyle w:val="ProductList-OfferingBody"/>
              <w:jc w:val="center"/>
            </w:pPr>
            <w:r>
              <w:t>&lt; 99%</w:t>
            </w:r>
          </w:p>
        </w:tc>
        <w:tc>
          <w:tcPr>
            <w:tcW w:w="5400" w:type="dxa"/>
          </w:tcPr>
          <w:p w14:paraId="392B08D5" w14:textId="77777777" w:rsidR="00457D2C" w:rsidRPr="00EF7CF9" w:rsidRDefault="00457D2C" w:rsidP="00F01ED6">
            <w:pPr>
              <w:pStyle w:val="ProductList-OfferingBody"/>
              <w:jc w:val="center"/>
            </w:pPr>
            <w:r>
              <w:t>50%</w:t>
            </w:r>
          </w:p>
        </w:tc>
      </w:tr>
      <w:tr w:rsidR="00457D2C" w:rsidRPr="00B44CF9" w14:paraId="04233D54" w14:textId="77777777" w:rsidTr="00C86427">
        <w:tc>
          <w:tcPr>
            <w:tcW w:w="5400" w:type="dxa"/>
          </w:tcPr>
          <w:p w14:paraId="41087AD7" w14:textId="77777777" w:rsidR="00457D2C" w:rsidRPr="00EF7CF9" w:rsidRDefault="00457D2C" w:rsidP="00F01ED6">
            <w:pPr>
              <w:pStyle w:val="ProductList-OfferingBody"/>
              <w:jc w:val="center"/>
            </w:pPr>
            <w:r>
              <w:t>&lt; 95%</w:t>
            </w:r>
          </w:p>
        </w:tc>
        <w:tc>
          <w:tcPr>
            <w:tcW w:w="5400" w:type="dxa"/>
          </w:tcPr>
          <w:p w14:paraId="7D5D6CC8" w14:textId="77777777" w:rsidR="00457D2C" w:rsidRPr="00EF7CF9" w:rsidRDefault="00457D2C" w:rsidP="00F01ED6">
            <w:pPr>
              <w:pStyle w:val="ProductList-OfferingBody"/>
              <w:jc w:val="center"/>
            </w:pPr>
            <w:r>
              <w:t>100%</w:t>
            </w:r>
          </w:p>
        </w:tc>
      </w:tr>
    </w:tbl>
    <w:p w14:paraId="054A3300" w14:textId="4805DEBA" w:rsidR="00457D2C" w:rsidRPr="00EF7CF9" w:rsidRDefault="00457D2C" w:rsidP="00F01ED6">
      <w:pPr>
        <w:pStyle w:val="ProductList-Body"/>
      </w:pPr>
    </w:p>
    <w:p w14:paraId="08E6E950" w14:textId="5C6CCB84" w:rsidR="00457D2C" w:rsidRPr="00EF7CF9" w:rsidRDefault="00457D2C" w:rsidP="00F01ED6">
      <w:pPr>
        <w:pStyle w:val="ProductList-Body"/>
      </w:pPr>
      <w:r>
        <w:rPr>
          <w:b/>
          <w:color w:val="00188F"/>
        </w:rPr>
        <w:t>Exceções de Nível de Serviço</w:t>
      </w:r>
      <w:r w:rsidRPr="00473DD3">
        <w:rPr>
          <w:b/>
          <w:color w:val="00188F"/>
        </w:rPr>
        <w:t>:</w:t>
      </w:r>
      <w:r>
        <w:t xml:space="preserve"> Este SLA não é aplicável quando a incapacidade de ler ou escrever qualquer parte de um site do SharePoint Online é</w:t>
      </w:r>
      <w:r w:rsidR="008A5485">
        <w:t> </w:t>
      </w:r>
      <w:r>
        <w:t>causada por qualquer falha de software, equipamento ou serviços de terceiros que não sejam controlados pela Microsoft, ou pelo software Microsoft que não esteja a ser executado pela própria Microsoft no âmbito do Serviço.</w:t>
      </w:r>
    </w:p>
    <w:p w14:paraId="3404DCEC" w14:textId="77777777" w:rsidR="00457D2C" w:rsidRPr="00EF7CF9" w:rsidRDefault="00457D2C" w:rsidP="00F01ED6">
      <w:pPr>
        <w:pStyle w:val="ProductList-Body"/>
      </w:pPr>
    </w:p>
    <w:p w14:paraId="0A933C0E" w14:textId="4D0B89D8" w:rsidR="00457D2C" w:rsidRPr="00EF7CF9" w:rsidRDefault="00457D2C" w:rsidP="00F01ED6">
      <w:pPr>
        <w:pStyle w:val="ProductList-Body"/>
      </w:pPr>
      <w:r>
        <w:rPr>
          <w:b/>
          <w:color w:val="00188F"/>
        </w:rPr>
        <w:t>Termos Adicionais</w:t>
      </w:r>
      <w:r w:rsidRPr="00473DD3">
        <w:rPr>
          <w:b/>
          <w:color w:val="00188F"/>
        </w:rPr>
        <w:t>:</w:t>
      </w:r>
      <w:r>
        <w:t xml:space="preserve"> O Cliente será elegível para um Crédito de Serviço para o Duet Enterprise Online apenas quando o Cliente for elegível para um Crédito de Serviço para as SLs de Utilizador do SharePoint Online Plano 2 que tenha adquirido como um pré-requisito para as suas SLs de Utilizador do Duet Enterprise Online.</w:t>
      </w:r>
    </w:p>
    <w:bookmarkStart w:id="69" w:name="_Toc457821513"/>
    <w:p w14:paraId="147464C8"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1EE46691" w14:textId="63634FA2" w:rsidR="00D1684A" w:rsidRPr="00EF7CF9" w:rsidRDefault="00457D2C" w:rsidP="00F01ED6">
      <w:pPr>
        <w:pStyle w:val="ProductList-Offering2Heading"/>
        <w:outlineLvl w:val="2"/>
      </w:pPr>
      <w:bookmarkStart w:id="70" w:name="_Toc239176393"/>
      <w:r>
        <w:t>Exchange Online</w:t>
      </w:r>
      <w:bookmarkEnd w:id="69"/>
      <w:bookmarkEnd w:id="70"/>
    </w:p>
    <w:p w14:paraId="6A1192B8" w14:textId="77777777" w:rsidR="00F32BAA" w:rsidRPr="00F9236E" w:rsidRDefault="00F32BAA" w:rsidP="00F32BAA">
      <w:pPr>
        <w:pStyle w:val="ProductList-Body"/>
        <w:rPr>
          <w:rFonts w:ascii="Calibri" w:hAnsi="Calibri" w:cs="Calibri"/>
        </w:rPr>
      </w:pPr>
      <w:r>
        <w:rPr>
          <w:rFonts w:ascii="Calibri" w:hAnsi="Calibri" w:cs="Calibri"/>
          <w:b/>
          <w:color w:val="00188F"/>
        </w:rPr>
        <w:t>Período de Indisponibilidade</w:t>
      </w:r>
      <w:r w:rsidRPr="00B5590C">
        <w:rPr>
          <w:rFonts w:ascii="Calibri" w:hAnsi="Calibri" w:cs="Calibri"/>
          <w:b/>
          <w:bCs/>
        </w:rPr>
        <w:t>:</w:t>
      </w:r>
      <w:r>
        <w:rPr>
          <w:rFonts w:ascii="Calibri" w:hAnsi="Calibri" w:cs="Calibri"/>
        </w:rPr>
        <w:t xml:space="preserve"> Qualquer período de tempo durante o qual os utilizadores não conseguem enviar ou receber e-mail com o Outlook Web Access. Não existe um Período de Indisponibilidade Agendado para este serviço.</w:t>
      </w:r>
    </w:p>
    <w:p w14:paraId="2A0BEB60" w14:textId="77777777" w:rsidR="00F32BAA" w:rsidRPr="00F9236E" w:rsidRDefault="00F32BAA" w:rsidP="00F32BAA">
      <w:pPr>
        <w:pStyle w:val="ProductList-Body"/>
        <w:rPr>
          <w:rFonts w:ascii="Calibri" w:hAnsi="Calibri" w:cs="Calibri"/>
        </w:rPr>
      </w:pPr>
      <w:r>
        <w:rPr>
          <w:rFonts w:ascii="Calibri" w:hAnsi="Calibri" w:cs="Calibri"/>
          <w:b/>
          <w:color w:val="00188F"/>
        </w:rPr>
        <w:t>Percentagem de Período de Disponibilidade</w:t>
      </w:r>
      <w:r w:rsidRPr="00E4560F">
        <w:rPr>
          <w:rFonts w:ascii="Calibri" w:hAnsi="Calibri" w:cs="Calibri"/>
          <w:b/>
          <w:bCs/>
        </w:rPr>
        <w:t>:</w:t>
      </w:r>
      <w:r>
        <w:rPr>
          <w:rFonts w:ascii="Calibri" w:hAnsi="Calibri" w:cs="Calibri"/>
        </w:rPr>
        <w:t xml:space="preserve"> A Percentagem de Período de Disponibilidade é calculada através da seguinte fórmula:</w:t>
      </w:r>
    </w:p>
    <w:p w14:paraId="26517C05" w14:textId="77777777" w:rsidR="00F32BAA" w:rsidRPr="00EF7CF9" w:rsidRDefault="00F32BAA" w:rsidP="00F32BAA">
      <w:pPr>
        <w:pStyle w:val="ProductList-Body"/>
      </w:pPr>
    </w:p>
    <w:p w14:paraId="1F0FA3DC" w14:textId="77777777" w:rsidR="00F32BAA" w:rsidRPr="00EF7CF9" w:rsidRDefault="00000000" w:rsidP="00F32BAA">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Minutos de Utilizador - Período de Indisponibilidade </m:t>
              </m:r>
            </m:num>
            <m:den>
              <m:r>
                <w:rPr>
                  <w:rFonts w:ascii="Cambria Math" w:hAnsi="Cambria Math" w:cs="Calibri"/>
                  <w:sz w:val="18"/>
                  <w:szCs w:val="18"/>
                </w:rPr>
                <m:t>Minutos de Utilizador</m:t>
              </m:r>
            </m:den>
          </m:f>
          <m:r>
            <w:rPr>
              <w:rFonts w:ascii="Cambria Math" w:hAnsi="Cambria Math" w:cs="Calibri"/>
              <w:sz w:val="18"/>
              <w:szCs w:val="18"/>
            </w:rPr>
            <m:t xml:space="preserve"> x 100</m:t>
          </m:r>
        </m:oMath>
      </m:oMathPara>
    </w:p>
    <w:p w14:paraId="360DF2CF" w14:textId="77777777" w:rsidR="00F32BAA" w:rsidRPr="00F9236E" w:rsidRDefault="00F32BAA" w:rsidP="00F32BAA">
      <w:pPr>
        <w:pStyle w:val="ProductList-Body"/>
        <w:rPr>
          <w:rFonts w:ascii="Calibri" w:hAnsi="Calibri" w:cs="Calibri"/>
        </w:rPr>
      </w:pPr>
      <w:r>
        <w:rPr>
          <w:rFonts w:ascii="Calibri" w:hAnsi="Calibri" w:cs="Calibri"/>
        </w:rP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7213B916" w14:textId="77777777" w:rsidR="008C5EDB" w:rsidRPr="00EF7CF9" w:rsidRDefault="008C5EDB" w:rsidP="00F01ED6">
      <w:pPr>
        <w:pStyle w:val="ProductList-Body"/>
      </w:pPr>
    </w:p>
    <w:p w14:paraId="79B064B8" w14:textId="190589DB" w:rsidR="008C5EDB" w:rsidRPr="00EF7CF9" w:rsidRDefault="008C5EDB"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E9798A0" w14:textId="77777777" w:rsidR="008C5EDB" w:rsidRPr="00EF7CF9" w:rsidRDefault="008C5EDB" w:rsidP="00F01ED6">
            <w:pPr>
              <w:pStyle w:val="ProductList-OfferingBody"/>
              <w:jc w:val="center"/>
              <w:rPr>
                <w:color w:val="FFFFFF" w:themeColor="background1"/>
              </w:rPr>
            </w:pPr>
            <w:r>
              <w:rPr>
                <w:color w:val="FFFFFF" w:themeColor="background1"/>
              </w:rPr>
              <w:t>Crédito de Serviço</w:t>
            </w:r>
          </w:p>
        </w:tc>
      </w:tr>
      <w:tr w:rsidR="008C5EDB" w:rsidRPr="00B44CF9" w14:paraId="0D8E35A8" w14:textId="77777777" w:rsidTr="00C86427">
        <w:tc>
          <w:tcPr>
            <w:tcW w:w="5400" w:type="dxa"/>
          </w:tcPr>
          <w:p w14:paraId="077ED045" w14:textId="1ECDA385" w:rsidR="008C5EDB" w:rsidRPr="00EF7CF9" w:rsidRDefault="008C5EDB" w:rsidP="00F01ED6">
            <w:pPr>
              <w:pStyle w:val="ProductList-OfferingBody"/>
              <w:jc w:val="center"/>
            </w:pPr>
            <w:r>
              <w:t>&lt; 99,9%</w:t>
            </w:r>
          </w:p>
        </w:tc>
        <w:tc>
          <w:tcPr>
            <w:tcW w:w="5400" w:type="dxa"/>
          </w:tcPr>
          <w:p w14:paraId="27088976" w14:textId="77777777" w:rsidR="008C5EDB" w:rsidRPr="00EF7CF9" w:rsidRDefault="008C5EDB" w:rsidP="00F01ED6">
            <w:pPr>
              <w:pStyle w:val="ProductList-OfferingBody"/>
              <w:jc w:val="center"/>
            </w:pPr>
            <w:r>
              <w:t>25%</w:t>
            </w:r>
          </w:p>
        </w:tc>
      </w:tr>
      <w:tr w:rsidR="008C5EDB" w:rsidRPr="00B44CF9" w14:paraId="2C28970C" w14:textId="77777777" w:rsidTr="00C86427">
        <w:tc>
          <w:tcPr>
            <w:tcW w:w="5400" w:type="dxa"/>
          </w:tcPr>
          <w:p w14:paraId="23AD33F1" w14:textId="5206F138" w:rsidR="008C5EDB" w:rsidRPr="00EF7CF9" w:rsidRDefault="008C5EDB" w:rsidP="00F01ED6">
            <w:pPr>
              <w:pStyle w:val="ProductList-OfferingBody"/>
              <w:jc w:val="center"/>
            </w:pPr>
            <w:r>
              <w:t>&lt; 99%</w:t>
            </w:r>
          </w:p>
        </w:tc>
        <w:tc>
          <w:tcPr>
            <w:tcW w:w="5400" w:type="dxa"/>
          </w:tcPr>
          <w:p w14:paraId="46AE6A16" w14:textId="77777777" w:rsidR="008C5EDB" w:rsidRPr="00EF7CF9" w:rsidRDefault="008C5EDB" w:rsidP="00F01ED6">
            <w:pPr>
              <w:pStyle w:val="ProductList-OfferingBody"/>
              <w:jc w:val="center"/>
            </w:pPr>
            <w:r>
              <w:t>50%</w:t>
            </w:r>
          </w:p>
        </w:tc>
      </w:tr>
      <w:tr w:rsidR="008C5EDB" w:rsidRPr="00B44CF9" w14:paraId="63DFBD57" w14:textId="77777777" w:rsidTr="00C86427">
        <w:tc>
          <w:tcPr>
            <w:tcW w:w="5400" w:type="dxa"/>
          </w:tcPr>
          <w:p w14:paraId="2C378505" w14:textId="77777777" w:rsidR="008C5EDB" w:rsidRPr="00EF7CF9" w:rsidRDefault="008C5EDB" w:rsidP="00F01ED6">
            <w:pPr>
              <w:pStyle w:val="ProductList-OfferingBody"/>
              <w:jc w:val="center"/>
            </w:pPr>
            <w:r>
              <w:t>&lt; 95%</w:t>
            </w:r>
          </w:p>
        </w:tc>
        <w:tc>
          <w:tcPr>
            <w:tcW w:w="5400" w:type="dxa"/>
          </w:tcPr>
          <w:p w14:paraId="68F6EC9A" w14:textId="77777777" w:rsidR="008C5EDB" w:rsidRPr="00EF7CF9" w:rsidRDefault="008C5EDB" w:rsidP="00F01ED6">
            <w:pPr>
              <w:pStyle w:val="ProductList-OfferingBody"/>
              <w:jc w:val="center"/>
            </w:pPr>
            <w:r>
              <w:t>100%</w:t>
            </w:r>
          </w:p>
        </w:tc>
      </w:tr>
    </w:tbl>
    <w:p w14:paraId="428BBD97" w14:textId="77777777" w:rsidR="00D86CF6" w:rsidRDefault="00D86CF6" w:rsidP="000C4CD3">
      <w:pPr>
        <w:pStyle w:val="ProductList-Body"/>
        <w:rPr>
          <w:rFonts w:ascii="Calibri" w:hAnsi="Calibri" w:cs="Calibri"/>
          <w:b/>
          <w:color w:val="00188F"/>
          <w:szCs w:val="18"/>
        </w:rPr>
      </w:pPr>
      <w:bookmarkStart w:id="71" w:name="_Toc457821514"/>
    </w:p>
    <w:p w14:paraId="202AA9D3" w14:textId="77777777" w:rsidR="00D86CF6" w:rsidRPr="00D81517" w:rsidRDefault="00D86CF6" w:rsidP="00D86CF6">
      <w:pPr>
        <w:pStyle w:val="ProductList-Body"/>
        <w:rPr>
          <w:rFonts w:ascii="Calibri" w:hAnsi="Calibri" w:cs="Calibri"/>
          <w:b/>
          <w:color w:val="00188F"/>
        </w:rPr>
      </w:pPr>
      <w:r>
        <w:rPr>
          <w:rFonts w:ascii="Calibri" w:hAnsi="Calibri" w:cs="Calibri"/>
          <w:b/>
          <w:color w:val="00188F"/>
        </w:rPr>
        <w:t>O nível de serviço para a Disponibilidade de OWA não se aplica aos seguintes cenários:</w:t>
      </w:r>
    </w:p>
    <w:p w14:paraId="1FC1D3FA" w14:textId="77777777" w:rsidR="00D86CF6" w:rsidRPr="00D81517" w:rsidRDefault="00D86CF6">
      <w:pPr>
        <w:pStyle w:val="ProductList-Body"/>
        <w:numPr>
          <w:ilvl w:val="0"/>
          <w:numId w:val="29"/>
        </w:numPr>
        <w:rPr>
          <w:rFonts w:ascii="Calibri" w:hAnsi="Calibri" w:cs="Calibri"/>
        </w:rPr>
      </w:pPr>
      <w:r>
        <w:rPr>
          <w:rFonts w:ascii="Calibri" w:hAnsi="Calibri" w:cs="Calibri"/>
        </w:rPr>
        <w:t>Ataques Denial of Service (DoS)</w:t>
      </w:r>
    </w:p>
    <w:p w14:paraId="69EDECDE" w14:textId="77777777" w:rsidR="00D86CF6" w:rsidRPr="00D81517" w:rsidRDefault="00D86CF6">
      <w:pPr>
        <w:pStyle w:val="ProductList-Body"/>
        <w:numPr>
          <w:ilvl w:val="0"/>
          <w:numId w:val="29"/>
        </w:numPr>
        <w:rPr>
          <w:rFonts w:ascii="Calibri" w:hAnsi="Calibri" w:cs="Calibri"/>
        </w:rPr>
      </w:pPr>
      <w:r>
        <w:rPr>
          <w:rFonts w:ascii="Calibri" w:hAnsi="Calibri" w:cs="Calibri"/>
        </w:rPr>
        <w:t>Configuração incorreta do Inquilino do Microsoft 365</w:t>
      </w:r>
    </w:p>
    <w:p w14:paraId="67A4F2B0" w14:textId="77777777" w:rsidR="00D86CF6" w:rsidRPr="00D81517" w:rsidRDefault="00D86CF6">
      <w:pPr>
        <w:pStyle w:val="ProductList-Body"/>
        <w:numPr>
          <w:ilvl w:val="0"/>
          <w:numId w:val="29"/>
        </w:numPr>
        <w:rPr>
          <w:rFonts w:ascii="Calibri" w:hAnsi="Calibri" w:cs="Calibri"/>
        </w:rPr>
      </w:pPr>
      <w:r>
        <w:rPr>
          <w:rFonts w:ascii="Calibri" w:hAnsi="Calibri" w:cs="Calibri"/>
        </w:rPr>
        <w:t>Problemas de rede fora do Limite do Microsoft 365</w:t>
      </w:r>
    </w:p>
    <w:p w14:paraId="3DFF354F" w14:textId="77777777" w:rsidR="00D86CF6" w:rsidRPr="00D81517" w:rsidRDefault="00D86CF6">
      <w:pPr>
        <w:pStyle w:val="ProductList-Body"/>
        <w:numPr>
          <w:ilvl w:val="0"/>
          <w:numId w:val="29"/>
        </w:numPr>
        <w:rPr>
          <w:rFonts w:ascii="Calibri" w:hAnsi="Calibri" w:cs="Calibri"/>
        </w:rPr>
      </w:pPr>
      <w:r>
        <w:rPr>
          <w:rFonts w:ascii="Calibri" w:hAnsi="Calibri" w:cs="Calibri"/>
        </w:rPr>
        <w:t>Exceder os limites de envio/receção do Microsoft 365</w:t>
      </w:r>
    </w:p>
    <w:p w14:paraId="02ACFCB5" w14:textId="77777777" w:rsidR="00D86CF6" w:rsidRPr="00D81517" w:rsidRDefault="00D86CF6">
      <w:pPr>
        <w:pStyle w:val="ProductList-Body"/>
        <w:numPr>
          <w:ilvl w:val="0"/>
          <w:numId w:val="29"/>
        </w:numPr>
        <w:rPr>
          <w:rFonts w:ascii="Calibri" w:hAnsi="Calibri" w:cs="Calibri"/>
        </w:rPr>
      </w:pPr>
      <w:r>
        <w:rPr>
          <w:rFonts w:ascii="Calibri" w:hAnsi="Calibri" w:cs="Calibri"/>
        </w:rPr>
        <w:t>Problemas devido a Extensões (ou seja, políticas personalizadas do inquilino, aplicações)</w:t>
      </w:r>
    </w:p>
    <w:p w14:paraId="41675989" w14:textId="77777777" w:rsidR="00D86CF6" w:rsidRPr="00D81517" w:rsidRDefault="00D86CF6">
      <w:pPr>
        <w:pStyle w:val="ProductList-Body"/>
        <w:numPr>
          <w:ilvl w:val="0"/>
          <w:numId w:val="29"/>
        </w:numPr>
        <w:rPr>
          <w:rFonts w:ascii="Calibri" w:hAnsi="Calibri" w:cs="Calibri"/>
        </w:rPr>
      </w:pPr>
      <w:r>
        <w:rPr>
          <w:rFonts w:ascii="Calibri" w:hAnsi="Calibri" w:cs="Calibri"/>
        </w:rPr>
        <w:t>Incidentes induzidos por terceiros (ou seja, ISP, OnPrem, etc.)</w:t>
      </w:r>
    </w:p>
    <w:p w14:paraId="299DA75F" w14:textId="77777777" w:rsidR="00D86CF6" w:rsidRDefault="00D86CF6" w:rsidP="000C4CD3">
      <w:pPr>
        <w:pStyle w:val="ProductList-Body"/>
        <w:rPr>
          <w:rFonts w:ascii="Calibri" w:hAnsi="Calibri" w:cs="Calibri"/>
          <w:b/>
          <w:color w:val="00188F"/>
          <w:szCs w:val="18"/>
        </w:rPr>
      </w:pPr>
    </w:p>
    <w:p w14:paraId="56BA3BA6" w14:textId="05F52BCA" w:rsidR="000C4CD3" w:rsidRPr="00545240" w:rsidRDefault="000C4CD3" w:rsidP="000C4CD3">
      <w:pPr>
        <w:pStyle w:val="ProductList-Body"/>
        <w:rPr>
          <w:rFonts w:ascii="Calibri" w:hAnsi="Calibri" w:cs="Calibri"/>
          <w:color w:val="00188F"/>
          <w:szCs w:val="18"/>
        </w:rPr>
      </w:pPr>
      <w:r>
        <w:rPr>
          <w:rFonts w:ascii="Calibri" w:hAnsi="Calibri" w:cs="Calibri"/>
          <w:b/>
          <w:color w:val="00188F"/>
          <w:szCs w:val="18"/>
        </w:rPr>
        <w:t>Percentagem de Período de Disponibilidade para o Tempo de Entrega do E-mail do Exchange</w:t>
      </w:r>
    </w:p>
    <w:p w14:paraId="418F4012" w14:textId="77777777" w:rsidR="000C4CD3" w:rsidRPr="00CD6A13" w:rsidRDefault="000C4CD3" w:rsidP="000C4CD3">
      <w:pPr>
        <w:pStyle w:val="ProductList-Body"/>
        <w:rPr>
          <w:rFonts w:ascii="Calibri" w:hAnsi="Calibri" w:cs="Calibri"/>
          <w:b/>
          <w:color w:val="00188F"/>
          <w:szCs w:val="18"/>
        </w:rPr>
      </w:pPr>
      <w:r>
        <w:rPr>
          <w:rFonts w:ascii="Calibri" w:hAnsi="Calibri" w:cs="Calibri"/>
          <w:b/>
          <w:color w:val="00188F"/>
          <w:szCs w:val="18"/>
        </w:rPr>
        <w:t>Entrega de E-mail Interno do M365</w:t>
      </w:r>
    </w:p>
    <w:p w14:paraId="2F99DA8A" w14:textId="77777777" w:rsidR="000C4CD3" w:rsidRPr="00545240" w:rsidRDefault="000C4CD3" w:rsidP="000C4CD3">
      <w:pPr>
        <w:pStyle w:val="ProductList-Body"/>
        <w:rPr>
          <w:rFonts w:ascii="Calibri" w:hAnsi="Calibri" w:cs="Calibri"/>
          <w:szCs w:val="18"/>
        </w:rPr>
      </w:pPr>
      <w:r>
        <w:rPr>
          <w:rFonts w:ascii="Calibri" w:hAnsi="Calibri" w:cs="Calibri"/>
          <w:szCs w:val="18"/>
        </w:rPr>
        <w:t>A Entrega de E-mail Interno do M365 é definida como as 95% mensagens mais rápidas medidas em segundos ao longo de um Período Aplicável dentro do limite do Microsoft 365 e é aplicável aos seguintes cenários:</w:t>
      </w:r>
    </w:p>
    <w:p w14:paraId="3C61BE78" w14:textId="77777777" w:rsidR="000C4CD3" w:rsidRPr="00545240" w:rsidRDefault="000C4CD3">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Entrada na caixa de correio alojada na cloud do Microsoft 365</w:t>
      </w:r>
      <w:r w:rsidRPr="00AE03BB">
        <w:rPr>
          <w:rFonts w:ascii="Calibri" w:eastAsia="Times New Roman" w:hAnsi="Calibri" w:cs="Calibri"/>
          <w:b/>
          <w:bCs/>
          <w:color w:val="000000"/>
          <w:szCs w:val="18"/>
        </w:rPr>
        <w:t>:</w:t>
      </w:r>
      <w:r>
        <w:rPr>
          <w:rFonts w:ascii="Calibri" w:eastAsia="Times New Roman" w:hAnsi="Calibri" w:cs="Calibri"/>
          <w:color w:val="000000"/>
          <w:szCs w:val="18"/>
        </w:rPr>
        <w:t xml:space="preserve"> o tempo decorrido desde que um e-mail entra no limite do Microsoft 365 até o e-mail ser entregue na caixa de correio alojada na cloud do Microsoft 365</w:t>
      </w:r>
      <w:r>
        <w:rPr>
          <w:rFonts w:ascii="Calibri" w:hAnsi="Calibri" w:cs="Calibri"/>
          <w:szCs w:val="18"/>
        </w:rPr>
        <w:t>.</w:t>
      </w:r>
    </w:p>
    <w:p w14:paraId="0CD4CF5F" w14:textId="77777777" w:rsidR="000C4CD3" w:rsidRPr="00545240" w:rsidRDefault="000C4CD3">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Microsoft 365 intrainquilino para a caixa de correio alojada na cloud do Microsoft 365 (Interinquilino excluído)</w:t>
      </w:r>
      <w:r w:rsidRPr="00AE03BB">
        <w:rPr>
          <w:rFonts w:ascii="Calibri" w:eastAsia="Times New Roman" w:hAnsi="Calibri" w:cs="Calibri"/>
          <w:b/>
          <w:bCs/>
          <w:color w:val="000000"/>
          <w:szCs w:val="18"/>
        </w:rPr>
        <w:t>:</w:t>
      </w:r>
      <w:r>
        <w:rPr>
          <w:rFonts w:ascii="Calibri" w:eastAsia="Times New Roman" w:hAnsi="Calibri" w:cs="Calibri"/>
          <w:color w:val="000000"/>
          <w:szCs w:val="18"/>
        </w:rPr>
        <w:t xml:space="preserve"> o tempo decorrido desde que uma caixa de correio alojada na cloud do Microsoft 365 envia o e-mail e que este é entregue noutra caixa de correio alojada na cloud do Microsoft 365</w:t>
      </w:r>
      <w:r>
        <w:rPr>
          <w:rFonts w:ascii="Calibri" w:hAnsi="Calibri" w:cs="Calibri"/>
          <w:szCs w:val="18"/>
        </w:rPr>
        <w:t>.</w:t>
      </w:r>
    </w:p>
    <w:p w14:paraId="5B2437D1" w14:textId="77777777" w:rsidR="000C4CD3" w:rsidRPr="00545240" w:rsidRDefault="000C4CD3">
      <w:pPr>
        <w:pStyle w:val="ProductList-Body"/>
        <w:numPr>
          <w:ilvl w:val="0"/>
          <w:numId w:val="20"/>
        </w:numPr>
        <w:ind w:left="720"/>
        <w:rPr>
          <w:rFonts w:ascii="Calibri" w:hAnsi="Calibri" w:cs="Calibri"/>
          <w:b/>
          <w:bCs/>
          <w:szCs w:val="18"/>
        </w:rPr>
      </w:pPr>
      <w:r>
        <w:rPr>
          <w:rFonts w:ascii="Calibri" w:eastAsia="Times New Roman" w:hAnsi="Calibri" w:cs="Calibri"/>
          <w:b/>
          <w:bCs/>
          <w:color w:val="000000"/>
          <w:szCs w:val="18"/>
        </w:rPr>
        <w:t>Caixa de correio alojada na cloud do Microsoft 365 para um destinatário externo</w:t>
      </w:r>
      <w:r w:rsidRPr="00AE03BB">
        <w:rPr>
          <w:rFonts w:ascii="Calibri" w:eastAsia="Times New Roman" w:hAnsi="Calibri" w:cs="Calibri"/>
          <w:b/>
          <w:bCs/>
          <w:color w:val="000000"/>
          <w:szCs w:val="18"/>
        </w:rPr>
        <w:t>:</w:t>
      </w:r>
      <w:r>
        <w:rPr>
          <w:rFonts w:ascii="Calibri" w:eastAsia="Times New Roman" w:hAnsi="Calibri" w:cs="Calibri"/>
          <w:color w:val="000000"/>
          <w:szCs w:val="18"/>
        </w:rPr>
        <w:t xml:space="preserve"> o tempo decorrido desde que uma caixa de correio alojada na cloud do Microsoft 365 envia e-mail para um destinatário externo, onde o atraso foi identificado como uma falha no limite do inquilino do Microsoft 365</w:t>
      </w:r>
      <w:r>
        <w:rPr>
          <w:rFonts w:ascii="Calibri" w:hAnsi="Calibri" w:cs="Calibri"/>
          <w:szCs w:val="18"/>
        </w:rPr>
        <w:t>.</w:t>
      </w:r>
    </w:p>
    <w:p w14:paraId="177E31A2" w14:textId="77777777" w:rsidR="000C4CD3" w:rsidRPr="00545240" w:rsidRDefault="000C4CD3">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Reencaminhamento do Microsoft 365 para um destinatário externo</w:t>
      </w:r>
      <w:r w:rsidRPr="00AE03BB">
        <w:rPr>
          <w:rFonts w:ascii="Calibri" w:eastAsia="Times New Roman" w:hAnsi="Calibri" w:cs="Calibri"/>
          <w:b/>
          <w:bCs/>
          <w:color w:val="000000"/>
          <w:szCs w:val="18"/>
        </w:rPr>
        <w:t>:</w:t>
      </w:r>
      <w:r>
        <w:rPr>
          <w:rFonts w:ascii="Calibri" w:eastAsia="Times New Roman" w:hAnsi="Calibri" w:cs="Calibri"/>
          <w:color w:val="000000"/>
          <w:szCs w:val="18"/>
        </w:rPr>
        <w:t xml:space="preserve"> O tempo decorrido desde que um e-mail entra no limite do Microsoft 365 do ambiente no local de um cliente através de um conector de entrada e sai do limite do inquilino do Microsoft 365, e o atraso foi identificado como uma falha no limite do Microsoft 365.</w:t>
      </w:r>
    </w:p>
    <w:p w14:paraId="5F42CC1F" w14:textId="77777777" w:rsidR="000C4CD3" w:rsidRPr="00545240" w:rsidRDefault="000C4CD3" w:rsidP="000C4CD3">
      <w:pPr>
        <w:pStyle w:val="ProductList-Body"/>
        <w:ind w:left="720"/>
        <w:rPr>
          <w:rFonts w:ascii="Calibri" w:hAnsi="Calibri" w:cs="Calibri"/>
          <w:szCs w:val="18"/>
        </w:rPr>
      </w:pPr>
    </w:p>
    <w:p w14:paraId="209DAAEA" w14:textId="77777777" w:rsidR="000C4CD3" w:rsidRPr="00545240" w:rsidRDefault="000C4CD3" w:rsidP="000C4CD3">
      <w:pPr>
        <w:pStyle w:val="ProductList-Body"/>
        <w:rPr>
          <w:rFonts w:ascii="Calibri" w:hAnsi="Calibri" w:cs="Calibri"/>
          <w:bCs/>
          <w:szCs w:val="18"/>
        </w:rPr>
      </w:pPr>
      <w:r>
        <w:rPr>
          <w:rFonts w:ascii="Calibri" w:hAnsi="Calibri" w:cs="Calibri"/>
          <w:bCs/>
          <w:szCs w:val="18"/>
        </w:rPr>
        <w:t>A Entrega de E-mail Interno do M365 é medida e, depois, ordenada pelo tempo decorrido. Os 95% mais rápidos das medições são utilizados para criar o tempo de entrega médio para o Período Aplicável.</w:t>
      </w:r>
    </w:p>
    <w:p w14:paraId="5BB28AD4" w14:textId="77777777" w:rsidR="000C4CD3" w:rsidRPr="00545240" w:rsidRDefault="000C4CD3" w:rsidP="000C4CD3">
      <w:pPr>
        <w:pStyle w:val="ProductList-Body"/>
        <w:rPr>
          <w:rFonts w:ascii="Calibri" w:hAnsi="Calibri" w:cs="Calibri"/>
          <w:szCs w:val="18"/>
        </w:rPr>
      </w:pPr>
    </w:p>
    <w:p w14:paraId="6B84CD37" w14:textId="77777777" w:rsidR="000C4CD3" w:rsidRPr="00545240" w:rsidRDefault="000C4CD3" w:rsidP="000C4CD3">
      <w:pPr>
        <w:pStyle w:val="ProductList-Body"/>
        <w:rPr>
          <w:rFonts w:ascii="Calibri" w:hAnsi="Calibri" w:cs="Calibri"/>
          <w:szCs w:val="18"/>
        </w:rPr>
      </w:pPr>
      <w:r>
        <w:rPr>
          <w:rFonts w:ascii="Calibri" w:eastAsia="Times New Roman" w:hAnsi="Calibri" w:cs="Calibri"/>
          <w:color w:val="000000"/>
          <w:szCs w:val="18"/>
        </w:rPr>
        <w:t>Os clientes são elegíveis para um crédito de serviço quando os 95% mais rápidos da entrega de e-mail para o Período Aplicável excede os seguintes limiares</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0C4CD3" w14:paraId="7F23A933" w14:textId="77777777" w:rsidTr="00041F55">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0C1ADE4" w14:textId="77777777" w:rsidR="000C4CD3" w:rsidRPr="00726397" w:rsidRDefault="000C4CD3"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Média do Tempo de Entrega de E-mail</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38E7DD" w14:textId="77777777" w:rsidR="000C4CD3" w:rsidRPr="00726397" w:rsidRDefault="000C4CD3"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Crédito de Serviço</w:t>
            </w:r>
          </w:p>
        </w:tc>
      </w:tr>
      <w:tr w:rsidR="000C4CD3" w14:paraId="1B010A72" w14:textId="77777777" w:rsidTr="00041F55">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1F1845" w14:textId="77777777" w:rsidR="000C4CD3" w:rsidRPr="00726397" w:rsidRDefault="000C4CD3" w:rsidP="00041F55">
            <w:pPr>
              <w:pStyle w:val="ProductList-OfferingBody"/>
              <w:spacing w:line="257" w:lineRule="auto"/>
              <w:jc w:val="center"/>
              <w:rPr>
                <w:rFonts w:ascii="Calibri" w:hAnsi="Calibri" w:cs="Calibri"/>
                <w:szCs w:val="16"/>
                <w:lang w:eastAsia="ko-KR"/>
              </w:rPr>
            </w:pPr>
            <w:r>
              <w:rPr>
                <w:rFonts w:ascii="Calibri" w:hAnsi="Calibri" w:cs="Calibri"/>
                <w:szCs w:val="16"/>
              </w:rPr>
              <w:t>&gt;1 minuto</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F2CF21" w14:textId="77777777" w:rsidR="000C4CD3" w:rsidRPr="00726397" w:rsidRDefault="000C4CD3" w:rsidP="00041F55">
            <w:pPr>
              <w:pStyle w:val="ProductList-OfferingBody"/>
              <w:spacing w:line="257" w:lineRule="auto"/>
              <w:jc w:val="center"/>
              <w:rPr>
                <w:rFonts w:ascii="Calibri" w:hAnsi="Calibri" w:cs="Calibri"/>
                <w:szCs w:val="16"/>
                <w:lang w:eastAsia="ko-KR"/>
              </w:rPr>
            </w:pPr>
            <w:r>
              <w:rPr>
                <w:rFonts w:ascii="Calibri" w:hAnsi="Calibri" w:cs="Calibri"/>
                <w:szCs w:val="16"/>
              </w:rPr>
              <w:t>25%</w:t>
            </w:r>
          </w:p>
        </w:tc>
      </w:tr>
      <w:tr w:rsidR="000C4CD3" w14:paraId="1C38652C" w14:textId="77777777" w:rsidTr="00041F55">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FA68A5" w14:textId="77777777" w:rsidR="000C4CD3" w:rsidRPr="00726397" w:rsidRDefault="000C4CD3"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&gt;4 minutos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8D4261" w14:textId="77777777" w:rsidR="000C4CD3" w:rsidRPr="00726397" w:rsidRDefault="000C4CD3"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50%</w:t>
            </w:r>
          </w:p>
        </w:tc>
      </w:tr>
      <w:tr w:rsidR="000C4CD3" w14:paraId="77AC82E3" w14:textId="77777777" w:rsidTr="00041F55">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8E0BF9" w14:textId="77777777" w:rsidR="000C4CD3" w:rsidRPr="00726397" w:rsidRDefault="000C4CD3"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&gt;10 minutos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6E11C4" w14:textId="77777777" w:rsidR="000C4CD3" w:rsidRPr="00726397" w:rsidRDefault="000C4CD3"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100%</w:t>
            </w:r>
          </w:p>
        </w:tc>
      </w:tr>
    </w:tbl>
    <w:p w14:paraId="302633E1" w14:textId="77777777" w:rsidR="000C4CD3" w:rsidRPr="00C63332" w:rsidRDefault="000C4CD3" w:rsidP="000C4CD3">
      <w:pPr>
        <w:pStyle w:val="ProductList-Body"/>
        <w:rPr>
          <w:sz w:val="12"/>
          <w:szCs w:val="12"/>
        </w:rPr>
      </w:pPr>
    </w:p>
    <w:p w14:paraId="44A10A7E" w14:textId="77777777" w:rsidR="000C4CD3" w:rsidRPr="00C07B33" w:rsidRDefault="000C4CD3" w:rsidP="000C4CD3">
      <w:pPr>
        <w:pStyle w:val="ProductList-Body"/>
        <w:rPr>
          <w:rFonts w:ascii="Calibri" w:hAnsi="Calibri" w:cs="Calibri"/>
          <w:b/>
          <w:color w:val="00188F"/>
          <w:szCs w:val="18"/>
        </w:rPr>
      </w:pPr>
      <w:r>
        <w:rPr>
          <w:rFonts w:ascii="Calibri" w:hAnsi="Calibri" w:cs="Calibri"/>
          <w:b/>
          <w:color w:val="00188F"/>
          <w:szCs w:val="18"/>
        </w:rPr>
        <w:t>Entrega de E-mail Garantida</w:t>
      </w:r>
    </w:p>
    <w:p w14:paraId="711C4FC0" w14:textId="77777777" w:rsidR="000C4CD3" w:rsidRPr="00B47C93" w:rsidRDefault="000C4CD3" w:rsidP="000C4CD3">
      <w:pPr>
        <w:pStyle w:val="ProductList-Body"/>
        <w:rPr>
          <w:rFonts w:ascii="Calibri" w:hAnsi="Calibri" w:cs="Calibri"/>
          <w:b/>
          <w:bCs/>
          <w:szCs w:val="18"/>
        </w:rPr>
      </w:pPr>
      <w:r w:rsidRPr="00B47C93">
        <w:rPr>
          <w:rFonts w:ascii="Calibri" w:hAnsi="Calibri" w:cs="Calibri"/>
        </w:rPr>
        <w:t>Entrega de E-mail Garantida</w:t>
      </w:r>
      <w:r w:rsidRPr="00B47C93">
        <w:rPr>
          <w:rFonts w:ascii="Calibri" w:hAnsi="Calibri" w:cs="Calibri"/>
          <w:bCs/>
          <w:szCs w:val="18"/>
        </w:rPr>
        <w:t xml:space="preserve"> dentro do limite do Microsoft 365 refere-se à entrega bem-sucedida de mensagens de e-mail. Não há um período de indisponibilidade agendado para este efeito e aplica-se apenas a falhas dentro do limite do M365.</w:t>
      </w:r>
    </w:p>
    <w:p w14:paraId="662C59A1" w14:textId="77777777" w:rsidR="000C4CD3" w:rsidRPr="002A0A04" w:rsidRDefault="000C4CD3" w:rsidP="000C4CD3">
      <w:pPr>
        <w:pStyle w:val="ProductList-Body"/>
        <w:rPr>
          <w:rFonts w:ascii="Calibri" w:hAnsi="Calibri" w:cs="Calibri"/>
          <w:bCs/>
        </w:rPr>
      </w:pPr>
    </w:p>
    <w:p w14:paraId="4E777072" w14:textId="77777777" w:rsidR="000C4CD3" w:rsidRPr="003B48E1" w:rsidRDefault="000C4CD3" w:rsidP="000C4CD3">
      <w:pPr>
        <w:pStyle w:val="ProductList-Body"/>
        <w:rPr>
          <w:rFonts w:ascii="Calibri" w:hAnsi="Calibri" w:cs="Calibri"/>
          <w:b/>
          <w:bCs/>
          <w:szCs w:val="18"/>
        </w:rPr>
      </w:pPr>
      <w:r>
        <w:rPr>
          <w:rFonts w:ascii="Calibri" w:hAnsi="Calibri" w:cs="Calibri"/>
          <w:szCs w:val="18"/>
        </w:rPr>
        <w:t>Percentagem de Período de Disponibilidade:</w:t>
      </w:r>
      <w:r>
        <w:rPr>
          <w:rFonts w:ascii="Calibri" w:hAnsi="Calibri" w:cs="Calibri"/>
          <w:bCs/>
          <w:szCs w:val="18"/>
        </w:rPr>
        <w:t xml:space="preserve"> A Percentagem de Período de Disponibilidade é calculada através da seguinte fórmula:</w:t>
      </w:r>
    </w:p>
    <w:p w14:paraId="5721A206" w14:textId="77777777" w:rsidR="000C4CD3" w:rsidRPr="002A0A04" w:rsidRDefault="000C4CD3" w:rsidP="000C4CD3">
      <w:pPr>
        <w:pStyle w:val="ProductList-Body"/>
        <w:rPr>
          <w:rFonts w:ascii="Calibri" w:hAnsi="Calibri" w:cs="Calibri"/>
          <w:bCs/>
        </w:rPr>
      </w:pPr>
    </w:p>
    <w:p w14:paraId="4051AD80" w14:textId="77777777" w:rsidR="000C4CD3" w:rsidRPr="002A0A04" w:rsidRDefault="00000000" w:rsidP="000C4CD3">
      <w:pPr>
        <w:pStyle w:val="ProductList-Body"/>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Total de minutos num mês-Período de Indisponibilidade</m:t>
              </m:r>
            </m:num>
            <m:den>
              <m:r>
                <w:rPr>
                  <w:rFonts w:ascii="Cambria Math" w:hAnsi="Cambria Math" w:cs="Calibri"/>
                </w:rPr>
                <m:t>Total de minutos num mês</m:t>
              </m:r>
            </m:den>
          </m:f>
          <m:r>
            <m:rPr>
              <m:sty m:val="bi"/>
            </m:rPr>
            <w:rPr>
              <w:rFonts w:ascii="Cambria Math" w:hAnsi="Cambria Math" w:cs="Calibri"/>
            </w:rPr>
            <m:t xml:space="preserve"> </m:t>
          </m:r>
          <m:r>
            <w:rPr>
              <w:rFonts w:ascii="Cambria Math" w:hAnsi="Cambria Math" w:cs="Calibri"/>
            </w:rPr>
            <m:t>x 100</m:t>
          </m:r>
        </m:oMath>
      </m:oMathPara>
    </w:p>
    <w:p w14:paraId="1879E1DE" w14:textId="77777777" w:rsidR="000C4CD3" w:rsidRPr="002A0A04" w:rsidRDefault="000C4CD3" w:rsidP="000C4CD3">
      <w:pPr>
        <w:pStyle w:val="ProductList-Body"/>
        <w:rPr>
          <w:rFonts w:ascii="Calibri" w:hAnsi="Calibri" w:cs="Calibri"/>
          <w:bCs/>
        </w:rPr>
      </w:pPr>
    </w:p>
    <w:p w14:paraId="16DAB760" w14:textId="77777777" w:rsidR="000C4CD3" w:rsidRPr="003B48E1" w:rsidRDefault="000C4CD3" w:rsidP="000C4CD3">
      <w:pPr>
        <w:pStyle w:val="ProductList-Body"/>
        <w:rPr>
          <w:rFonts w:ascii="Calibri" w:hAnsi="Calibri" w:cs="Calibri"/>
          <w:b/>
          <w:bCs/>
          <w:szCs w:val="18"/>
        </w:rPr>
      </w:pPr>
      <w:r>
        <w:rPr>
          <w:rFonts w:ascii="Calibri" w:hAnsi="Calibri" w:cs="Calibri"/>
          <w:bCs/>
          <w:szCs w:val="18"/>
        </w:rPr>
        <w:t>em que o Período de Indisponibilidade é a soma do tempo (em minutos) multiplicada pela fração do serviço que não está disponível, somada ao longo do mês do calendário.</w:t>
      </w:r>
    </w:p>
    <w:p w14:paraId="5FB99A6A" w14:textId="77777777" w:rsidR="000C4CD3" w:rsidRPr="002A0A04" w:rsidRDefault="000C4CD3" w:rsidP="000C4CD3">
      <w:pPr>
        <w:pStyle w:val="ProductList-Body"/>
        <w:rPr>
          <w:rFonts w:ascii="Calibri" w:hAnsi="Calibri" w:cs="Calibri"/>
          <w:bCs/>
        </w:rPr>
      </w:pPr>
    </w:p>
    <w:p w14:paraId="6E65CBB7" w14:textId="77777777" w:rsidR="000C4CD3" w:rsidRDefault="000C4CD3" w:rsidP="000C4CD3">
      <w:pPr>
        <w:pStyle w:val="ProductList-Body"/>
        <w:rPr>
          <w:rFonts w:ascii="Calibri" w:hAnsi="Calibri" w:cs="Calibri"/>
          <w:szCs w:val="18"/>
        </w:rPr>
      </w:pPr>
      <w:r>
        <w:rPr>
          <w:rFonts w:ascii="Calibri" w:hAnsi="Calibri" w:cs="Calibri"/>
          <w:b/>
          <w:color w:val="00188F"/>
        </w:rPr>
        <w:t>Crédito de Serviço:</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0C4CD3" w:rsidRPr="00C574D6" w14:paraId="5A9ABA90" w14:textId="77777777" w:rsidTr="00041F55">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52452B4F" w14:textId="77777777" w:rsidR="000C4CD3" w:rsidRPr="002A0A04" w:rsidRDefault="000C4CD3" w:rsidP="00041F55">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Percentagem de Período de Disponibilidade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429B4B0B" w14:textId="77777777" w:rsidR="000C4CD3" w:rsidRPr="002A0A04" w:rsidRDefault="000C4CD3" w:rsidP="00041F55">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Crédito de Serviço </w:t>
            </w:r>
          </w:p>
        </w:tc>
      </w:tr>
      <w:tr w:rsidR="000C4CD3" w:rsidRPr="000F19E0" w14:paraId="16AE4A3A"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7CF410C8" w14:textId="77777777" w:rsidR="000C4CD3" w:rsidRPr="002B6E2A" w:rsidRDefault="000C4CD3" w:rsidP="00041F55">
            <w:pPr>
              <w:pStyle w:val="ProductList-OfferingBody"/>
              <w:jc w:val="center"/>
              <w:rPr>
                <w:rFonts w:ascii="Calibri" w:hAnsi="Calibri" w:cs="Calibri"/>
                <w:szCs w:val="16"/>
                <w:lang w:eastAsia="ko-KR"/>
              </w:rPr>
            </w:pPr>
            <w:r>
              <w:rPr>
                <w:rFonts w:ascii="Calibri" w:hAnsi="Calibri" w:cs="Calibri"/>
                <w:szCs w:val="16"/>
              </w:rPr>
              <w:t xml:space="preserve">&lt; 99,9% </w:t>
            </w:r>
          </w:p>
        </w:tc>
        <w:tc>
          <w:tcPr>
            <w:tcW w:w="5670" w:type="dxa"/>
            <w:tcBorders>
              <w:top w:val="single" w:sz="6" w:space="0" w:color="000000"/>
              <w:left w:val="single" w:sz="6" w:space="0" w:color="000000"/>
              <w:bottom w:val="single" w:sz="6" w:space="0" w:color="000000"/>
              <w:right w:val="single" w:sz="6" w:space="0" w:color="000000"/>
            </w:tcBorders>
            <w:hideMark/>
          </w:tcPr>
          <w:p w14:paraId="3A34CD21" w14:textId="77777777" w:rsidR="000C4CD3" w:rsidRPr="002B6E2A" w:rsidRDefault="000C4CD3" w:rsidP="00041F55">
            <w:pPr>
              <w:pStyle w:val="ProductList-OfferingBody"/>
              <w:jc w:val="center"/>
              <w:rPr>
                <w:rFonts w:ascii="Calibri" w:hAnsi="Calibri" w:cs="Calibri"/>
                <w:szCs w:val="16"/>
                <w:lang w:eastAsia="ko-KR"/>
              </w:rPr>
            </w:pPr>
            <w:r>
              <w:rPr>
                <w:rFonts w:ascii="Calibri" w:hAnsi="Calibri" w:cs="Calibri"/>
                <w:szCs w:val="16"/>
              </w:rPr>
              <w:t xml:space="preserve">25% </w:t>
            </w:r>
          </w:p>
        </w:tc>
      </w:tr>
      <w:tr w:rsidR="000C4CD3" w:rsidRPr="000F19E0" w14:paraId="058CC258"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7624160" w14:textId="77777777" w:rsidR="000C4CD3" w:rsidRPr="002B6E2A" w:rsidRDefault="000C4CD3" w:rsidP="00041F55">
            <w:pPr>
              <w:pStyle w:val="ProductList-OfferingBody"/>
              <w:jc w:val="center"/>
              <w:rPr>
                <w:rFonts w:ascii="Calibri" w:hAnsi="Calibri" w:cs="Calibri"/>
                <w:szCs w:val="16"/>
                <w:lang w:eastAsia="ko-KR"/>
              </w:rPr>
            </w:pPr>
            <w:r>
              <w:rPr>
                <w:rFonts w:ascii="Calibri" w:hAnsi="Calibri" w:cs="Calibri"/>
                <w:szCs w:val="16"/>
              </w:rPr>
              <w:t xml:space="preserve">&lt; 99% </w:t>
            </w:r>
          </w:p>
        </w:tc>
        <w:tc>
          <w:tcPr>
            <w:tcW w:w="5670" w:type="dxa"/>
            <w:tcBorders>
              <w:top w:val="single" w:sz="6" w:space="0" w:color="000000"/>
              <w:left w:val="single" w:sz="6" w:space="0" w:color="000000"/>
              <w:bottom w:val="single" w:sz="6" w:space="0" w:color="000000"/>
              <w:right w:val="single" w:sz="6" w:space="0" w:color="000000"/>
            </w:tcBorders>
            <w:hideMark/>
          </w:tcPr>
          <w:p w14:paraId="4F72E374" w14:textId="77777777" w:rsidR="000C4CD3" w:rsidRPr="002B6E2A" w:rsidRDefault="000C4CD3" w:rsidP="00041F55">
            <w:pPr>
              <w:pStyle w:val="ProductList-OfferingBody"/>
              <w:jc w:val="center"/>
              <w:rPr>
                <w:rFonts w:ascii="Calibri" w:hAnsi="Calibri" w:cs="Calibri"/>
                <w:szCs w:val="16"/>
                <w:lang w:eastAsia="ko-KR"/>
              </w:rPr>
            </w:pPr>
            <w:r>
              <w:rPr>
                <w:rFonts w:ascii="Calibri" w:hAnsi="Calibri" w:cs="Calibri"/>
                <w:szCs w:val="16"/>
              </w:rPr>
              <w:t xml:space="preserve">50% </w:t>
            </w:r>
          </w:p>
        </w:tc>
      </w:tr>
      <w:tr w:rsidR="000C4CD3" w:rsidRPr="000F19E0" w14:paraId="4ABE0C12"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04085E59" w14:textId="77777777" w:rsidR="000C4CD3" w:rsidRPr="002B6E2A" w:rsidRDefault="000C4CD3" w:rsidP="00041F55">
            <w:pPr>
              <w:pStyle w:val="ProductList-OfferingBody"/>
              <w:jc w:val="center"/>
              <w:rPr>
                <w:rFonts w:ascii="Calibri" w:hAnsi="Calibri" w:cs="Calibri"/>
                <w:szCs w:val="16"/>
                <w:lang w:eastAsia="ko-KR"/>
              </w:rPr>
            </w:pPr>
            <w:r>
              <w:rPr>
                <w:rFonts w:ascii="Calibri" w:hAnsi="Calibri" w:cs="Calibri"/>
                <w:szCs w:val="16"/>
              </w:rPr>
              <w:t xml:space="preserve">&lt; 95% </w:t>
            </w:r>
          </w:p>
        </w:tc>
        <w:tc>
          <w:tcPr>
            <w:tcW w:w="5670" w:type="dxa"/>
            <w:tcBorders>
              <w:top w:val="single" w:sz="6" w:space="0" w:color="000000"/>
              <w:left w:val="single" w:sz="6" w:space="0" w:color="000000"/>
              <w:bottom w:val="single" w:sz="6" w:space="0" w:color="000000"/>
              <w:right w:val="single" w:sz="6" w:space="0" w:color="000000"/>
            </w:tcBorders>
            <w:hideMark/>
          </w:tcPr>
          <w:p w14:paraId="50182E89" w14:textId="77777777" w:rsidR="000C4CD3" w:rsidRPr="002B6E2A" w:rsidRDefault="000C4CD3" w:rsidP="00041F55">
            <w:pPr>
              <w:pStyle w:val="ProductList-OfferingBody"/>
              <w:jc w:val="center"/>
              <w:rPr>
                <w:rFonts w:ascii="Calibri" w:hAnsi="Calibri" w:cs="Calibri"/>
                <w:szCs w:val="16"/>
                <w:lang w:eastAsia="ko-KR"/>
              </w:rPr>
            </w:pPr>
            <w:r>
              <w:rPr>
                <w:rFonts w:ascii="Calibri" w:hAnsi="Calibri" w:cs="Calibri"/>
                <w:szCs w:val="16"/>
              </w:rPr>
              <w:t xml:space="preserve">100% </w:t>
            </w:r>
          </w:p>
        </w:tc>
      </w:tr>
    </w:tbl>
    <w:p w14:paraId="77E1E142" w14:textId="77777777" w:rsidR="000C4CD3" w:rsidRPr="00C63332" w:rsidRDefault="000C4CD3" w:rsidP="000C4CD3">
      <w:pPr>
        <w:pStyle w:val="ProductList-Body"/>
        <w:rPr>
          <w:rFonts w:ascii="Calibri" w:hAnsi="Calibri" w:cs="Calibri"/>
          <w:bCs/>
          <w:sz w:val="12"/>
          <w:szCs w:val="12"/>
        </w:rPr>
      </w:pPr>
    </w:p>
    <w:p w14:paraId="2F8B8F33" w14:textId="77777777" w:rsidR="000C4CD3" w:rsidRPr="00074E40" w:rsidRDefault="000C4CD3" w:rsidP="000C4CD3">
      <w:pPr>
        <w:spacing w:after="0"/>
        <w:rPr>
          <w:rFonts w:ascii="Calibri" w:hAnsi="Calibri" w:cs="Calibri"/>
          <w:b/>
          <w:color w:val="00188F"/>
          <w:sz w:val="18"/>
        </w:rPr>
      </w:pPr>
      <w:r>
        <w:rPr>
          <w:rFonts w:ascii="Calibri" w:hAnsi="Calibri" w:cs="Calibri"/>
          <w:b/>
          <w:color w:val="00188F"/>
          <w:sz w:val="18"/>
        </w:rPr>
        <w:t>Disponibilidade de Entrada/Saída de E-mail do M365 </w:t>
      </w:r>
    </w:p>
    <w:p w14:paraId="18015280" w14:textId="77777777" w:rsidR="000C4CD3" w:rsidRPr="00D30804" w:rsidRDefault="000C4CD3" w:rsidP="000C4CD3">
      <w:pPr>
        <w:rPr>
          <w:rFonts w:ascii="Calibri" w:hAnsi="Calibri" w:cs="Calibri"/>
          <w:sz w:val="18"/>
          <w:szCs w:val="18"/>
        </w:rPr>
      </w:pPr>
      <w:r>
        <w:rPr>
          <w:rFonts w:ascii="Calibri" w:hAnsi="Calibri" w:cs="Calibri"/>
          <w:sz w:val="18"/>
          <w:szCs w:val="18"/>
        </w:rPr>
        <w:t xml:space="preserve">A Disponibilidade de Entrada/Saída de E-mail do M365 é definida como qualquer período de tempo em que o M365 não consegue aceitar ou enviar mensagens de e-mail devido a um problema no limite do M365. Não há qualquer período de indisponibilidade agendada para este serviço. </w:t>
      </w:r>
    </w:p>
    <w:p w14:paraId="05C6AA1B" w14:textId="77777777" w:rsidR="000C4CD3" w:rsidRPr="00D30804" w:rsidRDefault="000C4CD3" w:rsidP="000C4CD3">
      <w:pPr>
        <w:rPr>
          <w:rFonts w:ascii="Calibri" w:hAnsi="Calibri" w:cs="Calibri"/>
          <w:sz w:val="18"/>
          <w:szCs w:val="18"/>
        </w:rPr>
      </w:pPr>
      <w:r>
        <w:rPr>
          <w:rFonts w:ascii="Calibri" w:hAnsi="Calibri" w:cs="Calibri"/>
          <w:sz w:val="18"/>
          <w:szCs w:val="18"/>
        </w:rPr>
        <w:t xml:space="preserve">A disponibilidade divide-se em duas categorias: </w:t>
      </w:r>
    </w:p>
    <w:p w14:paraId="31788ABA" w14:textId="77777777" w:rsidR="000C4CD3" w:rsidRPr="00D30804" w:rsidRDefault="000C4CD3">
      <w:pPr>
        <w:numPr>
          <w:ilvl w:val="0"/>
          <w:numId w:val="25"/>
        </w:numPr>
        <w:spacing w:after="0"/>
        <w:rPr>
          <w:rFonts w:ascii="Calibri" w:hAnsi="Calibri" w:cs="Calibri"/>
          <w:sz w:val="18"/>
          <w:szCs w:val="18"/>
        </w:rPr>
      </w:pPr>
      <w:r>
        <w:rPr>
          <w:rFonts w:ascii="Calibri" w:hAnsi="Calibri" w:cs="Calibri"/>
          <w:sz w:val="18"/>
          <w:szCs w:val="18"/>
        </w:rPr>
        <w:t>Rejeições permanentes devido a problemas com o M365 </w:t>
      </w:r>
    </w:p>
    <w:p w14:paraId="786ECEE5" w14:textId="77777777" w:rsidR="000C4CD3" w:rsidRPr="00D30804" w:rsidRDefault="000C4CD3">
      <w:pPr>
        <w:numPr>
          <w:ilvl w:val="0"/>
          <w:numId w:val="26"/>
        </w:numPr>
        <w:spacing w:after="0"/>
        <w:rPr>
          <w:rFonts w:ascii="Calibri" w:hAnsi="Calibri" w:cs="Calibri"/>
          <w:sz w:val="18"/>
          <w:szCs w:val="18"/>
        </w:rPr>
      </w:pPr>
      <w:r>
        <w:rPr>
          <w:rFonts w:ascii="Calibri" w:hAnsi="Calibri" w:cs="Calibri"/>
          <w:sz w:val="18"/>
          <w:szCs w:val="18"/>
        </w:rPr>
        <w:t>Rejeições transitórias devido a problemas com o M365 </w:t>
      </w:r>
    </w:p>
    <w:p w14:paraId="4E04126A" w14:textId="77777777" w:rsidR="000C4CD3" w:rsidRPr="00D30804" w:rsidRDefault="000C4CD3" w:rsidP="000C4CD3">
      <w:pPr>
        <w:spacing w:after="0"/>
        <w:rPr>
          <w:rFonts w:ascii="Calibri" w:hAnsi="Calibri" w:cs="Calibri"/>
          <w:sz w:val="18"/>
          <w:szCs w:val="18"/>
        </w:rPr>
      </w:pPr>
    </w:p>
    <w:p w14:paraId="0D4343A7" w14:textId="77777777" w:rsidR="000C4CD3" w:rsidRPr="00074E40" w:rsidRDefault="000C4CD3" w:rsidP="000C4CD3">
      <w:pPr>
        <w:spacing w:after="0"/>
        <w:rPr>
          <w:rFonts w:ascii="Calibri" w:hAnsi="Calibri" w:cs="Calibri"/>
          <w:b/>
          <w:color w:val="00188F"/>
          <w:sz w:val="18"/>
        </w:rPr>
      </w:pPr>
      <w:r>
        <w:rPr>
          <w:rFonts w:ascii="Calibri" w:hAnsi="Calibri" w:cs="Calibri"/>
          <w:b/>
          <w:color w:val="00188F"/>
          <w:sz w:val="18"/>
        </w:rPr>
        <w:t xml:space="preserve">Percentagem de Período de Disponibilidade </w:t>
      </w:r>
    </w:p>
    <w:p w14:paraId="68871AA8" w14:textId="77777777" w:rsidR="000C4CD3" w:rsidRPr="00D30804" w:rsidRDefault="000C4CD3">
      <w:pPr>
        <w:numPr>
          <w:ilvl w:val="0"/>
          <w:numId w:val="27"/>
        </w:numPr>
        <w:rPr>
          <w:rFonts w:ascii="Calibri" w:hAnsi="Calibri" w:cs="Calibri"/>
          <w:sz w:val="18"/>
          <w:szCs w:val="18"/>
        </w:rPr>
      </w:pPr>
      <w:r>
        <w:rPr>
          <w:rFonts w:ascii="Calibri" w:hAnsi="Calibri" w:cs="Calibri"/>
          <w:sz w:val="18"/>
          <w:szCs w:val="18"/>
        </w:rPr>
        <w:t>Rejeições permanentes devido a problemas com o M365 </w:t>
      </w:r>
    </w:p>
    <w:p w14:paraId="221699B1" w14:textId="77777777" w:rsidR="000C4CD3" w:rsidRDefault="000C4CD3" w:rsidP="000C4CD3">
      <w:pPr>
        <w:pStyle w:val="ProductList-Body"/>
        <w:rPr>
          <w:rFonts w:ascii="Calibri" w:hAnsi="Calibri" w:cs="Calibri"/>
        </w:rPr>
      </w:pPr>
      <w:r>
        <w:rPr>
          <w:rFonts w:ascii="Calibri" w:hAnsi="Calibri" w:cs="Calibri"/>
        </w:rPr>
        <w:lastRenderedPageBreak/>
        <w:t>A Percentagem de Período de Disponibilidade é calculada através da seguinte fórmula:</w:t>
      </w:r>
    </w:p>
    <w:p w14:paraId="5812DC0A" w14:textId="77777777" w:rsidR="000C4CD3" w:rsidRPr="00545240" w:rsidRDefault="000C4CD3" w:rsidP="000C4CD3">
      <w:pPr>
        <w:pStyle w:val="ProductList-Body"/>
        <w:rPr>
          <w:rFonts w:ascii="Calibri" w:hAnsi="Calibri" w:cs="Calibri"/>
        </w:rPr>
      </w:pPr>
    </w:p>
    <w:p w14:paraId="66904312" w14:textId="77777777" w:rsidR="000C4CD3" w:rsidRPr="002A0A04" w:rsidRDefault="00000000" w:rsidP="000C4CD3">
      <w:pPr>
        <w:pStyle w:val="ProductList-Body"/>
        <w:rPr>
          <w:rFonts w:ascii="Cambria Math" w:hAnsi="Cambria Math" w:cs="Calibri"/>
          <w:b/>
          <w:i/>
        </w:rPr>
      </w:pPr>
      <m:oMathPara>
        <m:oMath>
          <m:f>
            <m:fPr>
              <m:ctrlPr>
                <w:rPr>
                  <w:rFonts w:ascii="Cambria Math" w:hAnsi="Cambria Math" w:cs="Calibri"/>
                  <w:i/>
                </w:rPr>
              </m:ctrlPr>
            </m:fPr>
            <m:num>
              <m:r>
                <w:rPr>
                  <w:rFonts w:ascii="Cambria Math" w:hAnsi="Cambria Math" w:cs="Calibri"/>
                </w:rPr>
                <m:t>Total de minutos num mês-Período de Indisponibilidade</m:t>
              </m:r>
            </m:num>
            <m:den>
              <m:r>
                <w:rPr>
                  <w:rFonts w:ascii="Cambria Math" w:hAnsi="Cambria Math" w:cs="Calibri"/>
                </w:rPr>
                <m:t>Total de minutos num mês</m:t>
              </m:r>
            </m:den>
          </m:f>
          <m:r>
            <w:rPr>
              <w:rFonts w:ascii="Cambria Math" w:hAnsi="Cambria Math" w:cs="Calibri"/>
            </w:rPr>
            <m:t xml:space="preserve"> x 100</m:t>
          </m:r>
        </m:oMath>
      </m:oMathPara>
    </w:p>
    <w:p w14:paraId="476A08C4" w14:textId="77777777" w:rsidR="000C4CD3" w:rsidRDefault="000C4CD3" w:rsidP="000C4CD3">
      <w:pPr>
        <w:pStyle w:val="ProductList-Body"/>
      </w:pPr>
    </w:p>
    <w:p w14:paraId="49DF3160" w14:textId="77777777" w:rsidR="000C4CD3" w:rsidRDefault="000C4CD3" w:rsidP="000C4CD3">
      <w:pPr>
        <w:pStyle w:val="ProductList-Body"/>
        <w:rPr>
          <w:rFonts w:ascii="Calibri" w:hAnsi="Calibri" w:cs="Calibri"/>
        </w:rPr>
      </w:pPr>
      <w:r>
        <w:rPr>
          <w:rFonts w:ascii="Calibri" w:hAnsi="Calibri" w:cs="Calibri"/>
        </w:rPr>
        <w:t>em que o Período de Indisponibilidade é a soma do tempo (em minutos) multiplicada pela fração do serviço que não está disponível, somada ao longo do mês do calendário.</w:t>
      </w:r>
    </w:p>
    <w:p w14:paraId="1276187A" w14:textId="77777777" w:rsidR="000C4CD3" w:rsidRPr="002A0A04" w:rsidRDefault="000C4CD3" w:rsidP="000C4CD3">
      <w:pPr>
        <w:pStyle w:val="ProductList-Body"/>
        <w:rPr>
          <w:rFonts w:ascii="Calibri" w:hAnsi="Calibri" w:cs="Calibri"/>
        </w:rPr>
      </w:pPr>
    </w:p>
    <w:p w14:paraId="5795C9AD" w14:textId="77777777" w:rsidR="000C4CD3" w:rsidRPr="008F32C8" w:rsidRDefault="000C4CD3">
      <w:pPr>
        <w:numPr>
          <w:ilvl w:val="0"/>
          <w:numId w:val="27"/>
        </w:numPr>
        <w:rPr>
          <w:rFonts w:ascii="Calibri" w:hAnsi="Calibri" w:cs="Calibri"/>
          <w:b/>
          <w:bCs/>
          <w:sz w:val="18"/>
          <w:szCs w:val="18"/>
        </w:rPr>
      </w:pPr>
      <w:r>
        <w:rPr>
          <w:rFonts w:ascii="Calibri" w:hAnsi="Calibri" w:cs="Calibri"/>
          <w:bCs/>
          <w:sz w:val="18"/>
          <w:szCs w:val="18"/>
        </w:rPr>
        <w:t>Rejeições transitórias devido a problemas com o M365</w:t>
      </w:r>
    </w:p>
    <w:p w14:paraId="2866C505" w14:textId="77777777" w:rsidR="000C4CD3" w:rsidRDefault="000C4CD3" w:rsidP="000C4CD3">
      <w:pPr>
        <w:spacing w:after="0"/>
        <w:rPr>
          <w:rFonts w:ascii="Calibri" w:hAnsi="Calibri" w:cs="Calibri"/>
          <w:b/>
          <w:color w:val="00188F"/>
          <w:sz w:val="18"/>
        </w:rPr>
      </w:pPr>
      <w:r>
        <w:rPr>
          <w:rFonts w:ascii="Calibri" w:hAnsi="Calibri" w:cs="Calibri"/>
          <w:b/>
          <w:color w:val="00188F"/>
          <w:sz w:val="18"/>
        </w:rPr>
        <w:t>Percentagem de Período de Disponibilidade</w:t>
      </w:r>
    </w:p>
    <w:p w14:paraId="5A1062CB" w14:textId="77777777" w:rsidR="000C4CD3" w:rsidRPr="00C56933" w:rsidRDefault="000C4CD3" w:rsidP="000C4CD3">
      <w:pPr>
        <w:spacing w:after="0"/>
        <w:rPr>
          <w:rFonts w:ascii="Calibri" w:hAnsi="Calibri" w:cs="Calibri"/>
          <w:sz w:val="18"/>
        </w:rPr>
      </w:pPr>
    </w:p>
    <w:p w14:paraId="09A11C1F" w14:textId="78EF060A" w:rsidR="000C4CD3" w:rsidRPr="002A0A04" w:rsidRDefault="00000000" w:rsidP="000C4CD3">
      <w:pPr>
        <w:pStyle w:val="ProductList-Body"/>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Total de mensagens num mês-Mensagens Afetadas </m:t>
              </m:r>
            </m:num>
            <m:den>
              <m:r>
                <w:rPr>
                  <w:rFonts w:ascii="Cambria Math" w:hAnsi="Cambria Math" w:cs="Calibri"/>
                </w:rPr>
                <m:t>Total de mensagens do mês</m:t>
              </m:r>
            </m:den>
          </m:f>
          <m:r>
            <w:rPr>
              <w:rFonts w:ascii="Cambria Math" w:hAnsi="Cambria Math" w:cs="Calibri"/>
            </w:rPr>
            <m:t xml:space="preserve"> x 100</m:t>
          </m:r>
        </m:oMath>
      </m:oMathPara>
    </w:p>
    <w:p w14:paraId="04C099CC" w14:textId="77777777" w:rsidR="000C4CD3" w:rsidRPr="002A0A04" w:rsidRDefault="000C4CD3" w:rsidP="000C4CD3">
      <w:pPr>
        <w:pStyle w:val="ProductList-Body"/>
        <w:rPr>
          <w:rFonts w:ascii="Calibri" w:hAnsi="Calibri" w:cs="Calibri"/>
          <w:b/>
        </w:rPr>
      </w:pPr>
    </w:p>
    <w:p w14:paraId="6BD8D3FD" w14:textId="77777777" w:rsidR="000C4CD3" w:rsidRPr="002A0A04" w:rsidRDefault="000C4CD3" w:rsidP="000C4CD3">
      <w:pPr>
        <w:pStyle w:val="ProductList-Body"/>
        <w:rPr>
          <w:rFonts w:ascii="Calibri" w:hAnsi="Calibri" w:cs="Calibri"/>
        </w:rPr>
      </w:pPr>
      <w:r>
        <w:rPr>
          <w:rFonts w:ascii="Calibri" w:hAnsi="Calibri" w:cs="Calibri"/>
        </w:rPr>
        <w:t>As mensagens afetadas são definidas como mensagens com um atraso superior a (10) minutos durante os problemas, somadas ao longo do mês do calendário.</w:t>
      </w:r>
    </w:p>
    <w:p w14:paraId="7849898B" w14:textId="77777777" w:rsidR="000C4CD3" w:rsidRPr="00DE2B55" w:rsidRDefault="000C4CD3" w:rsidP="000C4CD3">
      <w:pPr>
        <w:pStyle w:val="ProductList-Body"/>
        <w:rPr>
          <w:rFonts w:ascii="Calibri" w:hAnsi="Calibri" w:cs="Calibri"/>
        </w:rPr>
      </w:pPr>
    </w:p>
    <w:p w14:paraId="382E846B" w14:textId="77777777" w:rsidR="000C4CD3" w:rsidRPr="00C56933" w:rsidRDefault="000C4CD3" w:rsidP="000C4CD3">
      <w:pPr>
        <w:pStyle w:val="ProductList-Body"/>
        <w:rPr>
          <w:rFonts w:ascii="Calibri" w:hAnsi="Calibri" w:cs="Calibri"/>
        </w:rPr>
      </w:pPr>
      <w:r>
        <w:rPr>
          <w:rFonts w:ascii="Calibri" w:hAnsi="Calibri" w:cs="Calibri"/>
          <w:b/>
          <w:color w:val="00188F"/>
        </w:rPr>
        <w:t>Crédito de Serviço</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0C4CD3" w:rsidRPr="00C574D6" w14:paraId="2F50848D" w14:textId="77777777" w:rsidTr="00041F55">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6B9ADE80" w14:textId="77777777" w:rsidR="000C4CD3" w:rsidRPr="00787DF4" w:rsidRDefault="000C4CD3"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Percentagem de Período de Disponibilidade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F56C857" w14:textId="77777777" w:rsidR="000C4CD3" w:rsidRPr="00787DF4" w:rsidRDefault="000C4CD3"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Crédito de Serviço </w:t>
            </w:r>
          </w:p>
        </w:tc>
      </w:tr>
      <w:tr w:rsidR="000C4CD3" w:rsidRPr="000F19E0" w14:paraId="473A322C"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EF9F1FC" w14:textId="77777777" w:rsidR="000C4CD3" w:rsidRPr="000F19E0" w:rsidRDefault="000C4CD3" w:rsidP="00041F55">
            <w:pPr>
              <w:pStyle w:val="ProductList-OfferingBody"/>
              <w:jc w:val="center"/>
              <w:rPr>
                <w:rFonts w:ascii="Calibri" w:hAnsi="Calibri" w:cs="Calibri"/>
              </w:rPr>
            </w:pPr>
            <w:r>
              <w:rPr>
                <w:rFonts w:ascii="Calibri" w:hAnsi="Calibri" w:cs="Calibri"/>
              </w:rPr>
              <w:t xml:space="preserve">&lt; 99,9% </w:t>
            </w:r>
          </w:p>
        </w:tc>
        <w:tc>
          <w:tcPr>
            <w:tcW w:w="5670" w:type="dxa"/>
            <w:tcBorders>
              <w:top w:val="single" w:sz="6" w:space="0" w:color="000000"/>
              <w:left w:val="single" w:sz="6" w:space="0" w:color="000000"/>
              <w:bottom w:val="single" w:sz="6" w:space="0" w:color="000000"/>
              <w:right w:val="single" w:sz="6" w:space="0" w:color="000000"/>
            </w:tcBorders>
            <w:hideMark/>
          </w:tcPr>
          <w:p w14:paraId="15C52572" w14:textId="77777777" w:rsidR="000C4CD3" w:rsidRPr="000F19E0" w:rsidRDefault="000C4CD3" w:rsidP="00041F55">
            <w:pPr>
              <w:pStyle w:val="ProductList-OfferingBody"/>
              <w:jc w:val="center"/>
              <w:rPr>
                <w:rFonts w:ascii="Calibri" w:hAnsi="Calibri" w:cs="Calibri"/>
              </w:rPr>
            </w:pPr>
            <w:r>
              <w:rPr>
                <w:rFonts w:ascii="Calibri" w:hAnsi="Calibri" w:cs="Calibri"/>
              </w:rPr>
              <w:t xml:space="preserve">25% </w:t>
            </w:r>
          </w:p>
        </w:tc>
      </w:tr>
      <w:tr w:rsidR="000C4CD3" w:rsidRPr="000F19E0" w14:paraId="4AC2382B"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1EA39ED3" w14:textId="77777777" w:rsidR="000C4CD3" w:rsidRPr="000F19E0" w:rsidRDefault="000C4CD3" w:rsidP="00041F55">
            <w:pPr>
              <w:pStyle w:val="ProductList-OfferingBody"/>
              <w:jc w:val="center"/>
              <w:rPr>
                <w:rFonts w:ascii="Calibri" w:hAnsi="Calibri" w:cs="Calibri"/>
              </w:rPr>
            </w:pPr>
            <w:r>
              <w:rPr>
                <w:rFonts w:ascii="Calibri" w:hAnsi="Calibri" w:cs="Calibri"/>
              </w:rPr>
              <w:t xml:space="preserve">&lt; 99% </w:t>
            </w:r>
          </w:p>
        </w:tc>
        <w:tc>
          <w:tcPr>
            <w:tcW w:w="5670" w:type="dxa"/>
            <w:tcBorders>
              <w:top w:val="single" w:sz="6" w:space="0" w:color="000000"/>
              <w:left w:val="single" w:sz="6" w:space="0" w:color="000000"/>
              <w:bottom w:val="single" w:sz="6" w:space="0" w:color="000000"/>
              <w:right w:val="single" w:sz="6" w:space="0" w:color="000000"/>
            </w:tcBorders>
            <w:hideMark/>
          </w:tcPr>
          <w:p w14:paraId="0610BA28" w14:textId="77777777" w:rsidR="000C4CD3" w:rsidRPr="000F19E0" w:rsidRDefault="000C4CD3" w:rsidP="00041F55">
            <w:pPr>
              <w:pStyle w:val="ProductList-OfferingBody"/>
              <w:jc w:val="center"/>
              <w:rPr>
                <w:rFonts w:ascii="Calibri" w:hAnsi="Calibri" w:cs="Calibri"/>
              </w:rPr>
            </w:pPr>
            <w:r>
              <w:rPr>
                <w:rFonts w:ascii="Calibri" w:hAnsi="Calibri" w:cs="Calibri"/>
              </w:rPr>
              <w:t xml:space="preserve">50% </w:t>
            </w:r>
          </w:p>
        </w:tc>
      </w:tr>
      <w:tr w:rsidR="000C4CD3" w:rsidRPr="000F19E0" w14:paraId="2DA69F9B"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17F1A6D6" w14:textId="77777777" w:rsidR="000C4CD3" w:rsidRPr="000F19E0" w:rsidRDefault="000C4CD3" w:rsidP="00041F55">
            <w:pPr>
              <w:pStyle w:val="ProductList-OfferingBody"/>
              <w:jc w:val="center"/>
              <w:rPr>
                <w:rFonts w:ascii="Calibri" w:hAnsi="Calibri" w:cs="Calibri"/>
              </w:rPr>
            </w:pPr>
            <w:r>
              <w:rPr>
                <w:rFonts w:ascii="Calibri" w:hAnsi="Calibri" w:cs="Calibri"/>
              </w:rPr>
              <w:t xml:space="preserve">&lt; 95% </w:t>
            </w:r>
          </w:p>
        </w:tc>
        <w:tc>
          <w:tcPr>
            <w:tcW w:w="5670" w:type="dxa"/>
            <w:tcBorders>
              <w:top w:val="single" w:sz="6" w:space="0" w:color="000000"/>
              <w:left w:val="single" w:sz="6" w:space="0" w:color="000000"/>
              <w:bottom w:val="single" w:sz="6" w:space="0" w:color="000000"/>
              <w:right w:val="single" w:sz="6" w:space="0" w:color="000000"/>
            </w:tcBorders>
            <w:hideMark/>
          </w:tcPr>
          <w:p w14:paraId="2C9A11B9" w14:textId="77777777" w:rsidR="000C4CD3" w:rsidRPr="000F19E0" w:rsidRDefault="000C4CD3" w:rsidP="00041F55">
            <w:pPr>
              <w:pStyle w:val="ProductList-OfferingBody"/>
              <w:jc w:val="center"/>
              <w:rPr>
                <w:rFonts w:ascii="Calibri" w:hAnsi="Calibri" w:cs="Calibri"/>
              </w:rPr>
            </w:pPr>
            <w:r>
              <w:rPr>
                <w:rFonts w:ascii="Calibri" w:hAnsi="Calibri" w:cs="Calibri"/>
              </w:rPr>
              <w:t xml:space="preserve">100% </w:t>
            </w:r>
          </w:p>
        </w:tc>
      </w:tr>
    </w:tbl>
    <w:p w14:paraId="6C45B607" w14:textId="77777777" w:rsidR="000C4CD3" w:rsidRPr="00C63332" w:rsidRDefault="000C4CD3" w:rsidP="000C4CD3">
      <w:pPr>
        <w:pStyle w:val="ProductList-Body"/>
        <w:rPr>
          <w:rFonts w:ascii="Calibri" w:hAnsi="Calibri" w:cs="Calibri"/>
          <w:sz w:val="12"/>
          <w:szCs w:val="12"/>
        </w:rPr>
      </w:pPr>
    </w:p>
    <w:p w14:paraId="496517A3" w14:textId="77777777" w:rsidR="000C4CD3" w:rsidRPr="002A0A04" w:rsidRDefault="000C4CD3" w:rsidP="000C4CD3">
      <w:pPr>
        <w:pStyle w:val="ProductList-Body"/>
        <w:rPr>
          <w:rFonts w:ascii="Calibri" w:hAnsi="Calibri" w:cs="Calibri"/>
          <w:szCs w:val="18"/>
        </w:rPr>
      </w:pPr>
      <w:r>
        <w:rPr>
          <w:rFonts w:ascii="Calibri" w:hAnsi="Calibri" w:cs="Calibri"/>
          <w:szCs w:val="18"/>
        </w:rPr>
        <w:t>O Nível de Serviço de Entrega de E-mail aplica-se apenas ao e-mail comercial legítimo entregue ou enviado por contas de e-mail licenciadas do Microsoft 365 válidas. Este Nível de Serviço de Entrega de E-mail não se aplica a:</w:t>
      </w:r>
    </w:p>
    <w:p w14:paraId="4648B409" w14:textId="77777777" w:rsidR="000C4CD3" w:rsidRPr="002A0A04" w:rsidRDefault="000C4CD3">
      <w:pPr>
        <w:pStyle w:val="ProductList-Body"/>
        <w:numPr>
          <w:ilvl w:val="0"/>
          <w:numId w:val="21"/>
        </w:numPr>
        <w:ind w:left="720"/>
        <w:rPr>
          <w:rFonts w:ascii="Calibri" w:hAnsi="Calibri" w:cs="Calibri"/>
          <w:szCs w:val="18"/>
        </w:rPr>
      </w:pPr>
      <w:r>
        <w:rPr>
          <w:rFonts w:ascii="Calibri" w:hAnsi="Calibri" w:cs="Calibri"/>
          <w:szCs w:val="18"/>
        </w:rPr>
        <w:t>Envios de e-mail em massa induzidos pelo cliente</w:t>
      </w:r>
    </w:p>
    <w:p w14:paraId="6E2FA5B8" w14:textId="77777777" w:rsidR="000C4CD3" w:rsidRPr="00F90F7C" w:rsidRDefault="000C4CD3">
      <w:pPr>
        <w:pStyle w:val="ProductList-Body"/>
        <w:numPr>
          <w:ilvl w:val="0"/>
          <w:numId w:val="21"/>
        </w:numPr>
        <w:ind w:left="720"/>
        <w:rPr>
          <w:rFonts w:ascii="Calibri" w:hAnsi="Calibri" w:cs="Calibri"/>
          <w:szCs w:val="18"/>
          <w:lang w:val="fr-FR"/>
        </w:rPr>
      </w:pPr>
      <w:r w:rsidRPr="00F90F7C">
        <w:rPr>
          <w:rFonts w:ascii="Calibri" w:hAnsi="Calibri" w:cs="Calibri"/>
          <w:szCs w:val="18"/>
          <w:lang w:val="fr-FR"/>
        </w:rPr>
        <w:t>E-mail em massa (mailers de clientes, newsletters, etc.)</w:t>
      </w:r>
    </w:p>
    <w:p w14:paraId="34F565A0" w14:textId="77777777" w:rsidR="000C4CD3" w:rsidRPr="002A0A04" w:rsidRDefault="000C4CD3">
      <w:pPr>
        <w:pStyle w:val="ProductList-Body"/>
        <w:numPr>
          <w:ilvl w:val="0"/>
          <w:numId w:val="21"/>
        </w:numPr>
        <w:ind w:left="720"/>
        <w:rPr>
          <w:rFonts w:ascii="Calibri" w:hAnsi="Calibri" w:cs="Calibri"/>
          <w:szCs w:val="18"/>
        </w:rPr>
      </w:pPr>
      <w:r>
        <w:rPr>
          <w:rFonts w:ascii="Calibri" w:hAnsi="Calibri" w:cs="Calibri"/>
          <w:szCs w:val="18"/>
        </w:rPr>
        <w:t>Entrega de e-mail para um arquivo</w:t>
      </w:r>
    </w:p>
    <w:p w14:paraId="4548869D" w14:textId="77777777" w:rsidR="000C4CD3" w:rsidRPr="002A0A04" w:rsidRDefault="000C4CD3">
      <w:pPr>
        <w:pStyle w:val="ProductList-Body"/>
        <w:numPr>
          <w:ilvl w:val="0"/>
          <w:numId w:val="21"/>
        </w:numPr>
        <w:ind w:left="720"/>
        <w:rPr>
          <w:rFonts w:ascii="Calibri" w:hAnsi="Calibri" w:cs="Calibri"/>
          <w:szCs w:val="18"/>
        </w:rPr>
      </w:pPr>
      <w:r>
        <w:rPr>
          <w:rFonts w:ascii="Calibri" w:hAnsi="Calibri" w:cs="Calibri"/>
          <w:szCs w:val="18"/>
        </w:rPr>
        <w:t>Ataques Denial of Service (DoS)</w:t>
      </w:r>
    </w:p>
    <w:p w14:paraId="0A610690" w14:textId="77777777" w:rsidR="000C4CD3" w:rsidRPr="002A0A04" w:rsidRDefault="000C4CD3">
      <w:pPr>
        <w:pStyle w:val="ProductList-Body"/>
        <w:numPr>
          <w:ilvl w:val="0"/>
          <w:numId w:val="21"/>
        </w:numPr>
        <w:ind w:left="720"/>
        <w:rPr>
          <w:rFonts w:ascii="Calibri" w:hAnsi="Calibri" w:cs="Calibri"/>
          <w:szCs w:val="18"/>
        </w:rPr>
      </w:pPr>
      <w:r>
        <w:rPr>
          <w:rFonts w:ascii="Calibri" w:hAnsi="Calibri" w:cs="Calibri"/>
          <w:szCs w:val="18"/>
        </w:rPr>
        <w:t>Configuração incorreta do Inquilino do Microsoft 365</w:t>
      </w:r>
    </w:p>
    <w:p w14:paraId="47456767" w14:textId="77777777" w:rsidR="000C4CD3" w:rsidRPr="002A0A04" w:rsidRDefault="000C4CD3">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Atrasos do e-mail em que o modo de falha está dentro do limite no local dos clientes e/ou dos fornecedores de serviços terceiros.</w:t>
      </w:r>
    </w:p>
    <w:p w14:paraId="4C9CB0E3" w14:textId="77777777" w:rsidR="000C4CD3" w:rsidRPr="002A0A04" w:rsidRDefault="000C4CD3">
      <w:pPr>
        <w:pStyle w:val="ProductList-Body"/>
        <w:numPr>
          <w:ilvl w:val="0"/>
          <w:numId w:val="21"/>
        </w:numPr>
        <w:ind w:left="720"/>
        <w:rPr>
          <w:rFonts w:ascii="Calibri" w:hAnsi="Calibri" w:cs="Calibri"/>
          <w:szCs w:val="18"/>
        </w:rPr>
      </w:pPr>
      <w:r>
        <w:rPr>
          <w:rFonts w:ascii="Calibri" w:hAnsi="Calibri" w:cs="Calibri"/>
          <w:szCs w:val="18"/>
        </w:rPr>
        <w:t>Latência de rede entre o Microsoft 365 e os clientes de e-mail de utilizador final</w:t>
      </w:r>
    </w:p>
    <w:p w14:paraId="323ABF78" w14:textId="77777777" w:rsidR="000C4CD3" w:rsidRPr="002A0A04" w:rsidRDefault="000C4CD3">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E-mail que está limitado pelo Microsoft 365 para proteger o funcionamento do serviço ou porque um inquilino excedeu os limites definidos de envio e/ou receção de mensagens</w:t>
      </w:r>
      <w:r>
        <w:rPr>
          <w:rFonts w:ascii="Calibri" w:hAnsi="Calibri" w:cs="Calibri"/>
          <w:szCs w:val="18"/>
        </w:rPr>
        <w:t>.</w:t>
      </w:r>
    </w:p>
    <w:p w14:paraId="12D0319E" w14:textId="77777777" w:rsidR="000C4CD3" w:rsidRPr="002A0A04" w:rsidRDefault="000C4CD3">
      <w:pPr>
        <w:pStyle w:val="ProductList-Body"/>
        <w:numPr>
          <w:ilvl w:val="0"/>
          <w:numId w:val="21"/>
        </w:numPr>
        <w:ind w:left="720"/>
        <w:rPr>
          <w:rFonts w:ascii="Calibri" w:hAnsi="Calibri" w:cs="Calibri"/>
          <w:szCs w:val="18"/>
        </w:rPr>
      </w:pPr>
      <w:r>
        <w:rPr>
          <w:rFonts w:ascii="Calibri" w:hAnsi="Calibri" w:cs="Calibri"/>
          <w:szCs w:val="18"/>
        </w:rPr>
        <w:t>Mensagens às quais o Microsoft 365 retira prioridade para proteger o estado de funcionamento do serviço (por exemplo, mensagens grandes, mensagens enviadas para um grande número de destinatários ou listas de distribuição que contêm um número de destinatários considerável).</w:t>
      </w:r>
    </w:p>
    <w:p w14:paraId="580C37C3" w14:textId="77777777" w:rsidR="000C4CD3" w:rsidRDefault="000C4CD3">
      <w:pPr>
        <w:pStyle w:val="ProductList-Body"/>
        <w:numPr>
          <w:ilvl w:val="0"/>
          <w:numId w:val="21"/>
        </w:numPr>
        <w:ind w:left="720"/>
        <w:rPr>
          <w:rFonts w:ascii="Calibri" w:hAnsi="Calibri" w:cs="Calibri"/>
          <w:szCs w:val="18"/>
        </w:rPr>
      </w:pPr>
      <w:r>
        <w:rPr>
          <w:rFonts w:ascii="Calibri" w:hAnsi="Calibri" w:cs="Calibri"/>
          <w:szCs w:val="18"/>
        </w:rPr>
        <w:t>Mensagens atrasadas devido a regras e políticas configuradas por clientes dispendiosos.</w:t>
      </w:r>
    </w:p>
    <w:p w14:paraId="67C42AF9" w14:textId="77777777" w:rsidR="000C4CD3" w:rsidRPr="002A0A04" w:rsidRDefault="000C4CD3" w:rsidP="000C4CD3">
      <w:pPr>
        <w:pStyle w:val="ProductList-Body"/>
        <w:rPr>
          <w:rFonts w:ascii="Calibri" w:hAnsi="Calibri" w:cs="Calibri"/>
          <w:szCs w:val="18"/>
        </w:rPr>
      </w:pPr>
    </w:p>
    <w:p w14:paraId="6BB18B50" w14:textId="77777777" w:rsidR="000C4CD3" w:rsidRPr="002A0A04" w:rsidRDefault="000C4CD3" w:rsidP="000C4CD3">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Termos Adicionais</w:t>
      </w:r>
      <w:r w:rsidRPr="00081E7B">
        <w:rPr>
          <w:rFonts w:ascii="Calibri" w:hAnsi="Calibri" w:cs="Calibri"/>
          <w:b/>
          <w:bCs/>
          <w:szCs w:val="18"/>
        </w:rPr>
        <w:t>:</w:t>
      </w:r>
      <w:r>
        <w:rPr>
          <w:rFonts w:ascii="Calibri" w:hAnsi="Calibri" w:cs="Calibri"/>
          <w:szCs w:val="18"/>
        </w:rPr>
        <w:t xml:space="preserve"> Consulte o Apêndice 1 – Compromisso de Nível de Serviço para Deteção e Bloqueio de Vírus, Eficácia do Spam ou Falso Positivo.</w:t>
      </w:r>
    </w:p>
    <w:p w14:paraId="56C446A9"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4A7A089" w14:textId="11E22E78" w:rsidR="008C5EDB" w:rsidRPr="00EF7CF9" w:rsidRDefault="008C5EDB" w:rsidP="00F01ED6">
      <w:pPr>
        <w:pStyle w:val="ProductList-Offering2Heading"/>
        <w:outlineLvl w:val="2"/>
      </w:pPr>
      <w:bookmarkStart w:id="72" w:name="_Toc239176394"/>
      <w:r>
        <w:t>Arquivo de Exchange Online</w:t>
      </w:r>
      <w:bookmarkEnd w:id="71"/>
      <w:bookmarkEnd w:id="72"/>
    </w:p>
    <w:p w14:paraId="4DC67B77" w14:textId="3471ADC7" w:rsidR="008C5EDB" w:rsidRPr="00EF7CF9" w:rsidRDefault="008C5EDB" w:rsidP="00F01ED6">
      <w:pPr>
        <w:pStyle w:val="ProductList-Body"/>
      </w:pPr>
      <w:r>
        <w:rPr>
          <w:b/>
          <w:color w:val="00188F"/>
        </w:rPr>
        <w:t>Período de Indisponibilidade</w:t>
      </w:r>
      <w:r w:rsidRPr="00473DD3">
        <w:rPr>
          <w:b/>
          <w:color w:val="00188F"/>
        </w:rPr>
        <w:t>:</w:t>
      </w:r>
      <w:r>
        <w:t xml:space="preserve"> Qualquer período de tempo durante o qual os utilizadores não conseguem aceder às mensagens de e-mail armazenadas no respetivo arquivo. Não existe um Período de Indisponibilidade Agendado para este serviço.</w:t>
      </w:r>
    </w:p>
    <w:p w14:paraId="61369152" w14:textId="21C6E652" w:rsidR="008C5EDB"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2C4BD72B" w14:textId="77777777" w:rsidR="001A6663" w:rsidRPr="00EF7CF9" w:rsidRDefault="001A6663" w:rsidP="00F01ED6">
      <w:pPr>
        <w:pStyle w:val="ProductList-Body"/>
      </w:pPr>
    </w:p>
    <w:p w14:paraId="7F84E6CC" w14:textId="172F9117" w:rsidR="008C5EDB"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2897141A" w14:textId="63D89B6D" w:rsidR="008C5EDB" w:rsidRPr="00EF7CF9" w:rsidRDefault="00AC48A7" w:rsidP="00F01ED6">
      <w:pPr>
        <w:pStyle w:val="ProductList-Body"/>
      </w:pPr>
      <w:r>
        <w:t>em que o Período de Indisponibilidade é calculado em minutos de utilizador, ou seja, para cada Período Aplicável, o Período de Indisponibilidade é</w:t>
      </w:r>
      <w:r w:rsidR="004E0FBE">
        <w:t> </w:t>
      </w:r>
      <w:r>
        <w:t>a soma da duração (em minutos) de cada Incidente que ocorre durante o Período Aplicável multiplicada pelo número de utilizadores afetados por esse Incidente.</w:t>
      </w:r>
    </w:p>
    <w:p w14:paraId="3C328F82" w14:textId="41AADD43" w:rsidR="008C5EDB" w:rsidRPr="00EF7CF9" w:rsidRDefault="008C5EDB"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F01ED6">
            <w:pPr>
              <w:pStyle w:val="ProductList-OfferingBody"/>
              <w:jc w:val="center"/>
              <w:rPr>
                <w:color w:val="FFFFFF" w:themeColor="background1"/>
              </w:rPr>
            </w:pPr>
            <w:r>
              <w:rPr>
                <w:color w:val="FFFFFF" w:themeColor="background1"/>
              </w:rPr>
              <w:lastRenderedPageBreak/>
              <w:t>Percentagem de Período de Disponibilidade</w:t>
            </w:r>
          </w:p>
        </w:tc>
        <w:tc>
          <w:tcPr>
            <w:tcW w:w="5400" w:type="dxa"/>
            <w:shd w:val="clear" w:color="auto" w:fill="0072C6"/>
          </w:tcPr>
          <w:p w14:paraId="0B4CBEDE" w14:textId="77777777" w:rsidR="008C5EDB" w:rsidRPr="00EF7CF9" w:rsidRDefault="008C5EDB" w:rsidP="00F01ED6">
            <w:pPr>
              <w:pStyle w:val="ProductList-OfferingBody"/>
              <w:jc w:val="center"/>
              <w:rPr>
                <w:color w:val="FFFFFF" w:themeColor="background1"/>
              </w:rPr>
            </w:pPr>
            <w:r>
              <w:rPr>
                <w:color w:val="FFFFFF" w:themeColor="background1"/>
              </w:rPr>
              <w:t>Crédito de Serviço</w:t>
            </w:r>
          </w:p>
        </w:tc>
      </w:tr>
      <w:tr w:rsidR="008C5EDB" w:rsidRPr="00B44CF9" w14:paraId="610345B0" w14:textId="77777777" w:rsidTr="00C86427">
        <w:tc>
          <w:tcPr>
            <w:tcW w:w="5400" w:type="dxa"/>
          </w:tcPr>
          <w:p w14:paraId="182FD6E2" w14:textId="21EC2136" w:rsidR="008C5EDB" w:rsidRPr="00EF7CF9" w:rsidRDefault="008C5EDB" w:rsidP="00F01ED6">
            <w:pPr>
              <w:pStyle w:val="ProductList-OfferingBody"/>
              <w:jc w:val="center"/>
            </w:pPr>
            <w:r>
              <w:t>&lt; 99,9%</w:t>
            </w:r>
          </w:p>
        </w:tc>
        <w:tc>
          <w:tcPr>
            <w:tcW w:w="5400" w:type="dxa"/>
          </w:tcPr>
          <w:p w14:paraId="7E536980" w14:textId="77777777" w:rsidR="008C5EDB" w:rsidRPr="00EF7CF9" w:rsidRDefault="008C5EDB" w:rsidP="00F01ED6">
            <w:pPr>
              <w:pStyle w:val="ProductList-OfferingBody"/>
              <w:jc w:val="center"/>
            </w:pPr>
            <w:r>
              <w:t>25%</w:t>
            </w:r>
          </w:p>
        </w:tc>
      </w:tr>
      <w:tr w:rsidR="008C5EDB" w:rsidRPr="00B44CF9" w14:paraId="593FE832" w14:textId="77777777" w:rsidTr="00C86427">
        <w:tc>
          <w:tcPr>
            <w:tcW w:w="5400" w:type="dxa"/>
          </w:tcPr>
          <w:p w14:paraId="55956A3F" w14:textId="7AC2D0B5" w:rsidR="008C5EDB" w:rsidRPr="00EF7CF9" w:rsidRDefault="008C5EDB" w:rsidP="00F01ED6">
            <w:pPr>
              <w:pStyle w:val="ProductList-OfferingBody"/>
              <w:jc w:val="center"/>
            </w:pPr>
            <w:r>
              <w:t>&lt; 99%</w:t>
            </w:r>
          </w:p>
        </w:tc>
        <w:tc>
          <w:tcPr>
            <w:tcW w:w="5400" w:type="dxa"/>
          </w:tcPr>
          <w:p w14:paraId="6019CFA5" w14:textId="77777777" w:rsidR="008C5EDB" w:rsidRPr="00EF7CF9" w:rsidRDefault="008C5EDB" w:rsidP="00F01ED6">
            <w:pPr>
              <w:pStyle w:val="ProductList-OfferingBody"/>
              <w:jc w:val="center"/>
            </w:pPr>
            <w:r>
              <w:t>50%</w:t>
            </w:r>
          </w:p>
        </w:tc>
      </w:tr>
      <w:tr w:rsidR="008C5EDB" w:rsidRPr="00B44CF9" w14:paraId="5D8417F0" w14:textId="77777777" w:rsidTr="00C86427">
        <w:tc>
          <w:tcPr>
            <w:tcW w:w="5400" w:type="dxa"/>
          </w:tcPr>
          <w:p w14:paraId="03BBBEA7" w14:textId="77777777" w:rsidR="008C5EDB" w:rsidRPr="00EF7CF9" w:rsidRDefault="008C5EDB" w:rsidP="00F01ED6">
            <w:pPr>
              <w:pStyle w:val="ProductList-OfferingBody"/>
              <w:jc w:val="center"/>
            </w:pPr>
            <w:r>
              <w:t>&lt; 95%</w:t>
            </w:r>
          </w:p>
        </w:tc>
        <w:tc>
          <w:tcPr>
            <w:tcW w:w="5400" w:type="dxa"/>
          </w:tcPr>
          <w:p w14:paraId="548DC324" w14:textId="77777777" w:rsidR="008C5EDB" w:rsidRPr="00EF7CF9" w:rsidRDefault="008C5EDB" w:rsidP="00F01ED6">
            <w:pPr>
              <w:pStyle w:val="ProductList-OfferingBody"/>
              <w:jc w:val="center"/>
            </w:pPr>
            <w:r>
              <w:t>100%</w:t>
            </w:r>
          </w:p>
        </w:tc>
      </w:tr>
    </w:tbl>
    <w:p w14:paraId="2F97468D" w14:textId="77777777" w:rsidR="008C5EDB" w:rsidRPr="00EF7CF9" w:rsidRDefault="008C5EDB" w:rsidP="00F01ED6">
      <w:pPr>
        <w:pStyle w:val="ProductList-Body"/>
        <w:tabs>
          <w:tab w:val="clear" w:pos="360"/>
          <w:tab w:val="clear" w:pos="720"/>
          <w:tab w:val="clear" w:pos="1080"/>
        </w:tabs>
      </w:pPr>
    </w:p>
    <w:p w14:paraId="597A6C6F" w14:textId="7CA5BD00" w:rsidR="008C5EDB" w:rsidRPr="00EF7CF9" w:rsidRDefault="008C5EDB" w:rsidP="00F01ED6">
      <w:pPr>
        <w:pStyle w:val="ProductList-Body"/>
      </w:pPr>
      <w:r>
        <w:rPr>
          <w:b/>
          <w:color w:val="00188F"/>
        </w:rPr>
        <w:t>Exceções de Nível de Serviço</w:t>
      </w:r>
      <w:r w:rsidRPr="00473DD3">
        <w:rPr>
          <w:b/>
          <w:color w:val="00188F"/>
        </w:rPr>
        <w:t>:</w:t>
      </w:r>
      <w:r>
        <w:t xml:space="preserve"> Este SLA não é aplicável ao Enterprise CAL suite comprado através dos contratos de licenciamento em volume Open Value e Open Value Subscription.</w:t>
      </w:r>
    </w:p>
    <w:bookmarkStart w:id="73" w:name="_Toc457821515"/>
    <w:p w14:paraId="07CF7D8B"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4F2BB32" w14:textId="123C632E" w:rsidR="008C5EDB" w:rsidRPr="00EF7CF9" w:rsidRDefault="008C5EDB" w:rsidP="00D86CF6">
      <w:pPr>
        <w:pStyle w:val="ProductList-Offering2Heading"/>
        <w:outlineLvl w:val="2"/>
      </w:pPr>
      <w:bookmarkStart w:id="74" w:name="_Toc239176395"/>
      <w:r>
        <w:t>Proteção do Exchange Online</w:t>
      </w:r>
      <w:bookmarkEnd w:id="73"/>
      <w:bookmarkEnd w:id="74"/>
    </w:p>
    <w:p w14:paraId="63F75F40" w14:textId="77777777" w:rsidR="00566946" w:rsidRPr="00F44E97" w:rsidRDefault="00566946" w:rsidP="00566946">
      <w:pPr>
        <w:pStyle w:val="ProductList-Body"/>
        <w:rPr>
          <w:rFonts w:ascii="Calibri" w:hAnsi="Calibri" w:cs="Calibri"/>
        </w:rPr>
      </w:pPr>
      <w:bookmarkStart w:id="75" w:name="_Toc526859624"/>
      <w:bookmarkStart w:id="76" w:name="_Toc457821516"/>
      <w:r>
        <w:rPr>
          <w:rFonts w:ascii="Calibri" w:hAnsi="Calibri" w:cs="Calibri"/>
          <w:b/>
          <w:color w:val="00188F"/>
        </w:rPr>
        <w:t>Período de Indisponibilidade</w:t>
      </w:r>
      <w:r>
        <w:rPr>
          <w:rFonts w:ascii="Calibri" w:hAnsi="Calibri" w:cs="Calibri"/>
        </w:rPr>
        <w:t>: Qualquer período de tempo em que o Microsoft 365 não consegue aceitar ou enviar mensagens de e-mail devido a um problema no limite do Microsoft 365. Não existe um Período de Indisponibilidade Agendado para este serviço.</w:t>
      </w:r>
    </w:p>
    <w:p w14:paraId="240DFB0F" w14:textId="77777777" w:rsidR="00566946" w:rsidRDefault="00566946" w:rsidP="00566946">
      <w:pPr>
        <w:pStyle w:val="ProductList-Body"/>
      </w:pPr>
    </w:p>
    <w:p w14:paraId="47653C00" w14:textId="77777777" w:rsidR="00566946" w:rsidRPr="005F70A3" w:rsidRDefault="00566946" w:rsidP="00566946">
      <w:pPr>
        <w:pStyle w:val="ProductList-Body"/>
        <w:rPr>
          <w:rFonts w:ascii="Calibri" w:hAnsi="Calibri" w:cs="Calibri"/>
          <w:bCs/>
        </w:rPr>
      </w:pPr>
      <w:r>
        <w:rPr>
          <w:rFonts w:ascii="Calibri" w:hAnsi="Calibri" w:cs="Calibri"/>
          <w:bCs/>
        </w:rPr>
        <w:t>A Disponibilidade da Proteção do Exchange Online divide-se em duas categorias:</w:t>
      </w:r>
    </w:p>
    <w:p w14:paraId="11BBA5C4" w14:textId="77777777" w:rsidR="00566946" w:rsidRPr="00F44E97" w:rsidRDefault="00566946">
      <w:pPr>
        <w:pStyle w:val="ProductList-Body"/>
        <w:numPr>
          <w:ilvl w:val="0"/>
          <w:numId w:val="31"/>
        </w:numPr>
        <w:rPr>
          <w:rFonts w:ascii="Calibri" w:hAnsi="Calibri" w:cs="Calibri"/>
        </w:rPr>
      </w:pPr>
      <w:r>
        <w:rPr>
          <w:rFonts w:ascii="Calibri" w:hAnsi="Calibri" w:cs="Calibri"/>
        </w:rPr>
        <w:t>Rejeições permanentes devido a problemas com o Microsoft 365.</w:t>
      </w:r>
    </w:p>
    <w:p w14:paraId="66D31AE8" w14:textId="77777777" w:rsidR="00566946" w:rsidRPr="00F44E97" w:rsidRDefault="00566946">
      <w:pPr>
        <w:pStyle w:val="ProductList-Body"/>
        <w:numPr>
          <w:ilvl w:val="0"/>
          <w:numId w:val="31"/>
        </w:numPr>
        <w:rPr>
          <w:rFonts w:ascii="Calibri" w:hAnsi="Calibri" w:cs="Calibri"/>
        </w:rPr>
      </w:pPr>
      <w:r>
        <w:rPr>
          <w:rFonts w:ascii="Calibri" w:hAnsi="Calibri" w:cs="Calibri"/>
        </w:rPr>
        <w:t>Rejeições transitórias devido a problemas com o Microsoft 365.</w:t>
      </w:r>
    </w:p>
    <w:p w14:paraId="4BBC13CB" w14:textId="77777777" w:rsidR="00566946" w:rsidRPr="00EF7CF9" w:rsidRDefault="00566946" w:rsidP="00566946">
      <w:pPr>
        <w:pStyle w:val="ProductList-Body"/>
      </w:pPr>
    </w:p>
    <w:p w14:paraId="0950209A" w14:textId="77777777" w:rsidR="00566946" w:rsidRDefault="00566946" w:rsidP="00566946">
      <w:pPr>
        <w:pStyle w:val="ProductList-Body"/>
        <w:rPr>
          <w:rFonts w:ascii="Calibri" w:hAnsi="Calibri" w:cs="Calibri"/>
        </w:rPr>
      </w:pPr>
      <w:r>
        <w:rPr>
          <w:rFonts w:ascii="Calibri" w:hAnsi="Calibri" w:cs="Calibri"/>
          <w:b/>
          <w:color w:val="00188F"/>
        </w:rPr>
        <w:t>Percentagem de Período de Disponibilidade</w:t>
      </w:r>
      <w:r>
        <w:rPr>
          <w:rFonts w:ascii="Calibri" w:hAnsi="Calibri" w:cs="Calibri"/>
        </w:rPr>
        <w:t xml:space="preserve">: </w:t>
      </w:r>
    </w:p>
    <w:p w14:paraId="61FF5CDB" w14:textId="77777777" w:rsidR="00566946" w:rsidRDefault="00566946">
      <w:pPr>
        <w:pStyle w:val="ProductList-Body"/>
        <w:numPr>
          <w:ilvl w:val="0"/>
          <w:numId w:val="33"/>
        </w:numPr>
        <w:spacing w:after="120"/>
        <w:rPr>
          <w:rFonts w:ascii="Calibri" w:hAnsi="Calibri" w:cs="Calibri"/>
        </w:rPr>
      </w:pPr>
      <w:r>
        <w:rPr>
          <w:rFonts w:ascii="Calibri" w:hAnsi="Calibri" w:cs="Calibri"/>
        </w:rPr>
        <w:t xml:space="preserve">Rejeições permanentes devido a problemas com o Microsoft 365. </w:t>
      </w:r>
    </w:p>
    <w:p w14:paraId="1C9A1E25" w14:textId="77777777" w:rsidR="00566946" w:rsidRPr="00F44E97" w:rsidRDefault="00566946" w:rsidP="00566946">
      <w:pPr>
        <w:pStyle w:val="ProductList-Body"/>
        <w:rPr>
          <w:rFonts w:ascii="Calibri" w:hAnsi="Calibri" w:cs="Calibri"/>
        </w:rPr>
      </w:pPr>
      <w:r>
        <w:rPr>
          <w:rFonts w:ascii="Calibri" w:hAnsi="Calibri" w:cs="Calibri"/>
        </w:rPr>
        <w:t>A Percentagem de Período de Disponibilidade é calculada através da seguinte fórmula:</w:t>
      </w:r>
    </w:p>
    <w:p w14:paraId="45F2741F" w14:textId="77777777" w:rsidR="00566946" w:rsidRPr="002270F1" w:rsidRDefault="00000000" w:rsidP="00566946">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de minutos num mês - Período de Indisponibilidade </m:t>
              </m:r>
            </m:num>
            <m:den>
              <m:r>
                <w:rPr>
                  <w:rFonts w:ascii="Cambria Math" w:hAnsi="Cambria Math" w:cs="Calibri"/>
                  <w:sz w:val="18"/>
                  <w:szCs w:val="18"/>
                </w:rPr>
                <m:t>Total de minutos num mês</m:t>
              </m:r>
            </m:den>
          </m:f>
          <m:r>
            <w:rPr>
              <w:rFonts w:ascii="Cambria Math" w:hAnsi="Cambria Math" w:cs="Calibri"/>
              <w:sz w:val="18"/>
              <w:szCs w:val="18"/>
            </w:rPr>
            <m:t xml:space="preserve"> x 100</m:t>
          </m:r>
        </m:oMath>
      </m:oMathPara>
    </w:p>
    <w:p w14:paraId="7DD72A2D" w14:textId="77777777" w:rsidR="00566946" w:rsidRPr="00F44E97" w:rsidRDefault="00566946" w:rsidP="00566946">
      <w:pPr>
        <w:pStyle w:val="ProductList-Body"/>
        <w:rPr>
          <w:rFonts w:ascii="Calibri" w:hAnsi="Calibri" w:cs="Calibri"/>
        </w:rPr>
      </w:pPr>
      <w:r>
        <w:rPr>
          <w:rFonts w:ascii="Calibri" w:hAnsi="Calibri" w:cs="Calibri"/>
        </w:rPr>
        <w:t xml:space="preserve">em que o Período de Indisponibilidade é a duração do problema (em minutos) multiplicada pela fração do serviço que não está disponível, somada ao longo do mês do calendário. </w:t>
      </w:r>
    </w:p>
    <w:p w14:paraId="427A0C04" w14:textId="77777777" w:rsidR="00566946" w:rsidRPr="00F44E97" w:rsidRDefault="00566946" w:rsidP="00566946">
      <w:pPr>
        <w:pStyle w:val="ProductList-Body"/>
        <w:rPr>
          <w:rFonts w:ascii="Calibri" w:hAnsi="Calibri" w:cs="Calibri"/>
        </w:rPr>
      </w:pPr>
    </w:p>
    <w:p w14:paraId="5F2BCAA5" w14:textId="77777777" w:rsidR="00566946" w:rsidRDefault="00566946">
      <w:pPr>
        <w:pStyle w:val="ProductList-Body"/>
        <w:numPr>
          <w:ilvl w:val="0"/>
          <w:numId w:val="33"/>
        </w:numPr>
        <w:spacing w:after="120"/>
        <w:rPr>
          <w:rFonts w:ascii="Calibri" w:hAnsi="Calibri" w:cs="Calibri"/>
        </w:rPr>
      </w:pPr>
      <w:r>
        <w:rPr>
          <w:rFonts w:ascii="Calibri" w:hAnsi="Calibri" w:cs="Calibri"/>
        </w:rPr>
        <w:t>Rejeições transitórias devido a problemas com o Microsoft 365</w:t>
      </w:r>
    </w:p>
    <w:p w14:paraId="2E0A09F0" w14:textId="77777777" w:rsidR="00566946" w:rsidRDefault="00566946" w:rsidP="00566946">
      <w:pPr>
        <w:pStyle w:val="ProductList-Body"/>
        <w:rPr>
          <w:rFonts w:ascii="Calibri" w:hAnsi="Calibri" w:cs="Calibri"/>
        </w:rPr>
      </w:pPr>
      <w:r>
        <w:rPr>
          <w:rFonts w:ascii="Calibri" w:hAnsi="Calibri" w:cs="Calibri"/>
          <w:b/>
          <w:color w:val="00188F"/>
        </w:rPr>
        <w:t>Percentagem de Período de Disponibilidade</w:t>
      </w:r>
      <w:r>
        <w:rPr>
          <w:rFonts w:ascii="Calibri" w:hAnsi="Calibri" w:cs="Calibri"/>
        </w:rPr>
        <w:t xml:space="preserve">: </w:t>
      </w:r>
    </w:p>
    <w:p w14:paraId="522C088A" w14:textId="77777777" w:rsidR="00566946" w:rsidRPr="00EF7CF9" w:rsidRDefault="00000000" w:rsidP="0056694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de mensagens do mês - Mensagens Afetadas </m:t>
              </m:r>
            </m:num>
            <m:den>
              <m:r>
                <w:rPr>
                  <w:rFonts w:ascii="Cambria Math" w:hAnsi="Cambria Math" w:cs="Calibri"/>
                  <w:sz w:val="18"/>
                  <w:szCs w:val="18"/>
                </w:rPr>
                <m:t>Total de mensagens do mês</m:t>
              </m:r>
            </m:den>
          </m:f>
          <m:r>
            <w:rPr>
              <w:rFonts w:ascii="Cambria Math" w:hAnsi="Cambria Math" w:cs="Calibri"/>
              <w:sz w:val="18"/>
              <w:szCs w:val="18"/>
            </w:rPr>
            <m:t xml:space="preserve"> x 100</m:t>
          </m:r>
        </m:oMath>
      </m:oMathPara>
    </w:p>
    <w:p w14:paraId="7E50737D" w14:textId="77777777" w:rsidR="00566946" w:rsidRPr="00FF1ABA" w:rsidRDefault="00566946" w:rsidP="00566946">
      <w:pPr>
        <w:pStyle w:val="ProductList-Body"/>
        <w:rPr>
          <w:rFonts w:ascii="Calibri" w:hAnsi="Calibri" w:cs="Calibri"/>
        </w:rPr>
      </w:pPr>
      <w:r>
        <w:rPr>
          <w:rFonts w:ascii="Calibri" w:hAnsi="Calibri" w:cs="Calibri"/>
        </w:rPr>
        <w:t>As mensagens afetadas são definidas como mensagens com um atraso superior a (10) minutos durante o problema, somadas ao longo do mês do calendário.</w:t>
      </w:r>
    </w:p>
    <w:p w14:paraId="0C5BBD51" w14:textId="77777777" w:rsidR="00566946" w:rsidRPr="00F44E97" w:rsidRDefault="00566946" w:rsidP="00566946">
      <w:pPr>
        <w:pStyle w:val="ProductList-Body"/>
        <w:rPr>
          <w:rFonts w:ascii="Calibri" w:hAnsi="Calibri" w:cs="Calibri"/>
        </w:rPr>
      </w:pPr>
      <w:r>
        <w:rPr>
          <w:rFonts w:ascii="Calibri" w:hAnsi="Calibri" w:cs="Calibri"/>
          <w:b/>
          <w:color w:val="00188F"/>
        </w:rPr>
        <w:t>Crédito de Serviço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6946" w14:paraId="70A57D38" w14:textId="77777777" w:rsidTr="00C33532">
        <w:trPr>
          <w:tblHeader/>
        </w:trPr>
        <w:tc>
          <w:tcPr>
            <w:tcW w:w="5400" w:type="dxa"/>
            <w:shd w:val="clear" w:color="auto" w:fill="0072C6"/>
          </w:tcPr>
          <w:p w14:paraId="367A8CF1" w14:textId="77777777" w:rsidR="00566946" w:rsidRPr="00FF1ABA" w:rsidRDefault="00566946"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167DBC17" w14:textId="77777777" w:rsidR="00566946" w:rsidRPr="00FF1ABA" w:rsidRDefault="00566946"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66946" w14:paraId="0E3B3B53" w14:textId="77777777" w:rsidTr="00C33532">
        <w:tc>
          <w:tcPr>
            <w:tcW w:w="5400" w:type="dxa"/>
          </w:tcPr>
          <w:p w14:paraId="17C1B665" w14:textId="77777777" w:rsidR="00566946" w:rsidRPr="00FF1ABA" w:rsidRDefault="00566946" w:rsidP="00C33532">
            <w:pPr>
              <w:pStyle w:val="ProductList-OfferingBody"/>
              <w:jc w:val="center"/>
              <w:rPr>
                <w:rFonts w:ascii="Calibri" w:hAnsi="Calibri" w:cs="Calibri"/>
                <w:szCs w:val="16"/>
              </w:rPr>
            </w:pPr>
            <w:r>
              <w:rPr>
                <w:rFonts w:ascii="Calibri" w:hAnsi="Calibri" w:cs="Calibri"/>
                <w:szCs w:val="16"/>
              </w:rPr>
              <w:t>&lt; 99,9%</w:t>
            </w:r>
          </w:p>
        </w:tc>
        <w:tc>
          <w:tcPr>
            <w:tcW w:w="5400" w:type="dxa"/>
          </w:tcPr>
          <w:p w14:paraId="7D7F0DA4" w14:textId="77777777" w:rsidR="00566946" w:rsidRPr="00FF1ABA" w:rsidRDefault="00566946" w:rsidP="00C33532">
            <w:pPr>
              <w:pStyle w:val="ProductList-OfferingBody"/>
              <w:jc w:val="center"/>
              <w:rPr>
                <w:rFonts w:ascii="Calibri" w:hAnsi="Calibri" w:cs="Calibri"/>
                <w:szCs w:val="16"/>
              </w:rPr>
            </w:pPr>
            <w:r>
              <w:rPr>
                <w:rFonts w:ascii="Calibri" w:hAnsi="Calibri" w:cs="Calibri"/>
                <w:szCs w:val="16"/>
              </w:rPr>
              <w:t>25%</w:t>
            </w:r>
          </w:p>
        </w:tc>
      </w:tr>
      <w:tr w:rsidR="00566946" w14:paraId="7641D00A" w14:textId="77777777" w:rsidTr="00C33532">
        <w:tc>
          <w:tcPr>
            <w:tcW w:w="5400" w:type="dxa"/>
          </w:tcPr>
          <w:p w14:paraId="115FA49D" w14:textId="77777777" w:rsidR="00566946" w:rsidRPr="00FF1ABA" w:rsidRDefault="00566946" w:rsidP="00C33532">
            <w:pPr>
              <w:pStyle w:val="ProductList-OfferingBody"/>
              <w:jc w:val="center"/>
              <w:rPr>
                <w:rFonts w:ascii="Calibri" w:hAnsi="Calibri" w:cs="Calibri"/>
                <w:szCs w:val="16"/>
              </w:rPr>
            </w:pPr>
            <w:r>
              <w:rPr>
                <w:rFonts w:ascii="Calibri" w:hAnsi="Calibri" w:cs="Calibri"/>
                <w:szCs w:val="16"/>
              </w:rPr>
              <w:t>&lt; 99%</w:t>
            </w:r>
          </w:p>
        </w:tc>
        <w:tc>
          <w:tcPr>
            <w:tcW w:w="5400" w:type="dxa"/>
          </w:tcPr>
          <w:p w14:paraId="1D3ADD20" w14:textId="77777777" w:rsidR="00566946" w:rsidRPr="00FF1ABA" w:rsidRDefault="00566946" w:rsidP="00C33532">
            <w:pPr>
              <w:pStyle w:val="ProductList-OfferingBody"/>
              <w:jc w:val="center"/>
              <w:rPr>
                <w:rFonts w:ascii="Calibri" w:hAnsi="Calibri" w:cs="Calibri"/>
                <w:szCs w:val="16"/>
              </w:rPr>
            </w:pPr>
            <w:r>
              <w:rPr>
                <w:rFonts w:ascii="Calibri" w:hAnsi="Calibri" w:cs="Calibri"/>
                <w:szCs w:val="16"/>
              </w:rPr>
              <w:t>50%</w:t>
            </w:r>
          </w:p>
        </w:tc>
      </w:tr>
      <w:tr w:rsidR="00566946" w14:paraId="0CD1A99B" w14:textId="77777777" w:rsidTr="00C33532">
        <w:tc>
          <w:tcPr>
            <w:tcW w:w="5400" w:type="dxa"/>
          </w:tcPr>
          <w:p w14:paraId="55D71168" w14:textId="77777777" w:rsidR="00566946" w:rsidRPr="00FF1ABA" w:rsidRDefault="00566946" w:rsidP="00C33532">
            <w:pPr>
              <w:pStyle w:val="ProductList-OfferingBody"/>
              <w:jc w:val="center"/>
              <w:rPr>
                <w:rFonts w:ascii="Calibri" w:hAnsi="Calibri" w:cs="Calibri"/>
                <w:szCs w:val="16"/>
              </w:rPr>
            </w:pPr>
            <w:r>
              <w:rPr>
                <w:rFonts w:ascii="Calibri" w:hAnsi="Calibri" w:cs="Calibri"/>
                <w:szCs w:val="16"/>
              </w:rPr>
              <w:t>&lt; 95%</w:t>
            </w:r>
          </w:p>
        </w:tc>
        <w:tc>
          <w:tcPr>
            <w:tcW w:w="5400" w:type="dxa"/>
          </w:tcPr>
          <w:p w14:paraId="36C3B3B3" w14:textId="77777777" w:rsidR="00566946" w:rsidRPr="00FF1ABA" w:rsidRDefault="00566946" w:rsidP="00C33532">
            <w:pPr>
              <w:pStyle w:val="ProductList-OfferingBody"/>
              <w:jc w:val="center"/>
              <w:rPr>
                <w:rFonts w:ascii="Calibri" w:hAnsi="Calibri" w:cs="Calibri"/>
                <w:szCs w:val="16"/>
              </w:rPr>
            </w:pPr>
            <w:r>
              <w:rPr>
                <w:rFonts w:ascii="Calibri" w:hAnsi="Calibri" w:cs="Calibri"/>
                <w:szCs w:val="16"/>
              </w:rPr>
              <w:t>100%</w:t>
            </w:r>
          </w:p>
        </w:tc>
      </w:tr>
    </w:tbl>
    <w:p w14:paraId="62644F09" w14:textId="77777777" w:rsidR="00566946" w:rsidRPr="00FF1ABA" w:rsidRDefault="00566946" w:rsidP="00566946">
      <w:pPr>
        <w:pStyle w:val="ProductList-Body"/>
        <w:spacing w:before="120"/>
        <w:rPr>
          <w:rFonts w:ascii="Calibri" w:hAnsi="Calibri" w:cs="Calibri"/>
        </w:rPr>
      </w:pPr>
      <w:r>
        <w:rPr>
          <w:rFonts w:ascii="Calibri" w:hAnsi="Calibri" w:cs="Calibri"/>
        </w:rPr>
        <w:t xml:space="preserve">A Proteção do Exchange Online aplica-se apenas ao e-mail comercial legítimo entregue ou enviado por contas de e-mail licenciadas do Microsoft 365 válidas. Esta disposição não se aplica aos seguintes casos: </w:t>
      </w:r>
    </w:p>
    <w:p w14:paraId="3D390128"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t>Envios de e-mail em massa induzidos pelo cliente</w:t>
      </w:r>
    </w:p>
    <w:p w14:paraId="4EEE4328" w14:textId="77777777" w:rsidR="00566946" w:rsidRPr="00F90F7C" w:rsidRDefault="00566946">
      <w:pPr>
        <w:pStyle w:val="ProductList-Body"/>
        <w:numPr>
          <w:ilvl w:val="0"/>
          <w:numId w:val="32"/>
        </w:numPr>
        <w:tabs>
          <w:tab w:val="left" w:pos="720"/>
        </w:tabs>
        <w:rPr>
          <w:rFonts w:ascii="Calibri" w:hAnsi="Calibri" w:cs="Calibri"/>
          <w:bCs/>
          <w:lang w:val="fr-FR"/>
        </w:rPr>
      </w:pPr>
      <w:r w:rsidRPr="00F90F7C">
        <w:rPr>
          <w:rFonts w:ascii="Calibri" w:hAnsi="Calibri" w:cs="Calibri"/>
          <w:bCs/>
          <w:lang w:val="fr-FR"/>
        </w:rPr>
        <w:t>E-mail em massa (mailers de clientes, newsletters, etc.)</w:t>
      </w:r>
    </w:p>
    <w:p w14:paraId="25933764"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t>Entrega de e-mail para um arquivo</w:t>
      </w:r>
    </w:p>
    <w:p w14:paraId="1BC0B359"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t>Ataques Denial of Service (DoS)</w:t>
      </w:r>
    </w:p>
    <w:p w14:paraId="4AAD23C4"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t>Configuração incorreta do Inquilino do Microsoft 365</w:t>
      </w:r>
    </w:p>
    <w:p w14:paraId="6F41E626"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t>Atrasos do e-mail em que o modo de falha está dentro do limite no local dos clientes e/ou dos fornecedores de serviços terceiros.</w:t>
      </w:r>
    </w:p>
    <w:p w14:paraId="4E2738BD"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t>Latência de rede entre o Microsoft 365 e os clientes de e-mail de utilizador final</w:t>
      </w:r>
    </w:p>
    <w:p w14:paraId="51B88B18"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t>E-mail que está limitado pelo Microsoft 365 para proteger o funcionamento do serviço ou porque um inquilino excedeu os limites definidos de envio e/ou receção de mensagens.</w:t>
      </w:r>
    </w:p>
    <w:p w14:paraId="2FBCE8CB"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t>Mensagens às quais o Microsoft 365 retira prioridade para proteger a integridade geral do serviço (por exemplo: mensagens grandes, mensagens enviadas para um grande número de destinatários ou listas de distribuição que contenham um número de destinatários considerável)</w:t>
      </w:r>
    </w:p>
    <w:p w14:paraId="7D3B7BC0" w14:textId="77777777" w:rsidR="00566946" w:rsidRPr="00FF1ABA" w:rsidRDefault="00566946">
      <w:pPr>
        <w:pStyle w:val="ProductList-Body"/>
        <w:numPr>
          <w:ilvl w:val="0"/>
          <w:numId w:val="32"/>
        </w:numPr>
        <w:tabs>
          <w:tab w:val="left" w:pos="720"/>
        </w:tabs>
        <w:rPr>
          <w:rFonts w:ascii="Calibri" w:hAnsi="Calibri" w:cs="Calibri"/>
          <w:bCs/>
        </w:rPr>
      </w:pPr>
      <w:r>
        <w:rPr>
          <w:rFonts w:ascii="Calibri" w:hAnsi="Calibri" w:cs="Calibri"/>
          <w:bCs/>
        </w:rPr>
        <w:lastRenderedPageBreak/>
        <w:t>Mensagens atrasadas devido a regras e políticas configuradas por clientes dispendiosos</w:t>
      </w:r>
    </w:p>
    <w:p w14:paraId="6E0763F1" w14:textId="77777777" w:rsidR="00566946" w:rsidRPr="00EF7CF9" w:rsidRDefault="00566946" w:rsidP="00566946">
      <w:pPr>
        <w:pStyle w:val="ProductList-Body"/>
      </w:pPr>
    </w:p>
    <w:p w14:paraId="2C9203AC" w14:textId="77777777" w:rsidR="00566946" w:rsidRPr="00F44E97" w:rsidRDefault="00566946" w:rsidP="00566946">
      <w:pPr>
        <w:rPr>
          <w:rFonts w:ascii="Calibri" w:hAnsi="Calibri" w:cs="Calibri"/>
          <w:sz w:val="18"/>
        </w:rPr>
      </w:pPr>
      <w:r>
        <w:rPr>
          <w:rFonts w:ascii="Calibri" w:hAnsi="Calibri" w:cs="Calibri"/>
          <w:b/>
          <w:color w:val="00188F"/>
          <w:sz w:val="18"/>
        </w:rPr>
        <w:t>Termos Adicionais:</w:t>
      </w:r>
      <w:r>
        <w:rPr>
          <w:rFonts w:ascii="Calibri" w:hAnsi="Calibri" w:cs="Calibri"/>
          <w:sz w:val="18"/>
        </w:rPr>
        <w:t xml:space="preserve"> Consulte (i) o Apêndice 1 – Compromisso de Nível de Serviço para Deteção e Bloqueio de Vírus, Eficácia do Spam ou Falso Positivo.</w:t>
      </w:r>
    </w:p>
    <w:p w14:paraId="467B6AAC" w14:textId="77777777" w:rsidR="004E0FBE" w:rsidRPr="00EF7CF9" w:rsidRDefault="004E0FBE" w:rsidP="004E0F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DBC3626" w14:textId="77777777" w:rsidR="00F601F4" w:rsidRDefault="00F601F4" w:rsidP="00F01ED6">
      <w:pPr>
        <w:pStyle w:val="ProductList-Offering2Heading"/>
        <w:outlineLvl w:val="2"/>
      </w:pPr>
      <w:bookmarkStart w:id="77" w:name="_Toc239176396"/>
      <w:r>
        <w:t>Microsoft MyAnalytics</w:t>
      </w:r>
      <w:bookmarkEnd w:id="75"/>
      <w:bookmarkEnd w:id="77"/>
    </w:p>
    <w:p w14:paraId="48761BDB" w14:textId="77777777" w:rsidR="00F601F4" w:rsidRPr="00C27DCF" w:rsidRDefault="00F601F4" w:rsidP="00F01ED6">
      <w:pPr>
        <w:pStyle w:val="ProductList-Body"/>
        <w:rPr>
          <w:i/>
        </w:rPr>
      </w:pPr>
      <w:r>
        <w:rPr>
          <w:b/>
          <w:color w:val="00188F"/>
        </w:rPr>
        <w:t>Período de Indisponibilidade</w:t>
      </w:r>
      <w:r w:rsidRPr="00473DD3">
        <w:rPr>
          <w:b/>
          <w:color w:val="00188F"/>
        </w:rPr>
        <w:t>:</w:t>
      </w:r>
      <w:r>
        <w:t xml:space="preserve"> </w:t>
      </w:r>
      <w:r>
        <w:rPr>
          <w:iCs/>
        </w:rPr>
        <w:t>Qualquer período de tempo em que os utilizadores não conseguem aceder ao dashboard do MyAnalytics</w:t>
      </w:r>
      <w:r>
        <w:rPr>
          <w:i/>
        </w:rPr>
        <w:t>.</w:t>
      </w:r>
    </w:p>
    <w:p w14:paraId="0529F6AA" w14:textId="36F9EF92" w:rsidR="00D64CD1"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BF78BEA" w14:textId="77777777" w:rsidR="001A6663" w:rsidRPr="00EF7CF9" w:rsidRDefault="001A6663" w:rsidP="00F01ED6">
      <w:pPr>
        <w:pStyle w:val="ProductList-Body"/>
      </w:pPr>
    </w:p>
    <w:p w14:paraId="32BFAAAA" w14:textId="7A4E025A" w:rsidR="00D64CD1"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7E02FED1" w14:textId="1FB8BB2C" w:rsidR="00D64CD1" w:rsidRPr="00EF7CF9" w:rsidRDefault="00AC48A7" w:rsidP="00F01ED6">
      <w:pPr>
        <w:pStyle w:val="ProductList-Body"/>
        <w:ind w:right="126"/>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33BBB864" w14:textId="77777777" w:rsidR="00D64CD1" w:rsidRPr="00EF7CF9" w:rsidRDefault="00D64CD1"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3B69338" w14:textId="77777777" w:rsidR="00D64CD1" w:rsidRPr="00EF7CF9" w:rsidRDefault="00D64CD1" w:rsidP="00F01ED6">
            <w:pPr>
              <w:pStyle w:val="ProductList-OfferingBody"/>
              <w:jc w:val="center"/>
              <w:rPr>
                <w:color w:val="FFFFFF" w:themeColor="background1"/>
              </w:rPr>
            </w:pPr>
            <w:r>
              <w:rPr>
                <w:color w:val="FFFFFF" w:themeColor="background1"/>
              </w:rPr>
              <w:t>Crédito de Serviço</w:t>
            </w:r>
          </w:p>
        </w:tc>
      </w:tr>
      <w:tr w:rsidR="00D64CD1" w:rsidRPr="00B44CF9" w14:paraId="593E0F6A" w14:textId="77777777" w:rsidTr="00C626F4">
        <w:tc>
          <w:tcPr>
            <w:tcW w:w="5400" w:type="dxa"/>
          </w:tcPr>
          <w:p w14:paraId="04C6F3F9" w14:textId="77777777" w:rsidR="00D64CD1" w:rsidRPr="00EF7CF9" w:rsidRDefault="00D64CD1" w:rsidP="00F01ED6">
            <w:pPr>
              <w:pStyle w:val="ProductList-OfferingBody"/>
              <w:jc w:val="center"/>
            </w:pPr>
            <w:r>
              <w:t>&lt; 99,9%</w:t>
            </w:r>
          </w:p>
        </w:tc>
        <w:tc>
          <w:tcPr>
            <w:tcW w:w="5400" w:type="dxa"/>
          </w:tcPr>
          <w:p w14:paraId="5F8A5725" w14:textId="77777777" w:rsidR="00D64CD1" w:rsidRPr="00EF7CF9" w:rsidRDefault="00D64CD1" w:rsidP="00F01ED6">
            <w:pPr>
              <w:pStyle w:val="ProductList-OfferingBody"/>
              <w:jc w:val="center"/>
            </w:pPr>
            <w:r>
              <w:t>25%</w:t>
            </w:r>
          </w:p>
        </w:tc>
      </w:tr>
      <w:tr w:rsidR="00D64CD1" w:rsidRPr="00B44CF9" w14:paraId="3A2AC5F7" w14:textId="77777777" w:rsidTr="00C626F4">
        <w:tc>
          <w:tcPr>
            <w:tcW w:w="5400" w:type="dxa"/>
          </w:tcPr>
          <w:p w14:paraId="3CE241B4" w14:textId="77777777" w:rsidR="00D64CD1" w:rsidRPr="00EF7CF9" w:rsidRDefault="00D64CD1" w:rsidP="00F01ED6">
            <w:pPr>
              <w:pStyle w:val="ProductList-OfferingBody"/>
              <w:jc w:val="center"/>
            </w:pPr>
            <w:r>
              <w:t>&lt; 99%</w:t>
            </w:r>
          </w:p>
        </w:tc>
        <w:tc>
          <w:tcPr>
            <w:tcW w:w="5400" w:type="dxa"/>
          </w:tcPr>
          <w:p w14:paraId="4EFF7B52" w14:textId="77777777" w:rsidR="00D64CD1" w:rsidRPr="00EF7CF9" w:rsidRDefault="00D64CD1" w:rsidP="00F01ED6">
            <w:pPr>
              <w:pStyle w:val="ProductList-OfferingBody"/>
              <w:jc w:val="center"/>
            </w:pPr>
            <w:r>
              <w:t>50%</w:t>
            </w:r>
          </w:p>
        </w:tc>
      </w:tr>
      <w:tr w:rsidR="00D64CD1" w:rsidRPr="00B44CF9" w14:paraId="66E32E7A" w14:textId="77777777" w:rsidTr="00C626F4">
        <w:tc>
          <w:tcPr>
            <w:tcW w:w="5400" w:type="dxa"/>
          </w:tcPr>
          <w:p w14:paraId="15F97205" w14:textId="77777777" w:rsidR="00D64CD1" w:rsidRPr="00EF7CF9" w:rsidRDefault="00D64CD1" w:rsidP="00F01ED6">
            <w:pPr>
              <w:pStyle w:val="ProductList-OfferingBody"/>
              <w:jc w:val="center"/>
            </w:pPr>
            <w:r>
              <w:t>&lt; 95%</w:t>
            </w:r>
          </w:p>
        </w:tc>
        <w:tc>
          <w:tcPr>
            <w:tcW w:w="5400" w:type="dxa"/>
          </w:tcPr>
          <w:p w14:paraId="1D97E2C4" w14:textId="77777777" w:rsidR="00D64CD1" w:rsidRPr="00EF7CF9" w:rsidRDefault="00D64CD1" w:rsidP="00F01ED6">
            <w:pPr>
              <w:pStyle w:val="ProductList-OfferingBody"/>
              <w:keepNext/>
              <w:jc w:val="center"/>
            </w:pPr>
            <w:r>
              <w:t>100%</w:t>
            </w:r>
          </w:p>
        </w:tc>
      </w:tr>
    </w:tbl>
    <w:bookmarkStart w:id="78" w:name="Stream"/>
    <w:bookmarkStart w:id="79" w:name="_Toc526859625"/>
    <w:p w14:paraId="5C811F51"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3403EA1" w14:textId="342D227E" w:rsidR="00DD02FA" w:rsidRPr="00EF7CF9" w:rsidRDefault="00DD02FA" w:rsidP="00F01ED6">
      <w:pPr>
        <w:pStyle w:val="ProductList-Offering2Heading"/>
        <w:outlineLvl w:val="2"/>
      </w:pPr>
      <w:bookmarkStart w:id="80" w:name="_Toc239176397"/>
      <w:r>
        <w:t>Microsoft Stream (Clássico)</w:t>
      </w:r>
      <w:bookmarkEnd w:id="80"/>
    </w:p>
    <w:bookmarkEnd w:id="78"/>
    <w:p w14:paraId="42AF82E0" w14:textId="58E4B74E" w:rsidR="00DD02FA" w:rsidRPr="00EF7CF9" w:rsidRDefault="00DD02FA"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os utilizadores não conseguem carregar, reproduzir, eliminar vídeos ou</w:t>
      </w:r>
      <w:r w:rsidR="004D0F25">
        <w:rPr>
          <w:szCs w:val="18"/>
        </w:rPr>
        <w:t> </w:t>
      </w:r>
      <w:r>
        <w:rPr>
          <w:szCs w:val="18"/>
        </w:rPr>
        <w:t>editar metadados de vídeos quando têm as permissões adequadas e o conteúdo é válido, excluindo os cenários não suportados</w:t>
      </w:r>
      <w:r>
        <w:rPr>
          <w:szCs w:val="18"/>
          <w:vertAlign w:val="superscript"/>
        </w:rPr>
        <w:t>1</w:t>
      </w:r>
      <w:r>
        <w:rPr>
          <w:szCs w:val="18"/>
        </w:rPr>
        <w:t>.</w:t>
      </w:r>
    </w:p>
    <w:p w14:paraId="4B64631C" w14:textId="7B94C70D" w:rsidR="00DD02FA" w:rsidRPr="00EF7CF9" w:rsidRDefault="00AC48A7" w:rsidP="00173870">
      <w:pPr>
        <w:pStyle w:val="ProductList-Body"/>
        <w:keepNext/>
        <w:keepLines/>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653B0422" w14:textId="77777777" w:rsidR="00DD02FA" w:rsidRPr="00EF7CF9" w:rsidRDefault="00DD02FA" w:rsidP="00F01ED6">
      <w:pPr>
        <w:pStyle w:val="ProductList-Body"/>
      </w:pPr>
    </w:p>
    <w:p w14:paraId="241A79D3" w14:textId="3FB251CA" w:rsidR="00DD02FA"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26C05597" w14:textId="7CBEBC04" w:rsidR="00DD02FA" w:rsidRPr="00EF7CF9" w:rsidRDefault="00AC48A7" w:rsidP="00F01ED6">
      <w:pPr>
        <w:pStyle w:val="ProductList-Body"/>
        <w:ind w:right="171"/>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110497AF" w14:textId="77777777" w:rsidR="00DD02FA" w:rsidRPr="00EF7CF9" w:rsidRDefault="00DD02FA" w:rsidP="00F01ED6">
      <w:pPr>
        <w:pStyle w:val="ProductList-Body"/>
      </w:pPr>
      <w:r>
        <w:rPr>
          <w:b/>
          <w:color w:val="00188F"/>
        </w:rPr>
        <w:t>Compromisso de Nível de Serviço</w:t>
      </w:r>
      <w:r w:rsidRPr="00473DD3">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2500" w:type="pct"/>
            <w:shd w:val="clear" w:color="auto" w:fill="0072C6"/>
          </w:tcPr>
          <w:p w14:paraId="2BCF05DB" w14:textId="77777777" w:rsidR="00DD02FA" w:rsidRPr="00EF7CF9" w:rsidRDefault="00DD02FA" w:rsidP="00F01ED6">
            <w:pPr>
              <w:pStyle w:val="ProductList-OfferingBody"/>
              <w:jc w:val="center"/>
              <w:rPr>
                <w:color w:val="FFFFFF" w:themeColor="background1"/>
              </w:rPr>
            </w:pPr>
            <w:r>
              <w:rPr>
                <w:color w:val="FFFFFF" w:themeColor="background1"/>
              </w:rPr>
              <w:t>Crédito de Serviço</w:t>
            </w:r>
          </w:p>
        </w:tc>
      </w:tr>
      <w:tr w:rsidR="00DD02FA" w:rsidRPr="00B44CF9" w14:paraId="207D9729" w14:textId="77777777" w:rsidTr="00EA5FB1">
        <w:tc>
          <w:tcPr>
            <w:tcW w:w="2500" w:type="pct"/>
          </w:tcPr>
          <w:p w14:paraId="392EA847" w14:textId="77777777" w:rsidR="00DD02FA" w:rsidRPr="00EF7CF9" w:rsidRDefault="00DD02FA" w:rsidP="00F01ED6">
            <w:pPr>
              <w:pStyle w:val="ProductList-OfferingBody"/>
              <w:jc w:val="center"/>
            </w:pPr>
            <w:r>
              <w:t>&lt; 99,9%</w:t>
            </w:r>
          </w:p>
        </w:tc>
        <w:tc>
          <w:tcPr>
            <w:tcW w:w="2500" w:type="pct"/>
          </w:tcPr>
          <w:p w14:paraId="4DFA9045" w14:textId="77777777" w:rsidR="00DD02FA" w:rsidRPr="00EF7CF9" w:rsidRDefault="00DD02FA" w:rsidP="00F01ED6">
            <w:pPr>
              <w:pStyle w:val="ProductList-OfferingBody"/>
              <w:jc w:val="center"/>
            </w:pPr>
            <w:r>
              <w:t>25%</w:t>
            </w:r>
          </w:p>
        </w:tc>
      </w:tr>
      <w:tr w:rsidR="00DD02FA" w:rsidRPr="00B44CF9" w14:paraId="78170C5A" w14:textId="77777777" w:rsidTr="00EA5FB1">
        <w:tc>
          <w:tcPr>
            <w:tcW w:w="2500" w:type="pct"/>
          </w:tcPr>
          <w:p w14:paraId="0D1CCF8C" w14:textId="77777777" w:rsidR="00DD02FA" w:rsidRPr="00EF7CF9" w:rsidRDefault="00DD02FA" w:rsidP="00F01ED6">
            <w:pPr>
              <w:pStyle w:val="ProductList-OfferingBody"/>
              <w:jc w:val="center"/>
            </w:pPr>
            <w:r>
              <w:t>&lt; 99%</w:t>
            </w:r>
          </w:p>
        </w:tc>
        <w:tc>
          <w:tcPr>
            <w:tcW w:w="2500" w:type="pct"/>
          </w:tcPr>
          <w:p w14:paraId="2552E48F" w14:textId="77777777" w:rsidR="00DD02FA" w:rsidRPr="00EF7CF9" w:rsidRDefault="00DD02FA" w:rsidP="00F01ED6">
            <w:pPr>
              <w:pStyle w:val="ProductList-OfferingBody"/>
              <w:jc w:val="center"/>
            </w:pPr>
            <w:r>
              <w:t>50%</w:t>
            </w:r>
          </w:p>
        </w:tc>
      </w:tr>
      <w:tr w:rsidR="00DD02FA" w:rsidRPr="00B44CF9" w14:paraId="746C0CC6" w14:textId="77777777" w:rsidTr="00EA5FB1">
        <w:tc>
          <w:tcPr>
            <w:tcW w:w="2500" w:type="pct"/>
          </w:tcPr>
          <w:p w14:paraId="2741C0B3" w14:textId="77777777" w:rsidR="00DD02FA" w:rsidRPr="00EF7CF9" w:rsidRDefault="00DD02FA" w:rsidP="00F01ED6">
            <w:pPr>
              <w:pStyle w:val="ProductList-OfferingBody"/>
              <w:jc w:val="center"/>
            </w:pPr>
            <w:r>
              <w:t>&lt; 95%</w:t>
            </w:r>
          </w:p>
        </w:tc>
        <w:tc>
          <w:tcPr>
            <w:tcW w:w="2500" w:type="pct"/>
          </w:tcPr>
          <w:p w14:paraId="208A4B00" w14:textId="77777777" w:rsidR="00DD02FA" w:rsidRPr="00EF7CF9" w:rsidRDefault="00DD02FA" w:rsidP="00F01ED6">
            <w:pPr>
              <w:pStyle w:val="ProductList-OfferingBody"/>
              <w:jc w:val="center"/>
            </w:pPr>
            <w:r>
              <w:t>100%</w:t>
            </w:r>
          </w:p>
        </w:tc>
      </w:tr>
    </w:tbl>
    <w:p w14:paraId="6E2B305C" w14:textId="635977F9" w:rsidR="00DD02FA" w:rsidRPr="00EF7CF9" w:rsidRDefault="00DD02FA" w:rsidP="00F01ED6">
      <w:pPr>
        <w:pStyle w:val="ProductList-Body"/>
      </w:pPr>
    </w:p>
    <w:p w14:paraId="09EB1F1A" w14:textId="69747CF9" w:rsidR="00DD02FA" w:rsidRPr="00EF7CF9" w:rsidRDefault="00DD02FA" w:rsidP="00F01ED6">
      <w:pPr>
        <w:pStyle w:val="ProductList-Body"/>
      </w:pPr>
      <w:r>
        <w:rPr>
          <w:vertAlign w:val="superscript"/>
        </w:rPr>
        <w:t>1</w:t>
      </w:r>
      <w:r w:rsidR="006F3CBD">
        <w:rPr>
          <w:vertAlign w:val="superscript"/>
        </w:rPr>
        <w:t xml:space="preserve"> </w:t>
      </w:r>
      <w:r>
        <w:t>Os cenários não suportados podem incluir a reprodução em SO/dispositivos não suportados, problemas de rede do lado do cliente e erros de</w:t>
      </w:r>
      <w:r w:rsidR="00173870">
        <w:t> </w:t>
      </w:r>
      <w:r>
        <w:t>utilizador.</w:t>
      </w:r>
    </w:p>
    <w:p w14:paraId="34EB40C9"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144E1BC" w14:textId="05DE6084" w:rsidR="00F601F4" w:rsidRPr="00EF7CF9" w:rsidRDefault="00F601F4" w:rsidP="00F01ED6">
      <w:pPr>
        <w:pStyle w:val="ProductList-Offering2Heading"/>
        <w:outlineLvl w:val="2"/>
      </w:pPr>
      <w:bookmarkStart w:id="81" w:name="_Toc239176398"/>
      <w:r>
        <w:t>Microsoft Teams</w:t>
      </w:r>
      <w:bookmarkEnd w:id="79"/>
      <w:bookmarkEnd w:id="81"/>
    </w:p>
    <w:p w14:paraId="5A94C708" w14:textId="04A19251" w:rsidR="00F601F4" w:rsidRPr="00C27DCF" w:rsidRDefault="00F601F4" w:rsidP="00F01ED6">
      <w:pPr>
        <w:pStyle w:val="ProductList-Body"/>
      </w:pPr>
      <w:r>
        <w:rPr>
          <w:b/>
          <w:color w:val="00188F"/>
        </w:rPr>
        <w:t>Período de Indisponibilidade</w:t>
      </w:r>
      <w:r w:rsidRPr="00473DD3">
        <w:rPr>
          <w:b/>
          <w:color w:val="00188F"/>
        </w:rPr>
        <w:t>:</w:t>
      </w:r>
      <w:r>
        <w:t xml:space="preserve"> </w:t>
      </w:r>
      <w:r w:rsidR="007E4674">
        <w:rPr>
          <w:rFonts w:ascii="Calibri" w:hAnsi="Calibri" w:cs="Calibri"/>
        </w:rPr>
        <w:t>Qualquer período durante o qual os utilizadores finais não conseguem manter conversações de mensagens instantâneas ou iniciar reuniões online</w:t>
      </w:r>
      <w:r>
        <w:t>.</w:t>
      </w:r>
      <w:r>
        <w:rPr>
          <w:vertAlign w:val="superscript"/>
        </w:rPr>
        <w:t>1</w:t>
      </w:r>
    </w:p>
    <w:p w14:paraId="6E301193" w14:textId="7D95A798" w:rsidR="00111C8E"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51F1AE7" w14:textId="77777777" w:rsidR="00111C8E" w:rsidRPr="00EF7CF9" w:rsidRDefault="00111C8E" w:rsidP="00F01ED6">
      <w:pPr>
        <w:pStyle w:val="ProductList-Body"/>
      </w:pPr>
    </w:p>
    <w:p w14:paraId="5557FC57" w14:textId="3F9657ED" w:rsidR="00111C8E"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2B786914" w14:textId="757A361A" w:rsidR="00111C8E" w:rsidRPr="00EF7CF9" w:rsidRDefault="00AC48A7" w:rsidP="00F01ED6">
      <w:pPr>
        <w:pStyle w:val="ProductList-Body"/>
        <w:ind w:right="198"/>
      </w:pPr>
      <w:r>
        <w:lastRenderedPageBreak/>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24580EAD" w14:textId="77777777" w:rsidR="00111C8E" w:rsidRPr="00EF7CF9" w:rsidRDefault="00111C8E"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656A668" w14:textId="77777777" w:rsidR="00111C8E" w:rsidRPr="00EF7CF9" w:rsidRDefault="00111C8E" w:rsidP="00F01ED6">
            <w:pPr>
              <w:pStyle w:val="ProductList-OfferingBody"/>
              <w:jc w:val="center"/>
              <w:rPr>
                <w:color w:val="FFFFFF" w:themeColor="background1"/>
              </w:rPr>
            </w:pPr>
            <w:r>
              <w:rPr>
                <w:color w:val="FFFFFF" w:themeColor="background1"/>
              </w:rPr>
              <w:t>Crédito de Serviço</w:t>
            </w:r>
          </w:p>
        </w:tc>
      </w:tr>
      <w:tr w:rsidR="00111C8E" w:rsidRPr="00B44CF9" w14:paraId="589ABE4E" w14:textId="77777777" w:rsidTr="00C626F4">
        <w:tc>
          <w:tcPr>
            <w:tcW w:w="5400" w:type="dxa"/>
          </w:tcPr>
          <w:p w14:paraId="2578BD40" w14:textId="77777777" w:rsidR="00111C8E" w:rsidRPr="00EF7CF9" w:rsidRDefault="00111C8E" w:rsidP="00F01ED6">
            <w:pPr>
              <w:pStyle w:val="ProductList-OfferingBody"/>
              <w:jc w:val="center"/>
            </w:pPr>
            <w:r>
              <w:t>&lt; 99,9%</w:t>
            </w:r>
          </w:p>
        </w:tc>
        <w:tc>
          <w:tcPr>
            <w:tcW w:w="5400" w:type="dxa"/>
          </w:tcPr>
          <w:p w14:paraId="2401154C" w14:textId="77777777" w:rsidR="00111C8E" w:rsidRPr="00EF7CF9" w:rsidRDefault="00111C8E" w:rsidP="00F01ED6">
            <w:pPr>
              <w:pStyle w:val="ProductList-OfferingBody"/>
              <w:jc w:val="center"/>
            </w:pPr>
            <w:r>
              <w:t>25%</w:t>
            </w:r>
          </w:p>
        </w:tc>
      </w:tr>
      <w:tr w:rsidR="00111C8E" w:rsidRPr="00B44CF9" w14:paraId="44E404DC" w14:textId="77777777" w:rsidTr="00C626F4">
        <w:tc>
          <w:tcPr>
            <w:tcW w:w="5400" w:type="dxa"/>
          </w:tcPr>
          <w:p w14:paraId="43838AEE" w14:textId="77777777" w:rsidR="00111C8E" w:rsidRPr="00EF7CF9" w:rsidRDefault="00111C8E" w:rsidP="00F01ED6">
            <w:pPr>
              <w:pStyle w:val="ProductList-OfferingBody"/>
              <w:jc w:val="center"/>
            </w:pPr>
            <w:r>
              <w:t>&lt; 99%</w:t>
            </w:r>
          </w:p>
        </w:tc>
        <w:tc>
          <w:tcPr>
            <w:tcW w:w="5400" w:type="dxa"/>
          </w:tcPr>
          <w:p w14:paraId="2875A913" w14:textId="77777777" w:rsidR="00111C8E" w:rsidRPr="00EF7CF9" w:rsidRDefault="00111C8E" w:rsidP="00F01ED6">
            <w:pPr>
              <w:pStyle w:val="ProductList-OfferingBody"/>
              <w:jc w:val="center"/>
            </w:pPr>
            <w:r>
              <w:t>50%</w:t>
            </w:r>
          </w:p>
        </w:tc>
      </w:tr>
      <w:tr w:rsidR="00111C8E" w:rsidRPr="00B44CF9" w14:paraId="1BA92F4B" w14:textId="77777777" w:rsidTr="00C626F4">
        <w:tc>
          <w:tcPr>
            <w:tcW w:w="5400" w:type="dxa"/>
          </w:tcPr>
          <w:p w14:paraId="7A9B4648" w14:textId="77777777" w:rsidR="00111C8E" w:rsidRPr="00EF7CF9" w:rsidRDefault="00111C8E" w:rsidP="00F01ED6">
            <w:pPr>
              <w:pStyle w:val="ProductList-OfferingBody"/>
              <w:keepNext/>
              <w:jc w:val="center"/>
            </w:pPr>
            <w:r>
              <w:t>&lt; 95%</w:t>
            </w:r>
          </w:p>
        </w:tc>
        <w:tc>
          <w:tcPr>
            <w:tcW w:w="5400" w:type="dxa"/>
          </w:tcPr>
          <w:p w14:paraId="31E43A9C" w14:textId="77777777" w:rsidR="00111C8E" w:rsidRPr="00EF7CF9" w:rsidRDefault="00111C8E" w:rsidP="00F01ED6">
            <w:pPr>
              <w:pStyle w:val="ProductList-OfferingBody"/>
              <w:keepNext/>
              <w:jc w:val="center"/>
            </w:pPr>
            <w:r>
              <w:t>100%</w:t>
            </w:r>
          </w:p>
        </w:tc>
      </w:tr>
    </w:tbl>
    <w:p w14:paraId="4225F2AE" w14:textId="77777777" w:rsidR="00EA5FB1" w:rsidRPr="00EF7CF9" w:rsidRDefault="00971220" w:rsidP="00F01ED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Índice" w:history="1">
        <w:r>
          <w:rPr>
            <w:rStyle w:val="Hyperlink"/>
            <w:sz w:val="16"/>
            <w:szCs w:val="16"/>
          </w:rPr>
          <w:t>Índice</w:t>
        </w:r>
      </w:hyperlink>
      <w:r>
        <w:rPr>
          <w:sz w:val="16"/>
          <w:szCs w:val="16"/>
        </w:rPr>
        <w:t xml:space="preserve"> / </w:t>
      </w:r>
      <w:hyperlink w:anchor="Definições" w:tooltip="Definições" w:history="1">
        <w:r>
          <w:rPr>
            <w:rStyle w:val="Hyperlink"/>
            <w:sz w:val="16"/>
            <w:szCs w:val="16"/>
          </w:rPr>
          <w:t>Definições</w:t>
        </w:r>
      </w:hyperlink>
    </w:p>
    <w:p w14:paraId="2C31189D" w14:textId="0488C3C2" w:rsidR="008C5EDB" w:rsidRPr="00EF7CF9" w:rsidRDefault="008E68F7" w:rsidP="00F01ED6">
      <w:pPr>
        <w:pStyle w:val="ProductList-Offering2Heading"/>
        <w:outlineLvl w:val="2"/>
      </w:pPr>
      <w:bookmarkStart w:id="82" w:name="_Hlk37926720"/>
      <w:bookmarkStart w:id="83" w:name="_Toc239176399"/>
      <w:bookmarkEnd w:id="76"/>
      <w:r>
        <w:t>Microsoft 365 Apps para Pequenas e Médias Empresas</w:t>
      </w:r>
      <w:bookmarkEnd w:id="82"/>
      <w:bookmarkEnd w:id="83"/>
    </w:p>
    <w:p w14:paraId="7289F7AE" w14:textId="59B03AB1" w:rsidR="008C5EDB" w:rsidRPr="00EF7CF9" w:rsidRDefault="008C5EDB"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as aplicações do Office são colocadas em modo de funcionalidade reduzida devido a um problema com a ativação do Office 365</w:t>
      </w:r>
      <w:r>
        <w:t>.</w:t>
      </w:r>
    </w:p>
    <w:p w14:paraId="53E63742" w14:textId="44FD96EE" w:rsidR="008C5EDB"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1E2CE05" w14:textId="77777777" w:rsidR="008C5EDB" w:rsidRPr="00EF7CF9" w:rsidRDefault="008C5EDB" w:rsidP="00F01ED6">
      <w:pPr>
        <w:pStyle w:val="ProductList-Body"/>
      </w:pPr>
    </w:p>
    <w:p w14:paraId="35067700" w14:textId="131F8435" w:rsidR="008C5EDB"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54100507" w14:textId="7A6B89B0" w:rsidR="008C5EDB" w:rsidRPr="00EF7CF9" w:rsidRDefault="00AC48A7" w:rsidP="00F01ED6">
      <w:pPr>
        <w:pStyle w:val="ProductList-Body"/>
        <w:ind w:right="135"/>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11375DC1" w14:textId="42DEC6C3" w:rsidR="008C5EDB" w:rsidRPr="00EF7CF9" w:rsidRDefault="008C5EDB" w:rsidP="00FD4F89">
      <w:pPr>
        <w:pStyle w:val="ProductList-Body"/>
        <w:keepNext/>
        <w:keepLines/>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FD4F89">
            <w:pPr>
              <w:pStyle w:val="ProductList-OfferingBody"/>
              <w:keepNext/>
              <w:keepLines/>
              <w:jc w:val="center"/>
              <w:rPr>
                <w:color w:val="FFFFFF" w:themeColor="background1"/>
              </w:rPr>
            </w:pPr>
            <w:r>
              <w:rPr>
                <w:color w:val="FFFFFF" w:themeColor="background1"/>
              </w:rPr>
              <w:t>Percentagem de Período de Disponibilidade</w:t>
            </w:r>
          </w:p>
        </w:tc>
        <w:tc>
          <w:tcPr>
            <w:tcW w:w="5400" w:type="dxa"/>
            <w:shd w:val="clear" w:color="auto" w:fill="0072C6"/>
          </w:tcPr>
          <w:p w14:paraId="71A6505D" w14:textId="77777777" w:rsidR="008C5EDB" w:rsidRPr="00EF7CF9" w:rsidRDefault="008C5EDB" w:rsidP="00FD4F89">
            <w:pPr>
              <w:pStyle w:val="ProductList-OfferingBody"/>
              <w:keepNext/>
              <w:keepLines/>
              <w:jc w:val="center"/>
              <w:rPr>
                <w:color w:val="FFFFFF" w:themeColor="background1"/>
              </w:rPr>
            </w:pPr>
            <w:r>
              <w:rPr>
                <w:color w:val="FFFFFF" w:themeColor="background1"/>
              </w:rPr>
              <w:t>Crédito de Serviço</w:t>
            </w:r>
          </w:p>
        </w:tc>
      </w:tr>
      <w:tr w:rsidR="008C5EDB" w:rsidRPr="00B44CF9" w14:paraId="7F314A2F" w14:textId="77777777" w:rsidTr="00C86427">
        <w:tc>
          <w:tcPr>
            <w:tcW w:w="5400" w:type="dxa"/>
          </w:tcPr>
          <w:p w14:paraId="27EC60BA" w14:textId="491322A6" w:rsidR="008C5EDB" w:rsidRPr="00EF7CF9" w:rsidRDefault="008C5EDB" w:rsidP="00FD4F89">
            <w:pPr>
              <w:pStyle w:val="ProductList-OfferingBody"/>
              <w:keepNext/>
              <w:keepLines/>
              <w:jc w:val="center"/>
            </w:pPr>
            <w:r>
              <w:t>&lt; 99,9%</w:t>
            </w:r>
          </w:p>
        </w:tc>
        <w:tc>
          <w:tcPr>
            <w:tcW w:w="5400" w:type="dxa"/>
          </w:tcPr>
          <w:p w14:paraId="32479524" w14:textId="77777777" w:rsidR="008C5EDB" w:rsidRPr="00EF7CF9" w:rsidRDefault="008C5EDB" w:rsidP="00FD4F89">
            <w:pPr>
              <w:pStyle w:val="ProductList-OfferingBody"/>
              <w:keepNext/>
              <w:keepLines/>
              <w:jc w:val="center"/>
            </w:pPr>
            <w:r>
              <w:t>25%</w:t>
            </w:r>
          </w:p>
        </w:tc>
      </w:tr>
      <w:tr w:rsidR="008C5EDB" w:rsidRPr="00B44CF9" w14:paraId="3B51D863" w14:textId="77777777" w:rsidTr="00C86427">
        <w:tc>
          <w:tcPr>
            <w:tcW w:w="5400" w:type="dxa"/>
          </w:tcPr>
          <w:p w14:paraId="20F7F18D" w14:textId="7E2505C1" w:rsidR="008C5EDB" w:rsidRPr="00EF7CF9" w:rsidRDefault="008C5EDB" w:rsidP="00F01ED6">
            <w:pPr>
              <w:pStyle w:val="ProductList-OfferingBody"/>
              <w:jc w:val="center"/>
            </w:pPr>
            <w:r>
              <w:t>&lt; 99%</w:t>
            </w:r>
          </w:p>
        </w:tc>
        <w:tc>
          <w:tcPr>
            <w:tcW w:w="5400" w:type="dxa"/>
          </w:tcPr>
          <w:p w14:paraId="62FA6717" w14:textId="77777777" w:rsidR="008C5EDB" w:rsidRPr="00EF7CF9" w:rsidRDefault="008C5EDB" w:rsidP="00F01ED6">
            <w:pPr>
              <w:pStyle w:val="ProductList-OfferingBody"/>
              <w:jc w:val="center"/>
            </w:pPr>
            <w:r>
              <w:t>50%</w:t>
            </w:r>
          </w:p>
        </w:tc>
      </w:tr>
      <w:tr w:rsidR="008C5EDB" w:rsidRPr="00B44CF9" w14:paraId="6129A967" w14:textId="77777777" w:rsidTr="00C86427">
        <w:tc>
          <w:tcPr>
            <w:tcW w:w="5400" w:type="dxa"/>
          </w:tcPr>
          <w:p w14:paraId="4DE7318B" w14:textId="77777777" w:rsidR="008C5EDB" w:rsidRPr="00EF7CF9" w:rsidRDefault="008C5EDB" w:rsidP="00F01ED6">
            <w:pPr>
              <w:pStyle w:val="ProductList-OfferingBody"/>
              <w:jc w:val="center"/>
            </w:pPr>
            <w:r>
              <w:t>&lt; 95%</w:t>
            </w:r>
          </w:p>
        </w:tc>
        <w:tc>
          <w:tcPr>
            <w:tcW w:w="5400" w:type="dxa"/>
          </w:tcPr>
          <w:p w14:paraId="39648AB2" w14:textId="77777777" w:rsidR="008C5EDB" w:rsidRPr="00EF7CF9" w:rsidRDefault="008C5EDB" w:rsidP="00F01ED6">
            <w:pPr>
              <w:pStyle w:val="ProductList-OfferingBody"/>
              <w:jc w:val="center"/>
            </w:pPr>
            <w:r>
              <w:t>100%</w:t>
            </w:r>
          </w:p>
        </w:tc>
      </w:tr>
    </w:tbl>
    <w:bookmarkStart w:id="84" w:name="_Hlk37926721"/>
    <w:p w14:paraId="38017524"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FC93245" w14:textId="484C0EE9" w:rsidR="000C13D4" w:rsidRPr="00EF7CF9" w:rsidRDefault="008E68F7" w:rsidP="00F01ED6">
      <w:pPr>
        <w:pStyle w:val="ProductList-Offering2Heading"/>
        <w:outlineLvl w:val="2"/>
      </w:pPr>
      <w:bookmarkStart w:id="85" w:name="_Toc239176400"/>
      <w:r>
        <w:t>Microsoft 365 Apps para Grandes Empresas</w:t>
      </w:r>
      <w:bookmarkEnd w:id="84"/>
      <w:bookmarkEnd w:id="85"/>
    </w:p>
    <w:p w14:paraId="449A5D9A" w14:textId="602C4994" w:rsidR="000C13D4" w:rsidRPr="00EF7CF9" w:rsidRDefault="000C13D4"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as aplicações do Office são colocadas em modo de funcionalidade reduzida devido a um problema com a ativação do Office 365.</w:t>
      </w:r>
    </w:p>
    <w:p w14:paraId="05221919" w14:textId="49DA841C" w:rsidR="000C13D4"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08298982" w14:textId="77777777" w:rsidR="000C13D4" w:rsidRPr="00EF7CF9" w:rsidRDefault="000C13D4" w:rsidP="00F01ED6">
      <w:pPr>
        <w:pStyle w:val="ProductList-Body"/>
      </w:pPr>
    </w:p>
    <w:p w14:paraId="3C8D0742" w14:textId="4EE916FC" w:rsidR="000C13D4"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095C5050" w14:textId="3D12691A" w:rsidR="000C13D4" w:rsidRPr="00EF7CF9" w:rsidRDefault="00AC48A7" w:rsidP="00F01ED6">
      <w:pPr>
        <w:pStyle w:val="ProductList-Body"/>
      </w:pPr>
      <w:r>
        <w:t>em que o Período de Indisponibilidade é calculado em minutos de utilizador, ou seja, para cada Período Aplicável, o Período de Indisponibilidade é</w:t>
      </w:r>
      <w:r w:rsidR="00173870">
        <w:t> </w:t>
      </w:r>
      <w:r>
        <w:t>a soma da duração (em minutos) de cada Incidente que ocorre durante o Período Aplicável multiplicada pelo número de utilizadores afetados por esse Incidente.</w:t>
      </w:r>
    </w:p>
    <w:p w14:paraId="4D7C630A" w14:textId="1FC61854" w:rsidR="000C13D4" w:rsidRPr="00EF7CF9" w:rsidRDefault="000C13D4"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76BF93B" w14:textId="77777777" w:rsidR="000C13D4" w:rsidRPr="00EF7CF9" w:rsidRDefault="000C13D4" w:rsidP="00F01ED6">
            <w:pPr>
              <w:pStyle w:val="ProductList-OfferingBody"/>
              <w:jc w:val="center"/>
              <w:rPr>
                <w:color w:val="FFFFFF" w:themeColor="background1"/>
              </w:rPr>
            </w:pPr>
            <w:r>
              <w:rPr>
                <w:color w:val="FFFFFF" w:themeColor="background1"/>
              </w:rPr>
              <w:t>Crédito de Serviço</w:t>
            </w:r>
          </w:p>
        </w:tc>
      </w:tr>
      <w:tr w:rsidR="000C13D4" w:rsidRPr="00B44CF9" w14:paraId="5277ABA6" w14:textId="77777777" w:rsidTr="00C86427">
        <w:tc>
          <w:tcPr>
            <w:tcW w:w="5400" w:type="dxa"/>
          </w:tcPr>
          <w:p w14:paraId="05B0041B" w14:textId="445FE07F" w:rsidR="000C13D4" w:rsidRPr="00EF7CF9" w:rsidRDefault="000C13D4" w:rsidP="00F01ED6">
            <w:pPr>
              <w:pStyle w:val="ProductList-OfferingBody"/>
              <w:jc w:val="center"/>
            </w:pPr>
            <w:r>
              <w:t>&lt; 99,9%</w:t>
            </w:r>
          </w:p>
        </w:tc>
        <w:tc>
          <w:tcPr>
            <w:tcW w:w="5400" w:type="dxa"/>
          </w:tcPr>
          <w:p w14:paraId="4C9A31DC" w14:textId="77777777" w:rsidR="000C13D4" w:rsidRPr="00EF7CF9" w:rsidRDefault="000C13D4" w:rsidP="00F01ED6">
            <w:pPr>
              <w:pStyle w:val="ProductList-OfferingBody"/>
              <w:jc w:val="center"/>
            </w:pPr>
            <w:r>
              <w:t>25%</w:t>
            </w:r>
          </w:p>
        </w:tc>
      </w:tr>
      <w:tr w:rsidR="000C13D4" w:rsidRPr="00B44CF9" w14:paraId="1C8A9049" w14:textId="77777777" w:rsidTr="00C86427">
        <w:tc>
          <w:tcPr>
            <w:tcW w:w="5400" w:type="dxa"/>
          </w:tcPr>
          <w:p w14:paraId="5400DA44" w14:textId="2D3443A0" w:rsidR="000C13D4" w:rsidRPr="00EF7CF9" w:rsidRDefault="000C13D4" w:rsidP="00F01ED6">
            <w:pPr>
              <w:pStyle w:val="ProductList-OfferingBody"/>
              <w:jc w:val="center"/>
            </w:pPr>
            <w:r>
              <w:t>&lt; 99%</w:t>
            </w:r>
          </w:p>
        </w:tc>
        <w:tc>
          <w:tcPr>
            <w:tcW w:w="5400" w:type="dxa"/>
          </w:tcPr>
          <w:p w14:paraId="3FC2502C" w14:textId="77777777" w:rsidR="000C13D4" w:rsidRPr="00EF7CF9" w:rsidRDefault="000C13D4" w:rsidP="00F01ED6">
            <w:pPr>
              <w:pStyle w:val="ProductList-OfferingBody"/>
              <w:jc w:val="center"/>
            </w:pPr>
            <w:r>
              <w:t>50%</w:t>
            </w:r>
          </w:p>
        </w:tc>
      </w:tr>
      <w:tr w:rsidR="000C13D4" w:rsidRPr="00B44CF9" w14:paraId="7BC013DA" w14:textId="77777777" w:rsidTr="00C86427">
        <w:tc>
          <w:tcPr>
            <w:tcW w:w="5400" w:type="dxa"/>
          </w:tcPr>
          <w:p w14:paraId="0ACE145E" w14:textId="77777777" w:rsidR="000C13D4" w:rsidRPr="00EF7CF9" w:rsidRDefault="000C13D4" w:rsidP="00F01ED6">
            <w:pPr>
              <w:pStyle w:val="ProductList-OfferingBody"/>
              <w:jc w:val="center"/>
            </w:pPr>
            <w:r>
              <w:t>&lt; 95%</w:t>
            </w:r>
          </w:p>
        </w:tc>
        <w:tc>
          <w:tcPr>
            <w:tcW w:w="5400" w:type="dxa"/>
          </w:tcPr>
          <w:p w14:paraId="1EF01771" w14:textId="77777777" w:rsidR="000C13D4" w:rsidRPr="00EF7CF9" w:rsidRDefault="000C13D4" w:rsidP="00F01ED6">
            <w:pPr>
              <w:pStyle w:val="ProductList-OfferingBody"/>
              <w:jc w:val="center"/>
            </w:pPr>
            <w:r>
              <w:t>100%</w:t>
            </w:r>
          </w:p>
        </w:tc>
      </w:tr>
    </w:tbl>
    <w:bookmarkStart w:id="86" w:name="_Toc457821519"/>
    <w:p w14:paraId="0656EBDB"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F298561" w14:textId="77777777" w:rsidR="005745B1" w:rsidRPr="00FC1992" w:rsidRDefault="005745B1" w:rsidP="005745B1">
      <w:pPr>
        <w:pStyle w:val="ProductList-Offering2Heading"/>
        <w:keepNext/>
        <w:tabs>
          <w:tab w:val="clear" w:pos="360"/>
          <w:tab w:val="clear" w:pos="720"/>
          <w:tab w:val="clear" w:pos="1080"/>
        </w:tabs>
        <w:outlineLvl w:val="2"/>
        <w:rPr>
          <w:rFonts w:ascii="Calibri Light" w:hAnsi="Calibri Light" w:cs="Calibri Light"/>
        </w:rPr>
      </w:pPr>
      <w:bookmarkStart w:id="87" w:name="_Toc239176401"/>
      <w:bookmarkStart w:id="88" w:name="_Toc225443066"/>
      <w:r>
        <w:rPr>
          <w:rFonts w:ascii="Calibri Light" w:hAnsi="Calibri Light" w:cs="Calibri Light"/>
        </w:rPr>
        <w:t>Microsoft 365 Copilot</w:t>
      </w:r>
      <w:bookmarkEnd w:id="87"/>
    </w:p>
    <w:bookmarkEnd w:id="88"/>
    <w:p w14:paraId="56EED246" w14:textId="77777777" w:rsidR="005745B1" w:rsidRPr="0054418C" w:rsidRDefault="005745B1" w:rsidP="005745B1">
      <w:pPr>
        <w:spacing w:after="0"/>
        <w:rPr>
          <w:rFonts w:ascii="Calibri" w:eastAsia="Calibri" w:hAnsi="Calibri" w:cs="Arial"/>
        </w:rPr>
      </w:pPr>
      <w:r>
        <w:rPr>
          <w:rFonts w:ascii="Calibri" w:eastAsia="Calibri" w:hAnsi="Calibri" w:cs="Arial"/>
          <w:sz w:val="18"/>
        </w:rPr>
        <w:t>“</w:t>
      </w:r>
      <w:r>
        <w:rPr>
          <w:rFonts w:ascii="Calibri" w:eastAsia="Calibri" w:hAnsi="Calibri" w:cs="Arial"/>
          <w:b/>
          <w:color w:val="00188F"/>
          <w:sz w:val="18"/>
        </w:rPr>
        <w:t>Tempo de Inatividade</w:t>
      </w:r>
      <w:r>
        <w:rPr>
          <w:rFonts w:ascii="Calibri" w:eastAsia="Calibri" w:hAnsi="Calibri" w:cs="Arial"/>
          <w:sz w:val="18"/>
        </w:rPr>
        <w:t xml:space="preserve">” </w:t>
      </w:r>
      <w:r>
        <w:rPr>
          <w:rFonts w:ascii="Calibri" w:eastAsia="Calibri" w:hAnsi="Calibri" w:cs="Arial"/>
          <w:sz w:val="18"/>
          <w:szCs w:val="18"/>
        </w:rPr>
        <w:t>Quando os utilizadores finais com licença do Microsoft 365 Copilot enviam um pedido válido no Copilot Chat dentro da aplicação Microsoft 365 Copilot (Web, computador, macOS e dispositivos móveis), e recebem uma resposta sem êxito do Copilot devido a um erro do lado do servidor do LLM. Um pedido válido é aquela que não é bloqueada pelos filtros de IA Responsável da Microsoft nem por outras medidas de proteção do sistema. Uma resposta sem êxito ocorre quando o LLM devolve um erro do lado do servidor. Este SLA aplica-se aos modelos LLM para IA alojados e operados pela Microsoft. Este SLA não é aplicável a quaisquer funcionalidades de consumo no Copilot.</w:t>
      </w:r>
      <w:r>
        <w:rPr>
          <w:rFonts w:ascii="Calibri" w:eastAsia="Calibri" w:hAnsi="Calibri" w:cs="Arial"/>
        </w:rPr>
        <w:t xml:space="preserve"> </w:t>
      </w:r>
    </w:p>
    <w:p w14:paraId="2305A0D2" w14:textId="77777777" w:rsidR="005745B1" w:rsidRPr="0054418C" w:rsidRDefault="005745B1" w:rsidP="005745B1">
      <w:pPr>
        <w:spacing w:after="0"/>
        <w:rPr>
          <w:rFonts w:ascii="Calibri" w:eastAsia="Calibri" w:hAnsi="Calibri" w:cs="Arial"/>
          <w:sz w:val="18"/>
          <w:szCs w:val="18"/>
        </w:rPr>
      </w:pPr>
      <w:r>
        <w:rPr>
          <w:rFonts w:ascii="Calibri" w:eastAsia="Calibri" w:hAnsi="Calibri" w:cs="Arial"/>
          <w:b/>
          <w:bCs/>
          <w:color w:val="00188F"/>
          <w:sz w:val="18"/>
          <w:szCs w:val="18"/>
        </w:rPr>
        <w:lastRenderedPageBreak/>
        <w:t>Percentagem de Tempo de Atividade</w:t>
      </w:r>
      <w:r>
        <w:rPr>
          <w:rFonts w:ascii="Calibri" w:eastAsia="Calibri" w:hAnsi="Calibri" w:cs="Arial"/>
          <w:sz w:val="18"/>
          <w:szCs w:val="18"/>
        </w:rPr>
        <w:t xml:space="preserve">: A Percentagem de Tempo de Atividade é calculada através da seguinte fórmula: </w:t>
      </w:r>
    </w:p>
    <w:p w14:paraId="29F76684" w14:textId="77777777" w:rsidR="005745B1" w:rsidRPr="0054418C" w:rsidRDefault="00000000" w:rsidP="005745B1">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Total de pedidos válidos-respostas sem êxito </m:t>
              </m:r>
            </m:num>
            <m:den>
              <m:r>
                <w:rPr>
                  <w:rFonts w:ascii="Cambria Math" w:eastAsia="Calibri" w:hAnsi="Cambria Math" w:cs="Arial"/>
                  <w:sz w:val="18"/>
                  <w:szCs w:val="18"/>
                </w:rPr>
                <m:t>Total de pedidos válidos</m:t>
              </m:r>
            </m:den>
          </m:f>
          <m:r>
            <w:rPr>
              <w:rFonts w:ascii="Cambria Math" w:eastAsia="Calibri" w:hAnsi="Cambria Math" w:cs="Arial"/>
              <w:sz w:val="18"/>
              <w:szCs w:val="18"/>
            </w:rPr>
            <m:t xml:space="preserve"> x 100 </m:t>
          </m:r>
        </m:oMath>
      </m:oMathPara>
    </w:p>
    <w:p w14:paraId="1324A1B5" w14:textId="77777777" w:rsidR="005745B1" w:rsidRPr="0054418C" w:rsidRDefault="005745B1" w:rsidP="005745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em que o Tempo de Inatividade é medido como uma percentagem de respostas sem êxito durante um Período Aplicável.</w:t>
      </w:r>
    </w:p>
    <w:p w14:paraId="7F5C68BA" w14:textId="77777777" w:rsidR="005745B1" w:rsidRPr="0054418C" w:rsidRDefault="005745B1" w:rsidP="005745B1">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Crédito de Serviço</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5745B1" w:rsidRPr="0054418C" w14:paraId="0CC736EE" w14:textId="77777777" w:rsidTr="004B5866">
        <w:trPr>
          <w:tblHeader/>
        </w:trPr>
        <w:tc>
          <w:tcPr>
            <w:tcW w:w="5400" w:type="dxa"/>
            <w:shd w:val="clear" w:color="auto" w:fill="0072C6"/>
            <w:tcMar>
              <w:top w:w="0" w:type="dxa"/>
              <w:left w:w="108" w:type="dxa"/>
              <w:bottom w:w="0" w:type="dxa"/>
              <w:right w:w="108" w:type="dxa"/>
            </w:tcMar>
            <w:hideMark/>
          </w:tcPr>
          <w:p w14:paraId="172AAED2" w14:textId="77777777" w:rsidR="005745B1" w:rsidRPr="0054418C" w:rsidRDefault="005745B1" w:rsidP="004B5866">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Percentagem de Tempo de Atividade</w:t>
            </w:r>
          </w:p>
        </w:tc>
        <w:tc>
          <w:tcPr>
            <w:tcW w:w="5400" w:type="dxa"/>
            <w:shd w:val="clear" w:color="auto" w:fill="0072C6"/>
            <w:tcMar>
              <w:top w:w="0" w:type="dxa"/>
              <w:left w:w="108" w:type="dxa"/>
              <w:bottom w:w="0" w:type="dxa"/>
              <w:right w:w="108" w:type="dxa"/>
            </w:tcMar>
            <w:hideMark/>
          </w:tcPr>
          <w:p w14:paraId="5B815C85" w14:textId="77777777" w:rsidR="005745B1" w:rsidRPr="0054418C" w:rsidRDefault="005745B1" w:rsidP="004B5866">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5745B1" w:rsidRPr="0054418C" w14:paraId="0DD017E3" w14:textId="77777777" w:rsidTr="004B5866">
        <w:tc>
          <w:tcPr>
            <w:tcW w:w="5400" w:type="dxa"/>
            <w:tcMar>
              <w:top w:w="0" w:type="dxa"/>
              <w:left w:w="108" w:type="dxa"/>
              <w:bottom w:w="0" w:type="dxa"/>
              <w:right w:w="108" w:type="dxa"/>
            </w:tcMar>
            <w:hideMark/>
          </w:tcPr>
          <w:p w14:paraId="51930F6B" w14:textId="77777777" w:rsidR="005745B1" w:rsidRPr="0054418C" w:rsidRDefault="005745B1" w:rsidP="004B586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w:t>
            </w:r>
          </w:p>
        </w:tc>
        <w:tc>
          <w:tcPr>
            <w:tcW w:w="5400" w:type="dxa"/>
            <w:tcMar>
              <w:top w:w="0" w:type="dxa"/>
              <w:left w:w="108" w:type="dxa"/>
              <w:bottom w:w="0" w:type="dxa"/>
              <w:right w:w="108" w:type="dxa"/>
            </w:tcMar>
            <w:hideMark/>
          </w:tcPr>
          <w:p w14:paraId="11C3563D" w14:textId="77777777" w:rsidR="005745B1" w:rsidRPr="0054418C" w:rsidRDefault="005745B1" w:rsidP="004B586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w:t>
            </w:r>
          </w:p>
        </w:tc>
      </w:tr>
      <w:tr w:rsidR="005745B1" w:rsidRPr="0054418C" w14:paraId="086F65DF" w14:textId="77777777" w:rsidTr="004B5866">
        <w:tc>
          <w:tcPr>
            <w:tcW w:w="5400" w:type="dxa"/>
            <w:tcMar>
              <w:top w:w="0" w:type="dxa"/>
              <w:left w:w="108" w:type="dxa"/>
              <w:bottom w:w="0" w:type="dxa"/>
              <w:right w:w="108" w:type="dxa"/>
            </w:tcMar>
            <w:hideMark/>
          </w:tcPr>
          <w:p w14:paraId="03311C03" w14:textId="77777777" w:rsidR="005745B1" w:rsidRPr="0054418C" w:rsidRDefault="005745B1" w:rsidP="004B586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Mar>
              <w:top w:w="0" w:type="dxa"/>
              <w:left w:w="108" w:type="dxa"/>
              <w:bottom w:w="0" w:type="dxa"/>
              <w:right w:w="108" w:type="dxa"/>
            </w:tcMar>
            <w:hideMark/>
          </w:tcPr>
          <w:p w14:paraId="0E0C4994" w14:textId="77777777" w:rsidR="005745B1" w:rsidRPr="0054418C" w:rsidRDefault="005745B1" w:rsidP="004B586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w:t>
            </w:r>
          </w:p>
        </w:tc>
      </w:tr>
      <w:tr w:rsidR="005745B1" w:rsidRPr="0054418C" w14:paraId="6348163B" w14:textId="77777777" w:rsidTr="004B5866">
        <w:tc>
          <w:tcPr>
            <w:tcW w:w="5400" w:type="dxa"/>
            <w:tcMar>
              <w:top w:w="0" w:type="dxa"/>
              <w:left w:w="108" w:type="dxa"/>
              <w:bottom w:w="0" w:type="dxa"/>
              <w:right w:w="108" w:type="dxa"/>
            </w:tcMar>
          </w:tcPr>
          <w:p w14:paraId="34A3E1D9" w14:textId="77777777" w:rsidR="005745B1" w:rsidRPr="0054418C" w:rsidRDefault="005745B1" w:rsidP="004B586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w:t>
            </w:r>
          </w:p>
        </w:tc>
        <w:tc>
          <w:tcPr>
            <w:tcW w:w="5400" w:type="dxa"/>
            <w:tcMar>
              <w:top w:w="0" w:type="dxa"/>
              <w:left w:w="108" w:type="dxa"/>
              <w:bottom w:w="0" w:type="dxa"/>
              <w:right w:w="108" w:type="dxa"/>
            </w:tcMar>
          </w:tcPr>
          <w:p w14:paraId="0E1C0067" w14:textId="77777777" w:rsidR="005745B1" w:rsidRPr="0054418C" w:rsidRDefault="005745B1" w:rsidP="004B586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w:t>
            </w:r>
          </w:p>
        </w:tc>
      </w:tr>
    </w:tbl>
    <w:p w14:paraId="50B3EF60" w14:textId="77777777" w:rsidR="005745B1" w:rsidRPr="00EF7CF9" w:rsidRDefault="005745B1" w:rsidP="005745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D4ACF6A" w14:textId="76648D02" w:rsidR="008E68F7" w:rsidRPr="00EF7CF9" w:rsidRDefault="008E68F7" w:rsidP="00F01ED6">
      <w:pPr>
        <w:pStyle w:val="ProductList-Offering2Heading"/>
        <w:outlineLvl w:val="2"/>
      </w:pPr>
      <w:bookmarkStart w:id="89" w:name="_Toc239176402"/>
      <w:r>
        <w:t>Office 365 Advanced Compliance</w:t>
      </w:r>
      <w:bookmarkEnd w:id="89"/>
    </w:p>
    <w:p w14:paraId="7A03DE1C" w14:textId="77777777" w:rsidR="008E68F7" w:rsidRPr="00EF7CF9" w:rsidRDefault="008E68F7" w:rsidP="00F01ED6">
      <w:pPr>
        <w:pStyle w:val="ProductList-Body"/>
        <w:tabs>
          <w:tab w:val="clear" w:pos="360"/>
        </w:tabs>
      </w:pPr>
      <w:r>
        <w:rPr>
          <w:b/>
          <w:bCs/>
          <w:color w:val="00188F"/>
        </w:rPr>
        <w:t>Período de Indisponibilidade</w:t>
      </w:r>
      <w:r w:rsidRPr="00473DD3">
        <w:rPr>
          <w:b/>
          <w:bCs/>
          <w:color w:val="00188F"/>
        </w:rPr>
        <w:t>:</w:t>
      </w:r>
      <w:r>
        <w:t xml:space="preserve"> Qualquer período de tempo em que o componente Cofre do Cliente do Office 365 Advanced Compliance é colocado no modo de funcionalidade reduzida devido a um problema com o Office 365.</w:t>
      </w:r>
    </w:p>
    <w:p w14:paraId="47C40BE6" w14:textId="4147C950" w:rsidR="008E68F7" w:rsidRPr="00EF7CF9" w:rsidRDefault="00AC48A7" w:rsidP="00F01ED6">
      <w:pPr>
        <w:pStyle w:val="ProductList-Body"/>
        <w:tabs>
          <w:tab w:val="clear" w:pos="360"/>
        </w:tabs>
      </w:pPr>
      <w:r>
        <w:rPr>
          <w:b/>
          <w:bCs/>
          <w:color w:val="00188F"/>
        </w:rPr>
        <w:t>Percentagem de Período de Disponibilidade</w:t>
      </w:r>
      <w:r w:rsidRPr="00473DD3">
        <w:rPr>
          <w:b/>
          <w:bCs/>
          <w:color w:val="00188F"/>
        </w:rPr>
        <w:t>:</w:t>
      </w:r>
      <w:r>
        <w:t xml:space="preserve"> A Percentagem de Período de Disponibilidade é calculada através da seguinte fórmula:</w:t>
      </w:r>
    </w:p>
    <w:p w14:paraId="470961B4" w14:textId="77777777" w:rsidR="008E68F7" w:rsidRPr="00EF7CF9" w:rsidRDefault="008E68F7" w:rsidP="00F01ED6">
      <w:pPr>
        <w:pStyle w:val="ProductList-Body"/>
      </w:pPr>
    </w:p>
    <w:p w14:paraId="4DF611F4" w14:textId="107C1EC0" w:rsidR="008E68F7" w:rsidRPr="00EF7CF9" w:rsidRDefault="00000000" w:rsidP="00F01ED6">
      <w:pPr>
        <w:spacing w:line="240" w:lineRule="auto"/>
        <w:ind w:left="36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741B9621" w14:textId="5B2DF96A" w:rsidR="008E68F7" w:rsidRPr="00EF7CF9" w:rsidRDefault="00AC48A7" w:rsidP="00F01ED6">
      <w:pPr>
        <w:pStyle w:val="ProductList-Body"/>
        <w:tabs>
          <w:tab w:val="clear" w:pos="360"/>
        </w:tabs>
        <w:ind w:right="99"/>
        <w:rPr>
          <w:szCs w:val="18"/>
        </w:rPr>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0925D96B" w14:textId="77777777" w:rsidR="008E68F7" w:rsidRPr="00EF7CF9" w:rsidRDefault="008E68F7" w:rsidP="00F01ED6">
      <w:pPr>
        <w:pStyle w:val="ProductList-Body"/>
      </w:pPr>
      <w:r>
        <w:rPr>
          <w:b/>
          <w:bCs/>
          <w:color w:val="00188F"/>
        </w:rPr>
        <w:t>Crédito de Serviço</w:t>
      </w:r>
      <w:r w:rsidRPr="00473DD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25E5279" w14:textId="77777777" w:rsidR="008E68F7" w:rsidRPr="00EF7CF9" w:rsidRDefault="008E68F7" w:rsidP="00F01ED6">
            <w:pPr>
              <w:pStyle w:val="ProductList-OfferingBody"/>
              <w:jc w:val="center"/>
              <w:rPr>
                <w:color w:val="FFFFFF" w:themeColor="background1"/>
              </w:rPr>
            </w:pPr>
            <w:r>
              <w:rPr>
                <w:color w:val="FFFFFF" w:themeColor="background1"/>
              </w:rPr>
              <w:t>Crédito de Serviço</w:t>
            </w:r>
          </w:p>
        </w:tc>
      </w:tr>
      <w:tr w:rsidR="008E68F7" w:rsidRPr="00B44CF9" w14:paraId="136FA892" w14:textId="77777777" w:rsidTr="00CC3273">
        <w:tc>
          <w:tcPr>
            <w:tcW w:w="5400" w:type="dxa"/>
          </w:tcPr>
          <w:p w14:paraId="7D0A4079" w14:textId="77777777" w:rsidR="008E68F7" w:rsidRPr="00EF7CF9" w:rsidRDefault="008E68F7" w:rsidP="00F01ED6">
            <w:pPr>
              <w:pStyle w:val="ProductList-OfferingBody"/>
              <w:jc w:val="center"/>
            </w:pPr>
            <w:r>
              <w:t>&lt; 99,9%</w:t>
            </w:r>
          </w:p>
        </w:tc>
        <w:tc>
          <w:tcPr>
            <w:tcW w:w="5400" w:type="dxa"/>
          </w:tcPr>
          <w:p w14:paraId="0D5866E2" w14:textId="77777777" w:rsidR="008E68F7" w:rsidRPr="00EF7CF9" w:rsidRDefault="008E68F7" w:rsidP="00F01ED6">
            <w:pPr>
              <w:pStyle w:val="ProductList-OfferingBody"/>
              <w:jc w:val="center"/>
            </w:pPr>
            <w:r>
              <w:t>25%</w:t>
            </w:r>
          </w:p>
        </w:tc>
      </w:tr>
      <w:tr w:rsidR="008E68F7" w:rsidRPr="00B44CF9" w14:paraId="6EC891D2" w14:textId="77777777" w:rsidTr="00CC3273">
        <w:tc>
          <w:tcPr>
            <w:tcW w:w="5400" w:type="dxa"/>
          </w:tcPr>
          <w:p w14:paraId="3DA2B2EB" w14:textId="77777777" w:rsidR="008E68F7" w:rsidRPr="00EF7CF9" w:rsidRDefault="008E68F7" w:rsidP="00F01ED6">
            <w:pPr>
              <w:pStyle w:val="ProductList-OfferingBody"/>
              <w:jc w:val="center"/>
            </w:pPr>
            <w:r>
              <w:t>&lt; 99%</w:t>
            </w:r>
          </w:p>
        </w:tc>
        <w:tc>
          <w:tcPr>
            <w:tcW w:w="5400" w:type="dxa"/>
          </w:tcPr>
          <w:p w14:paraId="25B6BEF5" w14:textId="77777777" w:rsidR="008E68F7" w:rsidRPr="00EF7CF9" w:rsidRDefault="008E68F7" w:rsidP="00F01ED6">
            <w:pPr>
              <w:pStyle w:val="ProductList-OfferingBody"/>
              <w:jc w:val="center"/>
            </w:pPr>
            <w:r>
              <w:t>50%</w:t>
            </w:r>
          </w:p>
        </w:tc>
      </w:tr>
      <w:tr w:rsidR="008E68F7" w:rsidRPr="00B44CF9" w14:paraId="4D02D01B" w14:textId="77777777" w:rsidTr="00CC3273">
        <w:tc>
          <w:tcPr>
            <w:tcW w:w="5400" w:type="dxa"/>
          </w:tcPr>
          <w:p w14:paraId="1F8F16CF" w14:textId="77777777" w:rsidR="008E68F7" w:rsidRPr="00EF7CF9" w:rsidRDefault="008E68F7" w:rsidP="00F01ED6">
            <w:pPr>
              <w:pStyle w:val="ProductList-OfferingBody"/>
              <w:jc w:val="center"/>
            </w:pPr>
            <w:r>
              <w:t>&lt; 95%</w:t>
            </w:r>
          </w:p>
        </w:tc>
        <w:tc>
          <w:tcPr>
            <w:tcW w:w="5400" w:type="dxa"/>
          </w:tcPr>
          <w:p w14:paraId="4F6ABDDE" w14:textId="77777777" w:rsidR="008E68F7" w:rsidRPr="00EF7CF9" w:rsidRDefault="008E68F7" w:rsidP="00F01ED6">
            <w:pPr>
              <w:pStyle w:val="ProductList-OfferingBody"/>
              <w:jc w:val="center"/>
            </w:pPr>
            <w:r>
              <w:t>100%</w:t>
            </w:r>
          </w:p>
        </w:tc>
      </w:tr>
    </w:tbl>
    <w:p w14:paraId="1A6E89BA"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0F8FB09B" w14:textId="337A94B6" w:rsidR="000C13D4" w:rsidRPr="00EF7CF9" w:rsidRDefault="004F25AA" w:rsidP="00F01ED6">
      <w:pPr>
        <w:pStyle w:val="ProductList-Offering2Heading"/>
        <w:keepNext/>
        <w:outlineLvl w:val="2"/>
      </w:pPr>
      <w:bookmarkStart w:id="90" w:name="_Toc239176403"/>
      <w:r>
        <w:t>Office Online</w:t>
      </w:r>
      <w:bookmarkEnd w:id="86"/>
      <w:bookmarkEnd w:id="90"/>
    </w:p>
    <w:p w14:paraId="1676D4F2" w14:textId="2F89AD95" w:rsidR="000C13D4" w:rsidRPr="00EF7CF9" w:rsidRDefault="000C13D4"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os utilizadores finais não conseguem utilizar as Aplicações Web para ver e editar quaisquer documentos do Office armazenados num site do SharePoint Online para o qual têm permissões adequadas</w:t>
      </w:r>
      <w:r>
        <w:t>.</w:t>
      </w:r>
    </w:p>
    <w:p w14:paraId="4C684597" w14:textId="445E60EC" w:rsidR="000C13D4"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 </w:t>
      </w:r>
    </w:p>
    <w:p w14:paraId="5742A099" w14:textId="77777777" w:rsidR="000C13D4" w:rsidRPr="00EF7CF9" w:rsidRDefault="000C13D4" w:rsidP="00F01ED6">
      <w:pPr>
        <w:pStyle w:val="ProductList-Body"/>
      </w:pPr>
    </w:p>
    <w:p w14:paraId="3217F941" w14:textId="0AC46DF2" w:rsidR="000C13D4"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5CC20D20" w14:textId="2176554C" w:rsidR="000C13D4" w:rsidRPr="00EF7CF9" w:rsidRDefault="00AC48A7" w:rsidP="00F01ED6">
      <w:pPr>
        <w:pStyle w:val="ProductList-Body"/>
        <w:ind w:right="126"/>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5C67B0F7" w14:textId="7D3AF8C9" w:rsidR="000C13D4" w:rsidRPr="00EF7CF9" w:rsidRDefault="000C13D4"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1EAB7B9" w14:textId="77777777" w:rsidR="000C13D4" w:rsidRPr="00EF7CF9" w:rsidRDefault="000C13D4" w:rsidP="00F01ED6">
            <w:pPr>
              <w:pStyle w:val="ProductList-OfferingBody"/>
              <w:jc w:val="center"/>
              <w:rPr>
                <w:color w:val="FFFFFF" w:themeColor="background1"/>
              </w:rPr>
            </w:pPr>
            <w:r>
              <w:rPr>
                <w:color w:val="FFFFFF" w:themeColor="background1"/>
              </w:rPr>
              <w:t>Crédito de Serviço</w:t>
            </w:r>
          </w:p>
        </w:tc>
      </w:tr>
      <w:tr w:rsidR="000C13D4" w:rsidRPr="00B44CF9" w14:paraId="3A2E8D8F" w14:textId="77777777" w:rsidTr="00C86427">
        <w:tc>
          <w:tcPr>
            <w:tcW w:w="5400" w:type="dxa"/>
          </w:tcPr>
          <w:p w14:paraId="20E340F7" w14:textId="24EBE8E7" w:rsidR="000C13D4" w:rsidRPr="00EF7CF9" w:rsidRDefault="000C13D4" w:rsidP="00F01ED6">
            <w:pPr>
              <w:pStyle w:val="ProductList-OfferingBody"/>
              <w:jc w:val="center"/>
            </w:pPr>
            <w:r>
              <w:t>&lt; 99,9%</w:t>
            </w:r>
          </w:p>
        </w:tc>
        <w:tc>
          <w:tcPr>
            <w:tcW w:w="5400" w:type="dxa"/>
          </w:tcPr>
          <w:p w14:paraId="4940133B" w14:textId="77777777" w:rsidR="000C13D4" w:rsidRPr="00EF7CF9" w:rsidRDefault="000C13D4" w:rsidP="00F01ED6">
            <w:pPr>
              <w:pStyle w:val="ProductList-OfferingBody"/>
              <w:jc w:val="center"/>
            </w:pPr>
            <w:r>
              <w:t>25%</w:t>
            </w:r>
          </w:p>
        </w:tc>
      </w:tr>
      <w:tr w:rsidR="000C13D4" w:rsidRPr="00B44CF9" w14:paraId="521E17F9" w14:textId="77777777" w:rsidTr="00C86427">
        <w:tc>
          <w:tcPr>
            <w:tcW w:w="5400" w:type="dxa"/>
          </w:tcPr>
          <w:p w14:paraId="26F97999" w14:textId="0952B113" w:rsidR="000C13D4" w:rsidRPr="00EF7CF9" w:rsidRDefault="000C13D4" w:rsidP="00F01ED6">
            <w:pPr>
              <w:pStyle w:val="ProductList-OfferingBody"/>
              <w:jc w:val="center"/>
            </w:pPr>
            <w:r>
              <w:t>&lt; 99%</w:t>
            </w:r>
          </w:p>
        </w:tc>
        <w:tc>
          <w:tcPr>
            <w:tcW w:w="5400" w:type="dxa"/>
          </w:tcPr>
          <w:p w14:paraId="4BBAA378" w14:textId="77777777" w:rsidR="000C13D4" w:rsidRPr="00EF7CF9" w:rsidRDefault="000C13D4" w:rsidP="00F01ED6">
            <w:pPr>
              <w:pStyle w:val="ProductList-OfferingBody"/>
              <w:jc w:val="center"/>
            </w:pPr>
            <w:r>
              <w:t>50%</w:t>
            </w:r>
          </w:p>
        </w:tc>
      </w:tr>
      <w:tr w:rsidR="000C13D4" w:rsidRPr="00B44CF9" w14:paraId="59DF70FE" w14:textId="77777777" w:rsidTr="00C86427">
        <w:tc>
          <w:tcPr>
            <w:tcW w:w="5400" w:type="dxa"/>
          </w:tcPr>
          <w:p w14:paraId="678A7C14" w14:textId="77777777" w:rsidR="000C13D4" w:rsidRPr="00EF7CF9" w:rsidRDefault="000C13D4" w:rsidP="00F01ED6">
            <w:pPr>
              <w:pStyle w:val="ProductList-OfferingBody"/>
              <w:jc w:val="center"/>
            </w:pPr>
            <w:r>
              <w:t>&lt; 95%</w:t>
            </w:r>
          </w:p>
        </w:tc>
        <w:tc>
          <w:tcPr>
            <w:tcW w:w="5400" w:type="dxa"/>
          </w:tcPr>
          <w:p w14:paraId="46C6F630" w14:textId="77777777" w:rsidR="000C13D4" w:rsidRPr="00EF7CF9" w:rsidRDefault="000C13D4" w:rsidP="00F01ED6">
            <w:pPr>
              <w:pStyle w:val="ProductList-OfferingBody"/>
              <w:jc w:val="center"/>
            </w:pPr>
            <w:r>
              <w:t>100%</w:t>
            </w:r>
          </w:p>
        </w:tc>
      </w:tr>
    </w:tbl>
    <w:bookmarkStart w:id="91" w:name="_Toc457821520"/>
    <w:p w14:paraId="7AC09B62"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D4E9369" w14:textId="591EABAD" w:rsidR="000C13D4" w:rsidRPr="00EF7CF9" w:rsidRDefault="000C13D4" w:rsidP="00F01ED6">
      <w:pPr>
        <w:pStyle w:val="ProductList-Offering2Heading"/>
        <w:keepNext/>
        <w:outlineLvl w:val="2"/>
      </w:pPr>
      <w:bookmarkStart w:id="92" w:name="_Toc239176404"/>
      <w:r>
        <w:t>Vídeo do Office 365</w:t>
      </w:r>
      <w:bookmarkEnd w:id="91"/>
      <w:bookmarkEnd w:id="92"/>
    </w:p>
    <w:p w14:paraId="3A79F112" w14:textId="74321ABC" w:rsidR="000C13D4" w:rsidRPr="00EF7CF9" w:rsidRDefault="000C13D4"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os utilizadores não conseguem carregar, ver ou editar vídeos no portal de vídeos quando têm as permissões adequadas e conteúdos válidos.</w:t>
      </w:r>
    </w:p>
    <w:p w14:paraId="7DAA761D" w14:textId="4054EC88" w:rsidR="000C13D4"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0F823C6F" w14:textId="77777777" w:rsidR="000C13D4" w:rsidRPr="00EF7CF9" w:rsidRDefault="000C13D4" w:rsidP="00F01ED6">
      <w:pPr>
        <w:pStyle w:val="ProductList-Body"/>
      </w:pPr>
    </w:p>
    <w:p w14:paraId="12553895" w14:textId="2225583C" w:rsidR="000C13D4"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6A685FD4" w14:textId="2CB76A5D" w:rsidR="000C13D4" w:rsidRPr="00EF7CF9" w:rsidRDefault="00AC48A7" w:rsidP="00F01ED6">
      <w:pPr>
        <w:pStyle w:val="ProductList-Body"/>
        <w:ind w:right="135"/>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16D54A3F" w14:textId="15B50594" w:rsidR="000C13D4" w:rsidRPr="00EF7CF9" w:rsidRDefault="000C13D4" w:rsidP="00F01ED6">
      <w:pPr>
        <w:pStyle w:val="ProductList-Body"/>
      </w:pPr>
      <w:r>
        <w:rPr>
          <w:b/>
          <w:color w:val="00188F"/>
        </w:rPr>
        <w:t>Compromisso de Nível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AC43F59" w14:textId="77777777" w:rsidR="000C13D4" w:rsidRPr="00EF7CF9" w:rsidRDefault="000C13D4" w:rsidP="00F01ED6">
            <w:pPr>
              <w:pStyle w:val="ProductList-OfferingBody"/>
              <w:jc w:val="center"/>
              <w:rPr>
                <w:color w:val="FFFFFF" w:themeColor="background1"/>
              </w:rPr>
            </w:pPr>
            <w:r>
              <w:rPr>
                <w:color w:val="FFFFFF" w:themeColor="background1"/>
              </w:rPr>
              <w:t>Crédito de Serviço</w:t>
            </w:r>
          </w:p>
        </w:tc>
      </w:tr>
      <w:tr w:rsidR="000C13D4" w:rsidRPr="00B44CF9" w14:paraId="35535E60" w14:textId="77777777" w:rsidTr="00C86427">
        <w:tc>
          <w:tcPr>
            <w:tcW w:w="5400" w:type="dxa"/>
          </w:tcPr>
          <w:p w14:paraId="7E778ED8" w14:textId="31E565B6" w:rsidR="000C13D4" w:rsidRPr="00EF7CF9" w:rsidRDefault="000C13D4" w:rsidP="00F01ED6">
            <w:pPr>
              <w:pStyle w:val="ProductList-OfferingBody"/>
              <w:jc w:val="center"/>
            </w:pPr>
            <w:r>
              <w:t>&lt; 99,9%</w:t>
            </w:r>
          </w:p>
        </w:tc>
        <w:tc>
          <w:tcPr>
            <w:tcW w:w="5400" w:type="dxa"/>
          </w:tcPr>
          <w:p w14:paraId="4BAFE0E4" w14:textId="77777777" w:rsidR="000C13D4" w:rsidRPr="00EF7CF9" w:rsidRDefault="000C13D4" w:rsidP="00F01ED6">
            <w:pPr>
              <w:pStyle w:val="ProductList-OfferingBody"/>
              <w:jc w:val="center"/>
            </w:pPr>
            <w:r>
              <w:t>25%</w:t>
            </w:r>
          </w:p>
        </w:tc>
      </w:tr>
      <w:tr w:rsidR="000C13D4" w:rsidRPr="00B44CF9" w14:paraId="6F5A79E8" w14:textId="77777777" w:rsidTr="00C86427">
        <w:tc>
          <w:tcPr>
            <w:tcW w:w="5400" w:type="dxa"/>
          </w:tcPr>
          <w:p w14:paraId="5A5850A8" w14:textId="487BB396" w:rsidR="000C13D4" w:rsidRPr="00EF7CF9" w:rsidRDefault="000C13D4" w:rsidP="00F01ED6">
            <w:pPr>
              <w:pStyle w:val="ProductList-OfferingBody"/>
              <w:jc w:val="center"/>
            </w:pPr>
            <w:r>
              <w:t>&lt; 99%</w:t>
            </w:r>
          </w:p>
        </w:tc>
        <w:tc>
          <w:tcPr>
            <w:tcW w:w="5400" w:type="dxa"/>
          </w:tcPr>
          <w:p w14:paraId="091B1753" w14:textId="77777777" w:rsidR="000C13D4" w:rsidRPr="00EF7CF9" w:rsidRDefault="000C13D4" w:rsidP="00F01ED6">
            <w:pPr>
              <w:pStyle w:val="ProductList-OfferingBody"/>
              <w:jc w:val="center"/>
            </w:pPr>
            <w:r>
              <w:t>50%</w:t>
            </w:r>
          </w:p>
        </w:tc>
      </w:tr>
      <w:tr w:rsidR="000C13D4" w:rsidRPr="00B44CF9" w14:paraId="50CD9FEA" w14:textId="77777777" w:rsidTr="00C86427">
        <w:tc>
          <w:tcPr>
            <w:tcW w:w="5400" w:type="dxa"/>
          </w:tcPr>
          <w:p w14:paraId="7D03A04E" w14:textId="77777777" w:rsidR="000C13D4" w:rsidRPr="00EF7CF9" w:rsidRDefault="000C13D4" w:rsidP="00F01ED6">
            <w:pPr>
              <w:pStyle w:val="ProductList-OfferingBody"/>
              <w:jc w:val="center"/>
            </w:pPr>
            <w:r>
              <w:t>&lt; 95%</w:t>
            </w:r>
          </w:p>
        </w:tc>
        <w:tc>
          <w:tcPr>
            <w:tcW w:w="5400" w:type="dxa"/>
          </w:tcPr>
          <w:p w14:paraId="0F29C740" w14:textId="77777777" w:rsidR="000C13D4" w:rsidRPr="00EF7CF9" w:rsidRDefault="000C13D4" w:rsidP="00F01ED6">
            <w:pPr>
              <w:pStyle w:val="ProductList-OfferingBody"/>
              <w:jc w:val="center"/>
            </w:pPr>
            <w:r>
              <w:t>100%</w:t>
            </w:r>
          </w:p>
        </w:tc>
      </w:tr>
    </w:tbl>
    <w:bookmarkStart w:id="93" w:name="_Toc457821521"/>
    <w:p w14:paraId="79B418E6"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FA062E2" w14:textId="7A4D7C67" w:rsidR="000C13D4" w:rsidRPr="00EF7CF9" w:rsidRDefault="000C13D4" w:rsidP="00F01ED6">
      <w:pPr>
        <w:pStyle w:val="ProductList-Offering2Heading"/>
        <w:keepNext/>
        <w:outlineLvl w:val="2"/>
      </w:pPr>
      <w:bookmarkStart w:id="94" w:name="_Toc239176405"/>
      <w:r>
        <w:t xml:space="preserve">OneDrive </w:t>
      </w:r>
      <w:bookmarkEnd w:id="93"/>
      <w:r w:rsidR="00BA77FC">
        <w:t>trabalho ou escola</w:t>
      </w:r>
      <w:bookmarkEnd w:id="94"/>
    </w:p>
    <w:p w14:paraId="46FE7562" w14:textId="618A4FB4" w:rsidR="000C13D4" w:rsidRDefault="000C13D4" w:rsidP="00F01ED6">
      <w:pPr>
        <w:pStyle w:val="ProductList-Body"/>
        <w:rPr>
          <w:szCs w:val="18"/>
        </w:rPr>
      </w:pPr>
      <w:r>
        <w:rPr>
          <w:b/>
          <w:color w:val="00188F"/>
        </w:rPr>
        <w:t>Período de Indisponibilidade</w:t>
      </w:r>
      <w:r w:rsidRPr="00473DD3">
        <w:rPr>
          <w:b/>
          <w:color w:val="00188F"/>
        </w:rPr>
        <w:t>:</w:t>
      </w:r>
      <w:r>
        <w:t xml:space="preserve"> </w:t>
      </w:r>
      <w:r w:rsidR="006E6963">
        <w:rPr>
          <w:rFonts w:ascii="Calibri" w:hAnsi="Calibri" w:cs="Calibri"/>
        </w:rPr>
        <w:t>Qualquer período de tempo durante o qual os utilizadores não conseguem ver ou editar os ficheiros armazenados no respetivo armazenamento do OneDrive (profissional/escolar).</w:t>
      </w:r>
    </w:p>
    <w:p w14:paraId="6DEA7661" w14:textId="5867389A" w:rsidR="000C13D4"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6BB190F" w14:textId="568E85BB" w:rsidR="000C13D4" w:rsidRPr="00EF7CF9" w:rsidRDefault="00000000" w:rsidP="0065049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02BD4BBD" w14:textId="30B50E1C" w:rsidR="000C13D4" w:rsidRPr="00EF7CF9" w:rsidRDefault="00AC48A7" w:rsidP="00F01ED6">
      <w:pPr>
        <w:pStyle w:val="ProductList-Body"/>
        <w:ind w:right="135"/>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6CD91602" w14:textId="66238D87" w:rsidR="000C13D4" w:rsidRPr="00EF7CF9" w:rsidRDefault="000C13D4"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903F76E" w14:textId="77777777" w:rsidR="000C13D4" w:rsidRPr="00EF7CF9" w:rsidRDefault="000C13D4" w:rsidP="00F01ED6">
            <w:pPr>
              <w:pStyle w:val="ProductList-OfferingBody"/>
              <w:jc w:val="center"/>
              <w:rPr>
                <w:color w:val="FFFFFF" w:themeColor="background1"/>
              </w:rPr>
            </w:pPr>
            <w:r>
              <w:rPr>
                <w:color w:val="FFFFFF" w:themeColor="background1"/>
              </w:rPr>
              <w:t>Crédito de Serviço</w:t>
            </w:r>
          </w:p>
        </w:tc>
      </w:tr>
      <w:tr w:rsidR="000C13D4" w:rsidRPr="00B44CF9" w14:paraId="0D0F33A9" w14:textId="77777777" w:rsidTr="00C86427">
        <w:tc>
          <w:tcPr>
            <w:tcW w:w="5400" w:type="dxa"/>
          </w:tcPr>
          <w:p w14:paraId="11B9D86D" w14:textId="4CA54B5F" w:rsidR="000C13D4" w:rsidRPr="00EF7CF9" w:rsidRDefault="000C13D4" w:rsidP="00F01ED6">
            <w:pPr>
              <w:pStyle w:val="ProductList-OfferingBody"/>
              <w:jc w:val="center"/>
            </w:pPr>
            <w:r>
              <w:t>&lt; 99,9%</w:t>
            </w:r>
          </w:p>
        </w:tc>
        <w:tc>
          <w:tcPr>
            <w:tcW w:w="5400" w:type="dxa"/>
          </w:tcPr>
          <w:p w14:paraId="21B08C9D" w14:textId="77777777" w:rsidR="000C13D4" w:rsidRPr="00EF7CF9" w:rsidRDefault="000C13D4" w:rsidP="00F01ED6">
            <w:pPr>
              <w:pStyle w:val="ProductList-OfferingBody"/>
              <w:jc w:val="center"/>
            </w:pPr>
            <w:r>
              <w:t>25%</w:t>
            </w:r>
          </w:p>
        </w:tc>
      </w:tr>
      <w:tr w:rsidR="000C13D4" w:rsidRPr="00B44CF9" w14:paraId="15FDE30A" w14:textId="77777777" w:rsidTr="00C86427">
        <w:tc>
          <w:tcPr>
            <w:tcW w:w="5400" w:type="dxa"/>
          </w:tcPr>
          <w:p w14:paraId="1B3D9EF5" w14:textId="7C495918" w:rsidR="000C13D4" w:rsidRPr="00EF7CF9" w:rsidRDefault="000C13D4" w:rsidP="00F01ED6">
            <w:pPr>
              <w:pStyle w:val="ProductList-OfferingBody"/>
              <w:jc w:val="center"/>
            </w:pPr>
            <w:r>
              <w:t>&lt; 99%</w:t>
            </w:r>
          </w:p>
        </w:tc>
        <w:tc>
          <w:tcPr>
            <w:tcW w:w="5400" w:type="dxa"/>
          </w:tcPr>
          <w:p w14:paraId="2607D833" w14:textId="77777777" w:rsidR="000C13D4" w:rsidRPr="00EF7CF9" w:rsidRDefault="000C13D4" w:rsidP="00F01ED6">
            <w:pPr>
              <w:pStyle w:val="ProductList-OfferingBody"/>
              <w:jc w:val="center"/>
            </w:pPr>
            <w:r>
              <w:t>50%</w:t>
            </w:r>
          </w:p>
        </w:tc>
      </w:tr>
      <w:tr w:rsidR="000C13D4" w:rsidRPr="00B44CF9" w14:paraId="512DA71F" w14:textId="77777777" w:rsidTr="00C86427">
        <w:tc>
          <w:tcPr>
            <w:tcW w:w="5400" w:type="dxa"/>
          </w:tcPr>
          <w:p w14:paraId="47FBA730" w14:textId="77777777" w:rsidR="000C13D4" w:rsidRPr="00EF7CF9" w:rsidRDefault="000C13D4" w:rsidP="00F01ED6">
            <w:pPr>
              <w:pStyle w:val="ProductList-OfferingBody"/>
              <w:keepNext/>
              <w:jc w:val="center"/>
            </w:pPr>
            <w:r>
              <w:t>&lt; 95%</w:t>
            </w:r>
          </w:p>
        </w:tc>
        <w:tc>
          <w:tcPr>
            <w:tcW w:w="5400" w:type="dxa"/>
          </w:tcPr>
          <w:p w14:paraId="1C49AAE4" w14:textId="77777777" w:rsidR="000C13D4" w:rsidRPr="00EF7CF9" w:rsidRDefault="000C13D4" w:rsidP="00F01ED6">
            <w:pPr>
              <w:pStyle w:val="ProductList-OfferingBody"/>
              <w:jc w:val="center"/>
            </w:pPr>
            <w:r>
              <w:t>100%</w:t>
            </w:r>
          </w:p>
        </w:tc>
      </w:tr>
    </w:tbl>
    <w:bookmarkStart w:id="95" w:name="_Toc457821522"/>
    <w:p w14:paraId="3CAECC3A"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5750250" w14:textId="4BB04D05" w:rsidR="00C86427" w:rsidRPr="00EF7CF9" w:rsidRDefault="00C86427" w:rsidP="00173870">
      <w:pPr>
        <w:pStyle w:val="ProductList-Offering2Heading"/>
        <w:keepNext/>
        <w:keepLines/>
        <w:outlineLvl w:val="2"/>
      </w:pPr>
      <w:bookmarkStart w:id="96" w:name="_Toc239176406"/>
      <w:r>
        <w:t>Project</w:t>
      </w:r>
      <w:bookmarkEnd w:id="95"/>
      <w:bookmarkEnd w:id="96"/>
    </w:p>
    <w:p w14:paraId="14E68B6F" w14:textId="0B3F1D78" w:rsidR="00C86427" w:rsidRPr="00EF7CF9" w:rsidRDefault="00C86427"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os utilizadores não conseguem ler ou escrever qualquer parte de uma coleção de sites do SharePoint Online com o Project Web App para a qual têm permissões adequadas.</w:t>
      </w:r>
    </w:p>
    <w:p w14:paraId="251BAB3A" w14:textId="6B53635F" w:rsidR="00C86427"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960225A" w14:textId="6BAC7C8D" w:rsidR="00C86427" w:rsidRPr="00EF7CF9" w:rsidRDefault="00000000" w:rsidP="0065049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0812AAB2" w14:textId="79181511" w:rsidR="00C86427" w:rsidRPr="00EF7CF9" w:rsidRDefault="00AC48A7" w:rsidP="00F01ED6">
      <w:pPr>
        <w:pStyle w:val="ProductList-Body"/>
        <w:ind w:right="135"/>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429909F8" w14:textId="1AF0D3B0" w:rsidR="00C86427" w:rsidRPr="00EF7CF9" w:rsidRDefault="00C86427"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53BEEC3" w14:textId="77777777" w:rsidR="00C86427" w:rsidRPr="00EF7CF9" w:rsidRDefault="00C86427" w:rsidP="00F01ED6">
            <w:pPr>
              <w:pStyle w:val="ProductList-OfferingBody"/>
              <w:jc w:val="center"/>
              <w:rPr>
                <w:color w:val="FFFFFF" w:themeColor="background1"/>
              </w:rPr>
            </w:pPr>
            <w:r>
              <w:rPr>
                <w:color w:val="FFFFFF" w:themeColor="background1"/>
              </w:rPr>
              <w:t>Crédito de Serviço</w:t>
            </w:r>
          </w:p>
        </w:tc>
      </w:tr>
      <w:tr w:rsidR="00C86427" w:rsidRPr="00B44CF9" w14:paraId="51125E5A" w14:textId="77777777" w:rsidTr="00C86427">
        <w:tc>
          <w:tcPr>
            <w:tcW w:w="5400" w:type="dxa"/>
          </w:tcPr>
          <w:p w14:paraId="07F00995" w14:textId="576DCEAF" w:rsidR="00C86427" w:rsidRPr="00EF7CF9" w:rsidRDefault="00C86427" w:rsidP="00F01ED6">
            <w:pPr>
              <w:pStyle w:val="ProductList-OfferingBody"/>
              <w:jc w:val="center"/>
            </w:pPr>
            <w:r>
              <w:t>&lt; 99,9%</w:t>
            </w:r>
          </w:p>
        </w:tc>
        <w:tc>
          <w:tcPr>
            <w:tcW w:w="5400" w:type="dxa"/>
          </w:tcPr>
          <w:p w14:paraId="1EAC3FA5" w14:textId="77777777" w:rsidR="00C86427" w:rsidRPr="00EF7CF9" w:rsidRDefault="00C86427" w:rsidP="00F01ED6">
            <w:pPr>
              <w:pStyle w:val="ProductList-OfferingBody"/>
              <w:jc w:val="center"/>
            </w:pPr>
            <w:r>
              <w:t>25%</w:t>
            </w:r>
          </w:p>
        </w:tc>
      </w:tr>
      <w:tr w:rsidR="00C86427" w:rsidRPr="00B44CF9" w14:paraId="6BFFAB67" w14:textId="77777777" w:rsidTr="00C86427">
        <w:tc>
          <w:tcPr>
            <w:tcW w:w="5400" w:type="dxa"/>
          </w:tcPr>
          <w:p w14:paraId="48BA927D" w14:textId="2A9F073D" w:rsidR="00C86427" w:rsidRPr="00EF7CF9" w:rsidRDefault="00C86427" w:rsidP="00F01ED6">
            <w:pPr>
              <w:pStyle w:val="ProductList-OfferingBody"/>
              <w:jc w:val="center"/>
            </w:pPr>
            <w:r>
              <w:t>&lt; 99%</w:t>
            </w:r>
          </w:p>
        </w:tc>
        <w:tc>
          <w:tcPr>
            <w:tcW w:w="5400" w:type="dxa"/>
          </w:tcPr>
          <w:p w14:paraId="38929F8D" w14:textId="77777777" w:rsidR="00C86427" w:rsidRPr="00EF7CF9" w:rsidRDefault="00C86427" w:rsidP="00F01ED6">
            <w:pPr>
              <w:pStyle w:val="ProductList-OfferingBody"/>
              <w:jc w:val="center"/>
            </w:pPr>
            <w:r>
              <w:t>50%</w:t>
            </w:r>
          </w:p>
        </w:tc>
      </w:tr>
      <w:tr w:rsidR="00C86427" w:rsidRPr="00B44CF9" w14:paraId="70A14F4B" w14:textId="77777777" w:rsidTr="00C86427">
        <w:tc>
          <w:tcPr>
            <w:tcW w:w="5400" w:type="dxa"/>
          </w:tcPr>
          <w:p w14:paraId="4A5F7DB0" w14:textId="77777777" w:rsidR="00C86427" w:rsidRPr="00EF7CF9" w:rsidRDefault="00C86427" w:rsidP="00F01ED6">
            <w:pPr>
              <w:pStyle w:val="ProductList-OfferingBody"/>
              <w:jc w:val="center"/>
            </w:pPr>
            <w:r>
              <w:t>&lt; 95%</w:t>
            </w:r>
          </w:p>
        </w:tc>
        <w:tc>
          <w:tcPr>
            <w:tcW w:w="5400" w:type="dxa"/>
          </w:tcPr>
          <w:p w14:paraId="4C6598BC" w14:textId="77777777" w:rsidR="00C86427" w:rsidRPr="00EF7CF9" w:rsidRDefault="00C86427" w:rsidP="00F01ED6">
            <w:pPr>
              <w:pStyle w:val="ProductList-OfferingBody"/>
              <w:jc w:val="center"/>
            </w:pPr>
            <w:r>
              <w:t>100%</w:t>
            </w:r>
          </w:p>
        </w:tc>
      </w:tr>
    </w:tbl>
    <w:bookmarkStart w:id="97" w:name="_Toc457821523"/>
    <w:p w14:paraId="36996923"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051EC5D" w14:textId="20237168" w:rsidR="00C86427" w:rsidRPr="00EF7CF9" w:rsidRDefault="00C86427" w:rsidP="00F01ED6">
      <w:pPr>
        <w:pStyle w:val="ProductList-Offering2Heading"/>
        <w:outlineLvl w:val="2"/>
      </w:pPr>
      <w:bookmarkStart w:id="98" w:name="_Toc239176407"/>
      <w:r>
        <w:t>SharePoint Online</w:t>
      </w:r>
      <w:bookmarkEnd w:id="97"/>
      <w:bookmarkEnd w:id="98"/>
    </w:p>
    <w:p w14:paraId="41E58B9E" w14:textId="0F2B3227" w:rsidR="00C86427" w:rsidRPr="00EF7CF9" w:rsidRDefault="00C86427"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os utilizadores não conseguem ler ou escrever qualquer parte de uma coleção de sites do SharePoint Online para a qual têm permissões adequadas.</w:t>
      </w:r>
    </w:p>
    <w:p w14:paraId="4F12AEC0" w14:textId="6785C6E5" w:rsidR="00C86427"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 </w:t>
      </w:r>
    </w:p>
    <w:p w14:paraId="5BBD13D7" w14:textId="782DD4B8" w:rsidR="00C86427" w:rsidRPr="00F90F7C" w:rsidRDefault="00000000" w:rsidP="0065049D">
      <w:pPr>
        <w:spacing w:before="120" w:after="120" w:line="240" w:lineRule="auto"/>
        <w:jc w:val="both"/>
        <w:rPr>
          <w:sz w:val="18"/>
          <w:szCs w:val="18"/>
          <w:lang w:val="pt-BR"/>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7FAF12A4" w14:textId="414D53A1" w:rsidR="00C86427" w:rsidRPr="00EF7CF9" w:rsidRDefault="00AC48A7" w:rsidP="00F01ED6">
      <w:pPr>
        <w:pStyle w:val="ProductList-Body"/>
        <w:ind w:right="162"/>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7AE68D73" w14:textId="4FB1EB46" w:rsidR="00C86427" w:rsidRPr="00EF7CF9" w:rsidRDefault="00C86427"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B60C3AB" w14:textId="77777777" w:rsidR="00C86427" w:rsidRPr="00EF7CF9" w:rsidRDefault="00C86427" w:rsidP="00F01ED6">
            <w:pPr>
              <w:pStyle w:val="ProductList-OfferingBody"/>
              <w:jc w:val="center"/>
              <w:rPr>
                <w:color w:val="FFFFFF" w:themeColor="background1"/>
              </w:rPr>
            </w:pPr>
            <w:r>
              <w:rPr>
                <w:color w:val="FFFFFF" w:themeColor="background1"/>
              </w:rPr>
              <w:t>Crédito de Serviço</w:t>
            </w:r>
          </w:p>
        </w:tc>
      </w:tr>
      <w:tr w:rsidR="00C86427" w:rsidRPr="00B44CF9" w14:paraId="292393E9" w14:textId="77777777" w:rsidTr="00C86427">
        <w:tc>
          <w:tcPr>
            <w:tcW w:w="5400" w:type="dxa"/>
          </w:tcPr>
          <w:p w14:paraId="5CEBDE30" w14:textId="512D833F" w:rsidR="00C86427" w:rsidRPr="00EF7CF9" w:rsidRDefault="00C86427" w:rsidP="00F01ED6">
            <w:pPr>
              <w:pStyle w:val="ProductList-OfferingBody"/>
              <w:jc w:val="center"/>
            </w:pPr>
            <w:r>
              <w:t>&lt; 99,9%</w:t>
            </w:r>
          </w:p>
        </w:tc>
        <w:tc>
          <w:tcPr>
            <w:tcW w:w="5400" w:type="dxa"/>
          </w:tcPr>
          <w:p w14:paraId="5FB7CC40" w14:textId="77777777" w:rsidR="00C86427" w:rsidRPr="00EF7CF9" w:rsidRDefault="00C86427" w:rsidP="00F01ED6">
            <w:pPr>
              <w:pStyle w:val="ProductList-OfferingBody"/>
              <w:jc w:val="center"/>
            </w:pPr>
            <w:r>
              <w:t>25%</w:t>
            </w:r>
          </w:p>
        </w:tc>
      </w:tr>
      <w:tr w:rsidR="00C86427" w:rsidRPr="00B44CF9" w14:paraId="742E7780" w14:textId="77777777" w:rsidTr="00C86427">
        <w:tc>
          <w:tcPr>
            <w:tcW w:w="5400" w:type="dxa"/>
          </w:tcPr>
          <w:p w14:paraId="54EE1142" w14:textId="5A10F402" w:rsidR="00C86427" w:rsidRPr="00EF7CF9" w:rsidRDefault="00C86427" w:rsidP="00F01ED6">
            <w:pPr>
              <w:pStyle w:val="ProductList-OfferingBody"/>
              <w:jc w:val="center"/>
            </w:pPr>
            <w:r>
              <w:t>&lt; 99%</w:t>
            </w:r>
          </w:p>
        </w:tc>
        <w:tc>
          <w:tcPr>
            <w:tcW w:w="5400" w:type="dxa"/>
          </w:tcPr>
          <w:p w14:paraId="4C18F2FB" w14:textId="77777777" w:rsidR="00C86427" w:rsidRPr="00EF7CF9" w:rsidRDefault="00C86427" w:rsidP="00F01ED6">
            <w:pPr>
              <w:pStyle w:val="ProductList-OfferingBody"/>
              <w:jc w:val="center"/>
            </w:pPr>
            <w:r>
              <w:t>50%</w:t>
            </w:r>
          </w:p>
        </w:tc>
      </w:tr>
      <w:tr w:rsidR="00C86427" w:rsidRPr="00B44CF9" w14:paraId="74478D49" w14:textId="77777777" w:rsidTr="00C86427">
        <w:tc>
          <w:tcPr>
            <w:tcW w:w="5400" w:type="dxa"/>
          </w:tcPr>
          <w:p w14:paraId="35AB4E0E" w14:textId="77777777" w:rsidR="00C86427" w:rsidRPr="00EF7CF9" w:rsidRDefault="00C86427" w:rsidP="00F01ED6">
            <w:pPr>
              <w:pStyle w:val="ProductList-OfferingBody"/>
              <w:jc w:val="center"/>
            </w:pPr>
            <w:r>
              <w:t>&lt; 95%</w:t>
            </w:r>
          </w:p>
        </w:tc>
        <w:tc>
          <w:tcPr>
            <w:tcW w:w="5400" w:type="dxa"/>
          </w:tcPr>
          <w:p w14:paraId="07DE3FF0" w14:textId="77777777" w:rsidR="00C86427" w:rsidRPr="00EF7CF9" w:rsidRDefault="00C86427" w:rsidP="00F01ED6">
            <w:pPr>
              <w:pStyle w:val="ProductList-OfferingBody"/>
              <w:jc w:val="center"/>
            </w:pPr>
            <w:r>
              <w:t>100%</w:t>
            </w:r>
          </w:p>
        </w:tc>
      </w:tr>
    </w:tbl>
    <w:bookmarkStart w:id="99" w:name="_Toc457821524"/>
    <w:p w14:paraId="72A5C619"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5819662" w14:textId="017A96D3" w:rsidR="00F601F4" w:rsidRPr="00EF7CF9" w:rsidRDefault="00AF793E" w:rsidP="00F01ED6">
      <w:pPr>
        <w:pStyle w:val="ProductList-Offering2Heading"/>
        <w:outlineLvl w:val="2"/>
      </w:pPr>
      <w:bookmarkStart w:id="100" w:name="_Toc457821525"/>
      <w:bookmarkStart w:id="101" w:name="_Toc526859637"/>
      <w:bookmarkStart w:id="102" w:name="_Toc239176408"/>
      <w:bookmarkEnd w:id="99"/>
      <w:r>
        <w:t>Microsoft Teams – Planos de Chamadas, Telefón</w:t>
      </w:r>
      <w:r w:rsidR="009B10D0">
        <w:t>e</w:t>
      </w:r>
      <w:r>
        <w:t xml:space="preserve"> </w:t>
      </w:r>
      <w:r w:rsidR="009B10D0">
        <w:t xml:space="preserve">do Teams </w:t>
      </w:r>
      <w:r>
        <w:t>e Conferências de Áudio</w:t>
      </w:r>
      <w:bookmarkEnd w:id="100"/>
      <w:bookmarkEnd w:id="101"/>
      <w:bookmarkEnd w:id="102"/>
    </w:p>
    <w:p w14:paraId="4772F010" w14:textId="09B0C5FB" w:rsidR="00F601F4" w:rsidRPr="00EF7CF9" w:rsidRDefault="00F601F4" w:rsidP="00F01ED6">
      <w:pPr>
        <w:spacing w:after="0" w:line="240" w:lineRule="auto"/>
        <w:rPr>
          <w:rFonts w:ascii="Calibri" w:eastAsia="Calibri" w:hAnsi="Calibri" w:cs="Times New Roman"/>
          <w:sz w:val="18"/>
          <w:szCs w:val="18"/>
        </w:rPr>
      </w:pPr>
      <w:r>
        <w:rPr>
          <w:rFonts w:ascii="Calibri" w:eastAsia="Calibri" w:hAnsi="Calibri" w:cs="Times New Roman"/>
          <w:b/>
          <w:color w:val="00188F"/>
          <w:sz w:val="18"/>
        </w:rPr>
        <w:t>Período de Indisponibilidade</w:t>
      </w:r>
      <w:r w:rsidRPr="00473DD3">
        <w:rPr>
          <w:rFonts w:ascii="Calibri" w:eastAsia="Calibri" w:hAnsi="Calibri" w:cs="Times New Roman"/>
          <w:b/>
          <w:color w:val="00188F"/>
          <w:sz w:val="18"/>
        </w:rPr>
        <w:t>:</w:t>
      </w:r>
      <w:r>
        <w:rPr>
          <w:rFonts w:ascii="Calibri" w:eastAsia="Calibri" w:hAnsi="Calibri" w:cs="Times New Roman"/>
          <w:sz w:val="18"/>
          <w:szCs w:val="18"/>
        </w:rPr>
        <w:t xml:space="preserve"> Qualquer período em que os utilizadores finais não conseguem iniciar uma chamada RTPC ou não conseguem aceder por telefone a uma conferência de áudio via RTCP, ou processar chamadas com Filas de Chamadas ou Atendedor Automático.</w:t>
      </w:r>
    </w:p>
    <w:p w14:paraId="7A5ADEFA" w14:textId="4C762566" w:rsidR="000D4219" w:rsidRPr="00C609A8" w:rsidRDefault="00AC48A7" w:rsidP="00F01ED6">
      <w:pPr>
        <w:spacing w:after="0" w:line="240" w:lineRule="auto"/>
        <w:jc w:val="both"/>
        <w:rPr>
          <w:rFonts w:ascii="Calibri" w:eastAsia="Calibri" w:hAnsi="Calibri" w:cs="Times New Roman"/>
          <w:spacing w:val="-3"/>
          <w:sz w:val="18"/>
          <w:szCs w:val="18"/>
        </w:rPr>
      </w:pPr>
      <w:r w:rsidRPr="00C609A8">
        <w:rPr>
          <w:rFonts w:ascii="Calibri" w:eastAsia="Calibri" w:hAnsi="Calibri" w:cs="Times New Roman"/>
          <w:b/>
          <w:color w:val="00188F"/>
          <w:spacing w:val="-3"/>
          <w:sz w:val="18"/>
        </w:rPr>
        <w:t>Percentagem de Período de Disponibilidade</w:t>
      </w:r>
      <w:r w:rsidRPr="00473DD3">
        <w:rPr>
          <w:rFonts w:ascii="Calibri" w:eastAsia="Calibri" w:hAnsi="Calibri" w:cs="Times New Roman"/>
          <w:b/>
          <w:color w:val="00188F"/>
          <w:spacing w:val="-3"/>
          <w:sz w:val="18"/>
        </w:rPr>
        <w:t>:</w:t>
      </w:r>
      <w:r w:rsidRPr="00C609A8">
        <w:rPr>
          <w:rFonts w:ascii="Calibri" w:eastAsia="Calibri" w:hAnsi="Calibri" w:cs="Times New Roman"/>
          <w:color w:val="002060"/>
          <w:spacing w:val="-3"/>
          <w:sz w:val="18"/>
          <w:szCs w:val="18"/>
        </w:rPr>
        <w:t xml:space="preserve"> </w:t>
      </w:r>
      <w:r w:rsidRPr="00C609A8">
        <w:rPr>
          <w:rFonts w:ascii="Calibri" w:eastAsia="Calibri" w:hAnsi="Calibri" w:cs="Times New Roman"/>
          <w:spacing w:val="-3"/>
          <w:sz w:val="18"/>
          <w:szCs w:val="18"/>
        </w:rPr>
        <w:t>A Percentagem de Período de Disponibilidade é calculada com a seguinte fórmula para cada um dos serviços:</w:t>
      </w:r>
    </w:p>
    <w:p w14:paraId="41B5F33D" w14:textId="4D730828" w:rsidR="000D4219" w:rsidRPr="00EF7CF9" w:rsidRDefault="00000000" w:rsidP="0065049D">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1AE1DEBB" w14:textId="5D97402E" w:rsidR="0086376D" w:rsidRPr="0086376D" w:rsidRDefault="00331A48" w:rsidP="00F01ED6">
      <w:pPr>
        <w:spacing w:after="0" w:line="240" w:lineRule="auto"/>
        <w:rPr>
          <w:rFonts w:ascii="Calibri" w:eastAsia="Calibri" w:hAnsi="Calibri" w:cs="Times New Roman"/>
          <w:sz w:val="18"/>
          <w:szCs w:val="18"/>
        </w:rPr>
      </w:pPr>
      <w:r>
        <w:rPr>
          <w:rFonts w:ascii="Calibri" w:eastAsia="Calibri" w:hAnsi="Calibri" w:cs="Times New Roman"/>
          <w:sz w:val="18"/>
          <w:szCs w:val="18"/>
        </w:rP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 O crédito será pago apenas em relação aos serviços reais que são afetados.</w:t>
      </w:r>
    </w:p>
    <w:p w14:paraId="662A6062" w14:textId="77777777" w:rsidR="0086376D" w:rsidRPr="00173870" w:rsidRDefault="0086376D" w:rsidP="00F01ED6">
      <w:pPr>
        <w:spacing w:after="0" w:line="240" w:lineRule="auto"/>
        <w:rPr>
          <w:rFonts w:ascii="Calibri" w:eastAsia="Calibri" w:hAnsi="Calibri" w:cs="Times New Roman"/>
          <w:sz w:val="18"/>
          <w:szCs w:val="18"/>
        </w:rPr>
      </w:pPr>
    </w:p>
    <w:p w14:paraId="6C1E23E8" w14:textId="02C06F24" w:rsidR="000D4219" w:rsidRPr="00EF7CF9" w:rsidRDefault="0086376D" w:rsidP="00F01ED6">
      <w:pPr>
        <w:spacing w:after="0" w:line="240" w:lineRule="auto"/>
        <w:rPr>
          <w:rFonts w:ascii="Calibri" w:eastAsia="Calibri" w:hAnsi="Calibri" w:cs="Times New Roman"/>
          <w:sz w:val="18"/>
          <w:szCs w:val="18"/>
        </w:rPr>
      </w:pPr>
      <w:r>
        <w:rPr>
          <w:rFonts w:ascii="Calibri" w:eastAsia="Calibri" w:hAnsi="Calibri" w:cs="Times New Roman"/>
          <w:sz w:val="18"/>
          <w:szCs w:val="18"/>
        </w:rPr>
        <w:t>Este SLA não é aplicável às falhas causadas por qualquer falha de software, equipamento ou serviços de terceiros que não sejam controlados pela Microsoft, ou pelo software Microsoft que não esteja a ser executado pela própria Microsoft no âmbito do Serviço.</w:t>
      </w:r>
    </w:p>
    <w:p w14:paraId="3C213E15" w14:textId="7E8E7A6A" w:rsidR="00204453" w:rsidRPr="00EF7CF9" w:rsidRDefault="00204453"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F8BE217" w14:textId="77777777" w:rsidR="00204453" w:rsidRPr="00EF7CF9" w:rsidRDefault="00204453" w:rsidP="00F01ED6">
            <w:pPr>
              <w:pStyle w:val="ProductList-OfferingBody"/>
              <w:jc w:val="center"/>
              <w:rPr>
                <w:color w:val="FFFFFF" w:themeColor="background1"/>
              </w:rPr>
            </w:pPr>
            <w:r>
              <w:rPr>
                <w:color w:val="FFFFFF" w:themeColor="background1"/>
              </w:rPr>
              <w:t>Crédito de Serviço</w:t>
            </w:r>
          </w:p>
        </w:tc>
      </w:tr>
      <w:tr w:rsidR="00973E7C" w:rsidRPr="00B44CF9" w14:paraId="29EDBABB" w14:textId="77777777" w:rsidTr="00204453">
        <w:tc>
          <w:tcPr>
            <w:tcW w:w="5400" w:type="dxa"/>
          </w:tcPr>
          <w:p w14:paraId="7B33B0E3" w14:textId="005A1C4B" w:rsidR="00973E7C" w:rsidRDefault="00973E7C" w:rsidP="00973E7C">
            <w:pPr>
              <w:pStyle w:val="ProductList-OfferingBody"/>
              <w:jc w:val="center"/>
            </w:pPr>
            <w:r>
              <w:t>&lt; 99,999%</w:t>
            </w:r>
          </w:p>
        </w:tc>
        <w:tc>
          <w:tcPr>
            <w:tcW w:w="5400" w:type="dxa"/>
          </w:tcPr>
          <w:p w14:paraId="0915F1E6" w14:textId="1BFC2C89" w:rsidR="00973E7C" w:rsidRDefault="00973E7C" w:rsidP="00973E7C">
            <w:pPr>
              <w:pStyle w:val="ProductList-OfferingBody"/>
              <w:jc w:val="center"/>
            </w:pPr>
            <w:r>
              <w:t>5%</w:t>
            </w:r>
          </w:p>
        </w:tc>
      </w:tr>
      <w:tr w:rsidR="0086376D" w:rsidRPr="00B44CF9" w14:paraId="4F8767F1" w14:textId="77777777" w:rsidTr="00204453">
        <w:tc>
          <w:tcPr>
            <w:tcW w:w="5400" w:type="dxa"/>
          </w:tcPr>
          <w:p w14:paraId="651A7938" w14:textId="79414888" w:rsidR="0086376D" w:rsidRPr="00EF7CF9" w:rsidRDefault="00A866B3" w:rsidP="00F01ED6">
            <w:pPr>
              <w:pStyle w:val="ProductList-OfferingBody"/>
              <w:jc w:val="center"/>
            </w:pPr>
            <w:r>
              <w:t>&lt; 99,99%</w:t>
            </w:r>
          </w:p>
        </w:tc>
        <w:tc>
          <w:tcPr>
            <w:tcW w:w="5400" w:type="dxa"/>
          </w:tcPr>
          <w:p w14:paraId="43A9434B" w14:textId="60108545" w:rsidR="0086376D" w:rsidRPr="00EF7CF9" w:rsidRDefault="00A866B3" w:rsidP="00F01ED6">
            <w:pPr>
              <w:pStyle w:val="ProductList-OfferingBody"/>
              <w:jc w:val="center"/>
            </w:pPr>
            <w:r>
              <w:t>10%</w:t>
            </w:r>
          </w:p>
        </w:tc>
      </w:tr>
      <w:tr w:rsidR="00204453" w:rsidRPr="00B44CF9" w14:paraId="07504005" w14:textId="77777777" w:rsidTr="00204453">
        <w:tc>
          <w:tcPr>
            <w:tcW w:w="5400" w:type="dxa"/>
          </w:tcPr>
          <w:p w14:paraId="327DCEC7" w14:textId="77777777" w:rsidR="00204453" w:rsidRPr="00EF7CF9" w:rsidRDefault="00204453" w:rsidP="00F01ED6">
            <w:pPr>
              <w:pStyle w:val="ProductList-OfferingBody"/>
              <w:jc w:val="center"/>
            </w:pPr>
            <w:r>
              <w:t>&lt; 99,9%</w:t>
            </w:r>
          </w:p>
        </w:tc>
        <w:tc>
          <w:tcPr>
            <w:tcW w:w="5400" w:type="dxa"/>
          </w:tcPr>
          <w:p w14:paraId="1F728475" w14:textId="77777777" w:rsidR="00204453" w:rsidRPr="00EF7CF9" w:rsidRDefault="00204453" w:rsidP="00F01ED6">
            <w:pPr>
              <w:pStyle w:val="ProductList-OfferingBody"/>
              <w:jc w:val="center"/>
            </w:pPr>
            <w:r>
              <w:t>25%</w:t>
            </w:r>
          </w:p>
        </w:tc>
      </w:tr>
      <w:tr w:rsidR="00204453" w:rsidRPr="00B44CF9" w14:paraId="31E64EE5" w14:textId="77777777" w:rsidTr="00204453">
        <w:tc>
          <w:tcPr>
            <w:tcW w:w="5400" w:type="dxa"/>
          </w:tcPr>
          <w:p w14:paraId="2CB4A62E" w14:textId="77777777" w:rsidR="00204453" w:rsidRPr="00EF7CF9" w:rsidRDefault="00204453" w:rsidP="00F01ED6">
            <w:pPr>
              <w:pStyle w:val="ProductList-OfferingBody"/>
              <w:jc w:val="center"/>
            </w:pPr>
            <w:r>
              <w:t>&lt; 99%</w:t>
            </w:r>
          </w:p>
        </w:tc>
        <w:tc>
          <w:tcPr>
            <w:tcW w:w="5400" w:type="dxa"/>
          </w:tcPr>
          <w:p w14:paraId="29580C8D" w14:textId="77777777" w:rsidR="00204453" w:rsidRPr="00EF7CF9" w:rsidRDefault="00204453" w:rsidP="00F01ED6">
            <w:pPr>
              <w:pStyle w:val="ProductList-OfferingBody"/>
              <w:jc w:val="center"/>
            </w:pPr>
            <w:r>
              <w:t>50%</w:t>
            </w:r>
          </w:p>
        </w:tc>
      </w:tr>
      <w:tr w:rsidR="00204453" w:rsidRPr="00B44CF9" w14:paraId="5E6348CF" w14:textId="77777777" w:rsidTr="00204453">
        <w:tc>
          <w:tcPr>
            <w:tcW w:w="5400" w:type="dxa"/>
          </w:tcPr>
          <w:p w14:paraId="6B6D8094" w14:textId="77777777" w:rsidR="00204453" w:rsidRPr="00EF7CF9" w:rsidRDefault="00204453" w:rsidP="00F01ED6">
            <w:pPr>
              <w:pStyle w:val="ProductList-OfferingBody"/>
              <w:jc w:val="center"/>
            </w:pPr>
            <w:r>
              <w:t>&lt; 95%</w:t>
            </w:r>
          </w:p>
        </w:tc>
        <w:tc>
          <w:tcPr>
            <w:tcW w:w="5400" w:type="dxa"/>
          </w:tcPr>
          <w:p w14:paraId="62EAA25A" w14:textId="77777777" w:rsidR="00204453" w:rsidRPr="00EF7CF9" w:rsidRDefault="00204453" w:rsidP="00F01ED6">
            <w:pPr>
              <w:pStyle w:val="ProductList-OfferingBody"/>
              <w:jc w:val="center"/>
            </w:pPr>
            <w:r>
              <w:t>100%</w:t>
            </w:r>
          </w:p>
        </w:tc>
      </w:tr>
    </w:tbl>
    <w:bookmarkStart w:id="103" w:name="_Toc457821526"/>
    <w:p w14:paraId="2BF7D54A"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EE9CF4D" w14:textId="3AC11209" w:rsidR="00E25E0F" w:rsidRPr="00EF7CF9" w:rsidRDefault="00AF793E" w:rsidP="00F01ED6">
      <w:pPr>
        <w:pStyle w:val="ProductList-Offering2Heading"/>
        <w:outlineLvl w:val="2"/>
      </w:pPr>
      <w:bookmarkStart w:id="104" w:name="_Toc239176409"/>
      <w:r>
        <w:t>Microsoft Teams – Qualidade da Voz</w:t>
      </w:r>
      <w:bookmarkEnd w:id="103"/>
      <w:bookmarkEnd w:id="104"/>
    </w:p>
    <w:p w14:paraId="37E23CD8" w14:textId="77777777" w:rsidR="001D70B9" w:rsidRPr="00EF7CF9" w:rsidRDefault="001D70B9" w:rsidP="00F01ED6">
      <w:pPr>
        <w:pStyle w:val="ProductList-Body"/>
      </w:pPr>
      <w:r>
        <w:t>O presente SLA aplica-se a qualquer chamada elegível efetuada por qualquer utilizador do serviço de voz no âmbito da subscrição (com permissão para fazer qualquer tipo de chamada VOIP ou RTPC).</w:t>
      </w:r>
    </w:p>
    <w:p w14:paraId="5AC299E2" w14:textId="4B9CEFBE" w:rsidR="00E25E0F" w:rsidRPr="00EF7CF9" w:rsidRDefault="00E25E0F" w:rsidP="00F01ED6">
      <w:pPr>
        <w:pStyle w:val="ProductList-Body"/>
      </w:pPr>
      <w:r>
        <w:rPr>
          <w:b/>
          <w:color w:val="00188F"/>
        </w:rPr>
        <w:t>Definições Adicionais</w:t>
      </w:r>
      <w:r w:rsidRPr="00473DD3">
        <w:rPr>
          <w:b/>
          <w:color w:val="00188F"/>
        </w:rPr>
        <w:t>:</w:t>
      </w:r>
    </w:p>
    <w:p w14:paraId="769655EE" w14:textId="766FB4D8" w:rsidR="00E25E0F" w:rsidRPr="00EF7CF9" w:rsidRDefault="00380305" w:rsidP="00F01ED6">
      <w:pPr>
        <w:pStyle w:val="ProductList-Body"/>
      </w:pPr>
      <w:r>
        <w:t>“</w:t>
      </w:r>
      <w:r w:rsidR="00EF7CF9">
        <w:rPr>
          <w:b/>
          <w:color w:val="00188F"/>
        </w:rPr>
        <w:t>Chamada Elegível</w:t>
      </w:r>
      <w:r>
        <w:t>”</w:t>
      </w:r>
      <w:r w:rsidR="00EF7CF9">
        <w:t xml:space="preserve"> é uma chamada feita pelo Microsoft Teams (no âmbito de uma subscrição) que satisfaz ambas as seguintes condições: </w:t>
      </w:r>
    </w:p>
    <w:p w14:paraId="006B7BB5" w14:textId="75ED5DB2" w:rsidR="00E25E0F" w:rsidRPr="00EF7CF9" w:rsidRDefault="00E25E0F">
      <w:pPr>
        <w:pStyle w:val="ProductList-Body"/>
        <w:numPr>
          <w:ilvl w:val="0"/>
          <w:numId w:val="7"/>
        </w:numPr>
      </w:pPr>
      <w:r>
        <w:t>A chamada foi feita a partir de telefones Fixos IP com Certificação do Microsoft Teams numa Ethernet com fios</w:t>
      </w:r>
    </w:p>
    <w:p w14:paraId="36758620" w14:textId="77777777" w:rsidR="00E25E0F" w:rsidRPr="00EF7CF9" w:rsidRDefault="00E25E0F">
      <w:pPr>
        <w:pStyle w:val="ProductList-Body"/>
        <w:numPr>
          <w:ilvl w:val="0"/>
          <w:numId w:val="7"/>
        </w:numPr>
      </w:pPr>
      <w:r>
        <w:t xml:space="preserve">Os problemas de Perda de Pacotes, Instabilidade e Latência na chamada deveram-se às redes geridas pela Microsoft. </w:t>
      </w:r>
    </w:p>
    <w:p w14:paraId="55A75C61" w14:textId="024E67C0" w:rsidR="00E25E0F" w:rsidRPr="00EF7CF9" w:rsidRDefault="00380305" w:rsidP="00F01ED6">
      <w:pPr>
        <w:pStyle w:val="ProductList-Body"/>
      </w:pPr>
      <w:r>
        <w:t>“</w:t>
      </w:r>
      <w:r w:rsidR="00EF7CF9">
        <w:rPr>
          <w:b/>
          <w:color w:val="00188F"/>
        </w:rPr>
        <w:t>Total de Chamadas</w:t>
      </w:r>
      <w:r>
        <w:t>”</w:t>
      </w:r>
      <w:r w:rsidR="00EF7CF9">
        <w:t xml:space="preserve"> é o número total de Chamadas Elegíveis</w:t>
      </w:r>
    </w:p>
    <w:p w14:paraId="108FE9FB" w14:textId="51CFDE9E" w:rsidR="00E25E0F" w:rsidRPr="00EF7CF9" w:rsidRDefault="00380305" w:rsidP="00F01ED6">
      <w:pPr>
        <w:pStyle w:val="ProductList-Body"/>
      </w:pPr>
      <w:r>
        <w:t>“</w:t>
      </w:r>
      <w:r w:rsidR="00EF7CF9">
        <w:rPr>
          <w:b/>
          <w:color w:val="00188F"/>
        </w:rPr>
        <w:t>Chamadas de Má Qualidade</w:t>
      </w:r>
      <w:r>
        <w:t>”</w:t>
      </w:r>
      <w:r w:rsidR="00EF7CF9">
        <w:t xml:space="preserve"> é o número total de Chamadas Elegíveis classificadas como más com base em vários fatores que poderão afetar a</w:t>
      </w:r>
      <w:r w:rsidR="00AB0F2A">
        <w:t> </w:t>
      </w:r>
      <w:r w:rsidR="00EF7CF9">
        <w:t>qualidade das chamadas nas redes geridas pela Microsoft. Apesar de o atual classificador Má Qualidade da Chamada se basear sobretudo em parâmetros de rede, como o RTT (Roundtrip Time), a Taxa de Perda de Pacotes, a Instabilidade e os Fatores de Ocultação de Perda-Atraso de Pacotes, é dinâmico e atualizado continuamente com base em novas aprendizagens que resultam da análise de milhões de chamadas do Skype, do</w:t>
      </w:r>
      <w:r w:rsidR="00AB0F2A">
        <w:t> </w:t>
      </w:r>
      <w:r w:rsidR="00EF7CF9">
        <w:t>Skype para Empresas e do Microsoft Teams, bem como na evolução dos Dispositivos, dos Algoritmos e nas classificações dos utilizadores finais.</w:t>
      </w:r>
    </w:p>
    <w:p w14:paraId="0B4A6654" w14:textId="695DAAB0" w:rsidR="00E25E0F" w:rsidRPr="00EF7CF9" w:rsidRDefault="00E25E0F" w:rsidP="00F01ED6">
      <w:pPr>
        <w:spacing w:after="0" w:line="240" w:lineRule="auto"/>
        <w:rPr>
          <w:rFonts w:ascii="Calibri" w:eastAsia="Calibri" w:hAnsi="Calibri" w:cs="Times New Roman"/>
          <w:sz w:val="18"/>
          <w:szCs w:val="18"/>
        </w:rPr>
      </w:pPr>
      <w:r>
        <w:rPr>
          <w:rFonts w:ascii="Calibri" w:eastAsia="Calibri" w:hAnsi="Calibri" w:cs="Times New Roman"/>
          <w:b/>
          <w:color w:val="00188F"/>
          <w:sz w:val="18"/>
        </w:rPr>
        <w:t>Taxa de Chamadas Boas</w:t>
      </w:r>
      <w:r w:rsidRPr="00473DD3">
        <w:rPr>
          <w:rFonts w:ascii="Calibri" w:eastAsia="Calibri" w:hAnsi="Calibri" w:cs="Times New Roman"/>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A Taxa de Chamadas Boas é calculada utilizando a seguinte fórmula:</w:t>
      </w:r>
    </w:p>
    <w:p w14:paraId="1A1B6F7F" w14:textId="01A1792A" w:rsidR="00E25E0F" w:rsidRPr="00EF7CF9" w:rsidRDefault="00000000" w:rsidP="0065049D">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Total de Chamadas - Chamadas de Má Qualidade</m:t>
              </m:r>
            </m:num>
            <m:den>
              <m:r>
                <m:rPr>
                  <m:nor/>
                </m:rPr>
                <w:rPr>
                  <w:rFonts w:ascii="Cambria Math" w:eastAsia="Calibri" w:hAnsi="Cambria Math" w:cs="Calibri"/>
                  <w:i/>
                  <w:iCs/>
                  <w:sz w:val="18"/>
                  <w:szCs w:val="18"/>
                </w:rPr>
                <m:t>Total de Chamadas</m:t>
              </m:r>
            </m:den>
          </m:f>
          <m:r>
            <w:rPr>
              <w:rFonts w:ascii="Cambria Math" w:eastAsia="Calibri" w:hAnsi="Cambria Math" w:cs="Calibri"/>
              <w:sz w:val="18"/>
              <w:szCs w:val="18"/>
            </w:rPr>
            <m:t xml:space="preserve"> x 100</m:t>
          </m:r>
        </m:oMath>
      </m:oMathPara>
    </w:p>
    <w:p w14:paraId="29912DEF" w14:textId="77777777" w:rsidR="00E25E0F" w:rsidRPr="00EF7CF9" w:rsidRDefault="00E25E0F" w:rsidP="00885CFE">
      <w:pPr>
        <w:pStyle w:val="ProductList-Body"/>
        <w:keepNext/>
        <w:keepLines/>
      </w:pPr>
      <w:r>
        <w:rPr>
          <w:b/>
          <w:color w:val="00188F"/>
        </w:rPr>
        <w:lastRenderedPageBreak/>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885CFE">
            <w:pPr>
              <w:pStyle w:val="ProductList-OfferingBody"/>
              <w:keepNext/>
              <w:keepLines/>
              <w:jc w:val="center"/>
              <w:rPr>
                <w:color w:val="FFFFFF" w:themeColor="background1"/>
              </w:rPr>
            </w:pPr>
            <w:r>
              <w:rPr>
                <w:color w:val="FFFFFF" w:themeColor="background1"/>
              </w:rPr>
              <w:t>Taxa de Chamadas Boas</w:t>
            </w:r>
          </w:p>
        </w:tc>
        <w:tc>
          <w:tcPr>
            <w:tcW w:w="5400" w:type="dxa"/>
            <w:shd w:val="clear" w:color="auto" w:fill="0072C6"/>
          </w:tcPr>
          <w:p w14:paraId="179ED571" w14:textId="77777777" w:rsidR="00E25E0F" w:rsidRPr="00EF7CF9" w:rsidRDefault="00E25E0F" w:rsidP="00885CFE">
            <w:pPr>
              <w:pStyle w:val="ProductList-OfferingBody"/>
              <w:keepNext/>
              <w:keepLines/>
              <w:jc w:val="center"/>
              <w:rPr>
                <w:color w:val="FFFFFF" w:themeColor="background1"/>
              </w:rPr>
            </w:pPr>
            <w:r>
              <w:rPr>
                <w:color w:val="FFFFFF" w:themeColor="background1"/>
              </w:rPr>
              <w:t>Crédito de Serviço</w:t>
            </w:r>
          </w:p>
        </w:tc>
      </w:tr>
      <w:tr w:rsidR="00E25E0F" w:rsidRPr="00B44CF9" w14:paraId="424FC624" w14:textId="77777777" w:rsidTr="005326DD">
        <w:tc>
          <w:tcPr>
            <w:tcW w:w="5400" w:type="dxa"/>
          </w:tcPr>
          <w:p w14:paraId="1962101E" w14:textId="77777777" w:rsidR="00E25E0F" w:rsidRPr="00EF7CF9" w:rsidRDefault="00E25E0F" w:rsidP="00885CFE">
            <w:pPr>
              <w:pStyle w:val="ProductList-OfferingBody"/>
              <w:keepNext/>
              <w:keepLines/>
              <w:jc w:val="center"/>
            </w:pPr>
            <w:r>
              <w:t>&lt; 99,9%</w:t>
            </w:r>
          </w:p>
        </w:tc>
        <w:tc>
          <w:tcPr>
            <w:tcW w:w="5400" w:type="dxa"/>
          </w:tcPr>
          <w:p w14:paraId="6211073E" w14:textId="77777777" w:rsidR="00E25E0F" w:rsidRPr="00EF7CF9" w:rsidRDefault="00E25E0F" w:rsidP="00885CFE">
            <w:pPr>
              <w:pStyle w:val="ProductList-OfferingBody"/>
              <w:keepNext/>
              <w:keepLines/>
              <w:jc w:val="center"/>
            </w:pPr>
            <w:r>
              <w:t>25%</w:t>
            </w:r>
          </w:p>
        </w:tc>
      </w:tr>
      <w:tr w:rsidR="00E25E0F" w:rsidRPr="00B44CF9" w14:paraId="33028E0F" w14:textId="77777777" w:rsidTr="005326DD">
        <w:tc>
          <w:tcPr>
            <w:tcW w:w="5400" w:type="dxa"/>
          </w:tcPr>
          <w:p w14:paraId="09712D25" w14:textId="77777777" w:rsidR="00E25E0F" w:rsidRPr="00EF7CF9" w:rsidRDefault="00E25E0F" w:rsidP="00885CFE">
            <w:pPr>
              <w:pStyle w:val="ProductList-OfferingBody"/>
              <w:keepNext/>
              <w:keepLines/>
              <w:jc w:val="center"/>
            </w:pPr>
            <w:r>
              <w:t>&lt; 99%</w:t>
            </w:r>
          </w:p>
        </w:tc>
        <w:tc>
          <w:tcPr>
            <w:tcW w:w="5400" w:type="dxa"/>
          </w:tcPr>
          <w:p w14:paraId="55DDA4A7" w14:textId="77777777" w:rsidR="00E25E0F" w:rsidRPr="00EF7CF9" w:rsidRDefault="00E25E0F" w:rsidP="00885CFE">
            <w:pPr>
              <w:pStyle w:val="ProductList-OfferingBody"/>
              <w:keepNext/>
              <w:keepLines/>
              <w:jc w:val="center"/>
            </w:pPr>
            <w:r>
              <w:t>50%</w:t>
            </w:r>
          </w:p>
        </w:tc>
      </w:tr>
      <w:tr w:rsidR="00E25E0F" w:rsidRPr="00B44CF9" w14:paraId="440BE748" w14:textId="77777777" w:rsidTr="005326DD">
        <w:tc>
          <w:tcPr>
            <w:tcW w:w="5400" w:type="dxa"/>
          </w:tcPr>
          <w:p w14:paraId="0410A4CD" w14:textId="77777777" w:rsidR="00E25E0F" w:rsidRPr="00EF7CF9" w:rsidRDefault="00E25E0F" w:rsidP="00F01ED6">
            <w:pPr>
              <w:pStyle w:val="ProductList-OfferingBody"/>
              <w:jc w:val="center"/>
            </w:pPr>
            <w:r>
              <w:t>&lt; 95%</w:t>
            </w:r>
          </w:p>
        </w:tc>
        <w:tc>
          <w:tcPr>
            <w:tcW w:w="5400" w:type="dxa"/>
          </w:tcPr>
          <w:p w14:paraId="0D8F0DAA" w14:textId="77777777" w:rsidR="00E25E0F" w:rsidRPr="00EF7CF9" w:rsidRDefault="00E25E0F" w:rsidP="00F01ED6">
            <w:pPr>
              <w:pStyle w:val="ProductList-OfferingBody"/>
              <w:keepNext/>
              <w:jc w:val="center"/>
            </w:pPr>
            <w:r>
              <w:t>100%</w:t>
            </w:r>
          </w:p>
        </w:tc>
      </w:tr>
    </w:tbl>
    <w:bookmarkStart w:id="105" w:name="_Toc457821527"/>
    <w:p w14:paraId="2073F634"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B8073DE" w14:textId="48F94266" w:rsidR="00006365" w:rsidRPr="00EF7CF9" w:rsidRDefault="00006365" w:rsidP="00F01ED6">
      <w:pPr>
        <w:pStyle w:val="ProductList-Offering2Heading"/>
        <w:outlineLvl w:val="2"/>
      </w:pPr>
      <w:bookmarkStart w:id="106" w:name="_Toc239176410"/>
      <w:r>
        <w:t>Informações sobre Tendências Empresariais</w:t>
      </w:r>
      <w:bookmarkEnd w:id="106"/>
    </w:p>
    <w:p w14:paraId="39EA0E40" w14:textId="26873E2C" w:rsidR="00006365" w:rsidRPr="00EF7CF9" w:rsidRDefault="00006365" w:rsidP="00F01ED6">
      <w:pPr>
        <w:pStyle w:val="ProductList-Body"/>
      </w:pPr>
      <w:r>
        <w:rPr>
          <w:b/>
          <w:color w:val="00188F"/>
        </w:rPr>
        <w:t>Período de Indisponibilidade</w:t>
      </w:r>
      <w:r w:rsidRPr="00473DD3">
        <w:rPr>
          <w:b/>
          <w:color w:val="00188F"/>
        </w:rPr>
        <w:t>:</w:t>
      </w:r>
      <w:r>
        <w:t xml:space="preserve"> Qualquer período de tempo em que os utilizadores não conseguem aceder ao Web site Informações sobre Tendências Empresariais.</w:t>
      </w:r>
    </w:p>
    <w:p w14:paraId="7BCDE968" w14:textId="78D697ED" w:rsidR="00006365" w:rsidRPr="00EF7CF9" w:rsidRDefault="00AC48A7" w:rsidP="00F01ED6">
      <w:pPr>
        <w:pStyle w:val="ProductList-Body"/>
        <w:keepNext/>
      </w:pPr>
      <w:r>
        <w:rPr>
          <w:b/>
          <w:color w:val="00188F"/>
        </w:rPr>
        <w:t>Percentagem de Período de Disponibilidade</w:t>
      </w:r>
      <w:r w:rsidRPr="00473DD3">
        <w:rPr>
          <w:b/>
          <w:color w:val="00188F"/>
        </w:rPr>
        <w:t>:</w:t>
      </w:r>
      <w:r>
        <w:t xml:space="preserve"> A Percentagem de Período de Disponibilidade é calculada através da seguinte fórmula: </w:t>
      </w:r>
    </w:p>
    <w:p w14:paraId="2580373D" w14:textId="77777777" w:rsidR="00006365" w:rsidRPr="00EF7CF9" w:rsidRDefault="00006365" w:rsidP="00F01ED6">
      <w:pPr>
        <w:pStyle w:val="ProductList-Body"/>
      </w:pPr>
    </w:p>
    <w:p w14:paraId="42D3EDC3" w14:textId="4E6898BA" w:rsidR="00006365"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76D60245" w14:textId="22488CC3" w:rsidR="00006365" w:rsidRPr="00EF7CF9" w:rsidRDefault="00AC48A7" w:rsidP="00F01ED6">
      <w:pPr>
        <w:pStyle w:val="ProductList-Body"/>
        <w:ind w:right="135"/>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0B221A30" w14:textId="77777777" w:rsidR="00006365" w:rsidRPr="00EF7CF9" w:rsidRDefault="00006365"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89005C8" w14:textId="64D79297" w:rsidR="00006365" w:rsidRPr="00EF7CF9" w:rsidRDefault="00CF3581" w:rsidP="00F01ED6">
            <w:pPr>
              <w:pStyle w:val="ProductList-OfferingBody"/>
              <w:jc w:val="center"/>
              <w:rPr>
                <w:color w:val="FFFFFF" w:themeColor="background1"/>
              </w:rPr>
            </w:pPr>
            <w:r>
              <w:rPr>
                <w:color w:val="FFFFFF" w:themeColor="background1"/>
              </w:rPr>
              <w:t>Crédito de Serviço</w:t>
            </w:r>
          </w:p>
        </w:tc>
      </w:tr>
      <w:tr w:rsidR="00CF3581" w:rsidRPr="00B44CF9" w14:paraId="2C79A02E" w14:textId="77777777" w:rsidTr="00EE6CC5">
        <w:tc>
          <w:tcPr>
            <w:tcW w:w="5400" w:type="dxa"/>
          </w:tcPr>
          <w:p w14:paraId="4A93E858" w14:textId="165BBF89" w:rsidR="00CF3581" w:rsidRPr="00EF7CF9" w:rsidRDefault="00CF3581" w:rsidP="00F01ED6">
            <w:pPr>
              <w:pStyle w:val="ProductList-OfferingBody"/>
              <w:jc w:val="center"/>
            </w:pPr>
            <w:r>
              <w:t>&lt; 99,9%</w:t>
            </w:r>
          </w:p>
        </w:tc>
        <w:tc>
          <w:tcPr>
            <w:tcW w:w="5400" w:type="dxa"/>
          </w:tcPr>
          <w:p w14:paraId="2745667D" w14:textId="58CFB147" w:rsidR="00CF3581" w:rsidRPr="00EF7CF9" w:rsidRDefault="00CF3581" w:rsidP="00F01ED6">
            <w:pPr>
              <w:pStyle w:val="ProductList-OfferingBody"/>
              <w:jc w:val="center"/>
            </w:pPr>
            <w:r>
              <w:t>25%</w:t>
            </w:r>
          </w:p>
        </w:tc>
      </w:tr>
      <w:tr w:rsidR="00CF3581" w:rsidRPr="00B44CF9" w14:paraId="429E9389" w14:textId="77777777" w:rsidTr="00EE6CC5">
        <w:tc>
          <w:tcPr>
            <w:tcW w:w="5400" w:type="dxa"/>
          </w:tcPr>
          <w:p w14:paraId="5102C539" w14:textId="32D0C7B6" w:rsidR="00CF3581" w:rsidRPr="00EF7CF9" w:rsidRDefault="00CF3581" w:rsidP="00F01ED6">
            <w:pPr>
              <w:pStyle w:val="ProductList-OfferingBody"/>
              <w:jc w:val="center"/>
            </w:pPr>
            <w:r>
              <w:t>&lt; 99%</w:t>
            </w:r>
          </w:p>
        </w:tc>
        <w:tc>
          <w:tcPr>
            <w:tcW w:w="5400" w:type="dxa"/>
          </w:tcPr>
          <w:p w14:paraId="7255049B" w14:textId="0E8A5F92" w:rsidR="00CF3581" w:rsidRPr="00EF7CF9" w:rsidRDefault="00CF3581" w:rsidP="00F01ED6">
            <w:pPr>
              <w:pStyle w:val="ProductList-OfferingBody"/>
              <w:jc w:val="center"/>
            </w:pPr>
            <w:r>
              <w:t>50%</w:t>
            </w:r>
          </w:p>
        </w:tc>
      </w:tr>
      <w:tr w:rsidR="00CF3581" w:rsidRPr="00B44CF9" w14:paraId="608B9D0D" w14:textId="77777777" w:rsidTr="00EE6CC5">
        <w:tc>
          <w:tcPr>
            <w:tcW w:w="5400" w:type="dxa"/>
          </w:tcPr>
          <w:p w14:paraId="588ED7E5" w14:textId="6D811E55" w:rsidR="00CF3581" w:rsidRPr="00EF7CF9" w:rsidRDefault="00CF3581" w:rsidP="00F01ED6">
            <w:pPr>
              <w:pStyle w:val="ProductList-OfferingBody"/>
              <w:jc w:val="center"/>
            </w:pPr>
            <w:r>
              <w:t>&lt; 95%</w:t>
            </w:r>
          </w:p>
        </w:tc>
        <w:tc>
          <w:tcPr>
            <w:tcW w:w="5400" w:type="dxa"/>
          </w:tcPr>
          <w:p w14:paraId="7AFD3FF5" w14:textId="0D7588DC" w:rsidR="00CF3581" w:rsidRPr="00EF7CF9" w:rsidRDefault="00CF3581" w:rsidP="00F01ED6">
            <w:pPr>
              <w:pStyle w:val="ProductList-OfferingBody"/>
              <w:jc w:val="center"/>
            </w:pPr>
            <w:r>
              <w:t>100%</w:t>
            </w:r>
          </w:p>
        </w:tc>
      </w:tr>
    </w:tbl>
    <w:p w14:paraId="16FEC0DB"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86C3629" w14:textId="7B0B1A56" w:rsidR="00C86427" w:rsidRPr="00EF7CF9" w:rsidRDefault="00C8391A" w:rsidP="00F01ED6">
      <w:pPr>
        <w:pStyle w:val="ProductList-Offering2Heading"/>
        <w:outlineLvl w:val="2"/>
      </w:pPr>
      <w:bookmarkStart w:id="107" w:name="_Toc239176411"/>
      <w:bookmarkEnd w:id="105"/>
      <w:r>
        <w:t>Viva Engage</w:t>
      </w:r>
      <w:bookmarkEnd w:id="107"/>
    </w:p>
    <w:p w14:paraId="2EE1FFB1" w14:textId="77777777" w:rsidR="00AA2E12" w:rsidRPr="00E36382" w:rsidRDefault="00AA2E12" w:rsidP="00AA2E12">
      <w:pPr>
        <w:pStyle w:val="ProductList-Body"/>
        <w:rPr>
          <w:rFonts w:ascii="Calibri" w:hAnsi="Calibri" w:cs="Calibri"/>
        </w:rPr>
      </w:pPr>
      <w:r>
        <w:rPr>
          <w:rFonts w:ascii="Calibri" w:hAnsi="Calibri" w:cs="Calibri"/>
          <w:b/>
          <w:color w:val="00188F"/>
        </w:rPr>
        <w:t>Período de Indisponibilidade</w:t>
      </w:r>
      <w:r w:rsidRPr="00396CE0">
        <w:rPr>
          <w:rFonts w:ascii="Calibri" w:hAnsi="Calibri" w:cs="Calibri"/>
          <w:b/>
          <w:color w:val="00188F"/>
        </w:rPr>
        <w:t>:</w:t>
      </w:r>
      <w:r>
        <w:rPr>
          <w:rFonts w:ascii="Calibri" w:hAnsi="Calibri" w:cs="Calibri"/>
        </w:rPr>
        <w:t xml:space="preserve"> </w:t>
      </w:r>
      <w:r>
        <w:rPr>
          <w:rFonts w:ascii="Calibri" w:hAnsi="Calibri" w:cs="Calibri"/>
          <w:szCs w:val="18"/>
        </w:rPr>
        <w:t>Qualquer período de tempo superior a dez minutos quando mais de cinco por cento dos utilizadores finais não conseguem publicar ou ler mensagens em qualquer parte da rede Viva Engage para a qual têm as permissões adequadas.</w:t>
      </w:r>
    </w:p>
    <w:p w14:paraId="476BDF33" w14:textId="5A43C8BF" w:rsidR="00C86427"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13177606" w14:textId="7F1555DC" w:rsidR="00C86427" w:rsidRPr="00EF7CF9" w:rsidRDefault="00000000" w:rsidP="0065049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06178239" w14:textId="43137EB5" w:rsidR="00C86427" w:rsidRPr="00EF7CF9" w:rsidRDefault="00AC48A7" w:rsidP="00F01ED6">
      <w:pPr>
        <w:pStyle w:val="ProductList-Body"/>
        <w:ind w:right="153"/>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3CB8DA5D" w14:textId="10D482CB" w:rsidR="00C86427" w:rsidRPr="00EF7CF9" w:rsidRDefault="00C86427"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A3835E2" w14:textId="77777777" w:rsidR="00C86427" w:rsidRPr="00EF7CF9" w:rsidRDefault="00C86427" w:rsidP="00F01ED6">
            <w:pPr>
              <w:pStyle w:val="ProductList-OfferingBody"/>
              <w:jc w:val="center"/>
              <w:rPr>
                <w:color w:val="FFFFFF" w:themeColor="background1"/>
              </w:rPr>
            </w:pPr>
            <w:r>
              <w:rPr>
                <w:color w:val="FFFFFF" w:themeColor="background1"/>
              </w:rPr>
              <w:t>Crédito de Serviço</w:t>
            </w:r>
          </w:p>
        </w:tc>
      </w:tr>
      <w:tr w:rsidR="00C86427" w:rsidRPr="00B44CF9" w14:paraId="6C555692" w14:textId="77777777" w:rsidTr="00C86427">
        <w:tc>
          <w:tcPr>
            <w:tcW w:w="5400" w:type="dxa"/>
          </w:tcPr>
          <w:p w14:paraId="2A0C0D6F" w14:textId="79723A54" w:rsidR="00C86427" w:rsidRPr="00EF7CF9" w:rsidRDefault="00C86427" w:rsidP="00F01ED6">
            <w:pPr>
              <w:pStyle w:val="ProductList-OfferingBody"/>
              <w:jc w:val="center"/>
            </w:pPr>
            <w:r>
              <w:t>&lt; 99,9%</w:t>
            </w:r>
          </w:p>
        </w:tc>
        <w:tc>
          <w:tcPr>
            <w:tcW w:w="5400" w:type="dxa"/>
          </w:tcPr>
          <w:p w14:paraId="2B6C1459" w14:textId="77777777" w:rsidR="00C86427" w:rsidRPr="00EF7CF9" w:rsidRDefault="00C86427" w:rsidP="00F01ED6">
            <w:pPr>
              <w:pStyle w:val="ProductList-OfferingBody"/>
              <w:jc w:val="center"/>
            </w:pPr>
            <w:r>
              <w:t>25%</w:t>
            </w:r>
          </w:p>
        </w:tc>
      </w:tr>
      <w:tr w:rsidR="00C86427" w:rsidRPr="00B44CF9" w14:paraId="7022003C" w14:textId="77777777" w:rsidTr="00C86427">
        <w:tc>
          <w:tcPr>
            <w:tcW w:w="5400" w:type="dxa"/>
          </w:tcPr>
          <w:p w14:paraId="20E720BE" w14:textId="2E34B42F" w:rsidR="00C86427" w:rsidRPr="00EF7CF9" w:rsidRDefault="00C86427" w:rsidP="00F01ED6">
            <w:pPr>
              <w:pStyle w:val="ProductList-OfferingBody"/>
              <w:jc w:val="center"/>
            </w:pPr>
            <w:r>
              <w:t>&lt; 99%</w:t>
            </w:r>
          </w:p>
        </w:tc>
        <w:tc>
          <w:tcPr>
            <w:tcW w:w="5400" w:type="dxa"/>
          </w:tcPr>
          <w:p w14:paraId="5DDFDCAF" w14:textId="77777777" w:rsidR="00C86427" w:rsidRPr="00EF7CF9" w:rsidRDefault="00C86427" w:rsidP="00F01ED6">
            <w:pPr>
              <w:pStyle w:val="ProductList-OfferingBody"/>
              <w:jc w:val="center"/>
            </w:pPr>
            <w:r>
              <w:t>50%</w:t>
            </w:r>
          </w:p>
        </w:tc>
      </w:tr>
      <w:tr w:rsidR="00C86427" w:rsidRPr="00B44CF9" w14:paraId="370A5AC6" w14:textId="77777777" w:rsidTr="00C86427">
        <w:tc>
          <w:tcPr>
            <w:tcW w:w="5400" w:type="dxa"/>
          </w:tcPr>
          <w:p w14:paraId="636FF5C1" w14:textId="77777777" w:rsidR="00C86427" w:rsidRPr="00EF7CF9" w:rsidRDefault="00C86427" w:rsidP="00F01ED6">
            <w:pPr>
              <w:pStyle w:val="ProductList-OfferingBody"/>
              <w:jc w:val="center"/>
            </w:pPr>
            <w:r>
              <w:t>&lt; 95%</w:t>
            </w:r>
          </w:p>
        </w:tc>
        <w:tc>
          <w:tcPr>
            <w:tcW w:w="5400" w:type="dxa"/>
          </w:tcPr>
          <w:p w14:paraId="5933E5F9" w14:textId="77777777" w:rsidR="00C86427" w:rsidRPr="00EF7CF9" w:rsidRDefault="00C86427" w:rsidP="00F01ED6">
            <w:pPr>
              <w:pStyle w:val="ProductList-OfferingBody"/>
              <w:jc w:val="center"/>
            </w:pPr>
            <w:r>
              <w:t>100%</w:t>
            </w:r>
          </w:p>
        </w:tc>
      </w:tr>
    </w:tbl>
    <w:bookmarkStart w:id="108" w:name="_Toc53474718"/>
    <w:bookmarkStart w:id="109" w:name="MicrosoftAzureServices"/>
    <w:p w14:paraId="2DDA0960"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2FA27D7" w14:textId="77777777" w:rsidR="005745B1" w:rsidRDefault="005745B1">
      <w:pPr>
        <w:rPr>
          <w:rFonts w:asciiTheme="majorHAnsi" w:hAnsiTheme="majorHAnsi"/>
          <w:b/>
          <w:color w:val="00188F"/>
          <w:sz w:val="28"/>
        </w:rPr>
      </w:pPr>
      <w:r>
        <w:br w:type="page"/>
      </w:r>
    </w:p>
    <w:p w14:paraId="3D5F8587" w14:textId="6FB7A321" w:rsidR="00DC0631" w:rsidRPr="00EF7CF9" w:rsidRDefault="00DC0631" w:rsidP="00F01ED6">
      <w:pPr>
        <w:pStyle w:val="ProductList-OfferingGroupHeading"/>
        <w:tabs>
          <w:tab w:val="clear" w:pos="360"/>
          <w:tab w:val="clear" w:pos="720"/>
          <w:tab w:val="clear" w:pos="1080"/>
        </w:tabs>
        <w:outlineLvl w:val="1"/>
      </w:pPr>
      <w:bookmarkStart w:id="110" w:name="_Toc239176412"/>
      <w:r>
        <w:lastRenderedPageBreak/>
        <w:t>Serviços e Planos do</w:t>
      </w:r>
      <w:bookmarkEnd w:id="108"/>
      <w:r>
        <w:t xml:space="preserve"> Microsoft Azure</w:t>
      </w:r>
      <w:bookmarkEnd w:id="110"/>
    </w:p>
    <w:p w14:paraId="0FE870F8" w14:textId="271718BC" w:rsidR="00755B76" w:rsidRPr="00F90F7C" w:rsidRDefault="003B1144" w:rsidP="00F01ED6">
      <w:pPr>
        <w:pStyle w:val="ProductList-Offering2Heading"/>
        <w:tabs>
          <w:tab w:val="clear" w:pos="360"/>
          <w:tab w:val="clear" w:pos="720"/>
          <w:tab w:val="clear" w:pos="1080"/>
        </w:tabs>
        <w:outlineLvl w:val="2"/>
        <w:rPr>
          <w:lang w:val="pt-BR"/>
        </w:rPr>
      </w:pPr>
      <w:bookmarkStart w:id="111" w:name="_Toc239176413"/>
      <w:bookmarkStart w:id="112" w:name="_Toc52348916"/>
      <w:bookmarkStart w:id="113" w:name="_Toc457821535"/>
      <w:bookmarkStart w:id="114" w:name="_Toc457821591"/>
      <w:bookmarkEnd w:id="109"/>
      <w:r w:rsidRPr="00F90F7C">
        <w:rPr>
          <w:lang w:val="pt-BR"/>
        </w:rPr>
        <w:t>Microsoft Entra ID</w:t>
      </w:r>
      <w:bookmarkEnd w:id="111"/>
    </w:p>
    <w:p w14:paraId="76FEADA4" w14:textId="77777777" w:rsidR="004A17FE" w:rsidRPr="00523950" w:rsidRDefault="004A17FE" w:rsidP="004A17FE">
      <w:pPr>
        <w:pStyle w:val="ProductList-Body"/>
        <w:rPr>
          <w:rFonts w:ascii="Calibri" w:hAnsi="Calibri" w:cs="Calibri"/>
          <w:b/>
          <w:color w:val="00188F"/>
        </w:rPr>
      </w:pPr>
      <w:r>
        <w:rPr>
          <w:rFonts w:ascii="Calibri" w:hAnsi="Calibri" w:cs="Calibri"/>
          <w:b/>
          <w:color w:val="00188F"/>
        </w:rPr>
        <w:t>Microsoft Entra ID Basic e Microsoft Entra ID Premium</w:t>
      </w:r>
    </w:p>
    <w:p w14:paraId="0F7DA6FF" w14:textId="77777777" w:rsidR="004A17FE" w:rsidRPr="00523950" w:rsidRDefault="004A17FE" w:rsidP="004A17FE">
      <w:pPr>
        <w:pStyle w:val="ProductList-Body"/>
        <w:rPr>
          <w:rFonts w:ascii="Calibri" w:hAnsi="Calibri" w:cs="Calibri"/>
        </w:rPr>
      </w:pPr>
      <w:r>
        <w:rPr>
          <w:rFonts w:ascii="Calibri" w:hAnsi="Calibri" w:cs="Calibri"/>
          <w:b/>
          <w:color w:val="00188F"/>
        </w:rPr>
        <w:t>Definições Adicionais</w:t>
      </w:r>
      <w:r w:rsidRPr="00D9200D">
        <w:rPr>
          <w:rFonts w:ascii="Calibri" w:hAnsi="Calibri" w:cs="Calibri"/>
          <w:b/>
          <w:bCs/>
        </w:rPr>
        <w:t>:</w:t>
      </w:r>
    </w:p>
    <w:p w14:paraId="627C4154" w14:textId="77777777" w:rsidR="004A17FE" w:rsidRPr="00523950" w:rsidRDefault="004A17FE" w:rsidP="004A17FE">
      <w:pPr>
        <w:pStyle w:val="ProductList-Body"/>
        <w:rPr>
          <w:rFonts w:ascii="Calibri" w:hAnsi="Calibri" w:cs="Calibri"/>
        </w:rPr>
      </w:pPr>
      <w:r>
        <w:rPr>
          <w:rFonts w:ascii="Calibri" w:hAnsi="Calibri" w:cs="Calibri"/>
          <w:b/>
          <w:color w:val="00188F"/>
        </w:rPr>
        <w:t>Período de Indisponibilidade</w:t>
      </w:r>
      <w:r w:rsidRPr="00D9200D">
        <w:rPr>
          <w:rFonts w:ascii="Calibri" w:hAnsi="Calibri" w:cs="Calibri"/>
          <w:b/>
          <w:bCs/>
        </w:rPr>
        <w:t>:</w:t>
      </w:r>
      <w:r>
        <w:rPr>
          <w:rFonts w:ascii="Calibri" w:hAnsi="Calibri" w:cs="Calibri"/>
        </w:rPr>
        <w:t xml:space="preserve"> </w:t>
      </w:r>
      <w:r>
        <w:rPr>
          <w:rFonts w:ascii="Calibri" w:hAnsi="Calibri" w:cs="Calibri"/>
          <w:szCs w:val="18"/>
        </w:rPr>
        <w:t>Qualquer período durante o qual os utilizadores não conseguem iniciar sessão no serviço Microsoft Entra ID ou o Microsoft Entra ID falha ao tentar emitir os tokens de autenticação e autorização para os utilizadores iniciarem sessão em aplicações ligadas ao serviço.</w:t>
      </w:r>
    </w:p>
    <w:p w14:paraId="06A45494" w14:textId="0A6A53C9" w:rsidR="00755B76"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5AE99968" w14:textId="3D8F1A8A" w:rsidR="00755B76" w:rsidRPr="00EF7CF9" w:rsidRDefault="00000000" w:rsidP="0065049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4EAF19D3" w14:textId="70B2F6C0" w:rsidR="00755B76" w:rsidRPr="00EF7CF9" w:rsidRDefault="00AC48A7" w:rsidP="00F01ED6">
      <w:pPr>
        <w:pStyle w:val="ProductList-Body"/>
        <w:ind w:right="117"/>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49209FC5" w14:textId="77777777" w:rsidR="00755B76" w:rsidRPr="00EF7CF9" w:rsidRDefault="00755B7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74122EE" w14:textId="77777777" w:rsidR="00755B76" w:rsidRPr="00EF7CF9" w:rsidRDefault="00755B76" w:rsidP="00F01ED6">
            <w:pPr>
              <w:pStyle w:val="ProductList-OfferingBody"/>
              <w:jc w:val="center"/>
              <w:rPr>
                <w:color w:val="FFFFFF" w:themeColor="background1"/>
              </w:rPr>
            </w:pPr>
            <w:r>
              <w:rPr>
                <w:color w:val="FFFFFF" w:themeColor="background1"/>
              </w:rPr>
              <w:t>Crédito de Serviço</w:t>
            </w:r>
          </w:p>
        </w:tc>
      </w:tr>
      <w:tr w:rsidR="00755B76" w:rsidRPr="00B44CF9" w14:paraId="60FBDD34" w14:textId="77777777" w:rsidTr="00277097">
        <w:tc>
          <w:tcPr>
            <w:tcW w:w="5400" w:type="dxa"/>
          </w:tcPr>
          <w:p w14:paraId="3937177C" w14:textId="77777777" w:rsidR="00755B76" w:rsidRPr="00EF7CF9" w:rsidRDefault="00755B76" w:rsidP="00F01ED6">
            <w:pPr>
              <w:pStyle w:val="ProductList-OfferingBody"/>
              <w:jc w:val="center"/>
            </w:pPr>
            <w:r>
              <w:t>&lt; 99,99%</w:t>
            </w:r>
          </w:p>
        </w:tc>
        <w:tc>
          <w:tcPr>
            <w:tcW w:w="5400" w:type="dxa"/>
          </w:tcPr>
          <w:p w14:paraId="118CC8B1" w14:textId="77777777" w:rsidR="00755B76" w:rsidRPr="00EF7CF9" w:rsidRDefault="00755B76" w:rsidP="00F01ED6">
            <w:pPr>
              <w:pStyle w:val="ProductList-OfferingBody"/>
              <w:jc w:val="center"/>
            </w:pPr>
            <w:r>
              <w:t>10%</w:t>
            </w:r>
          </w:p>
        </w:tc>
      </w:tr>
      <w:tr w:rsidR="00755B76" w:rsidRPr="00B44CF9" w14:paraId="2552001F" w14:textId="77777777" w:rsidTr="00277097">
        <w:tc>
          <w:tcPr>
            <w:tcW w:w="5400" w:type="dxa"/>
          </w:tcPr>
          <w:p w14:paraId="396208DB" w14:textId="77777777" w:rsidR="00755B76" w:rsidRPr="00EF7CF9" w:rsidRDefault="00755B76" w:rsidP="00F01ED6">
            <w:pPr>
              <w:pStyle w:val="ProductList-OfferingBody"/>
              <w:jc w:val="center"/>
            </w:pPr>
            <w:r>
              <w:t>&lt; 99,9%</w:t>
            </w:r>
          </w:p>
        </w:tc>
        <w:tc>
          <w:tcPr>
            <w:tcW w:w="5400" w:type="dxa"/>
          </w:tcPr>
          <w:p w14:paraId="00FA81CB" w14:textId="77777777" w:rsidR="00755B76" w:rsidRPr="00EF7CF9" w:rsidRDefault="00755B76" w:rsidP="00F01ED6">
            <w:pPr>
              <w:pStyle w:val="ProductList-OfferingBody"/>
              <w:jc w:val="center"/>
            </w:pPr>
            <w:r>
              <w:t>25%</w:t>
            </w:r>
          </w:p>
        </w:tc>
      </w:tr>
      <w:tr w:rsidR="00755B76" w:rsidRPr="00B44CF9" w14:paraId="5A083771" w14:textId="77777777" w:rsidTr="00277097">
        <w:tc>
          <w:tcPr>
            <w:tcW w:w="5400" w:type="dxa"/>
          </w:tcPr>
          <w:p w14:paraId="55DB61A7" w14:textId="77777777" w:rsidR="00755B76" w:rsidRPr="00EF7CF9" w:rsidRDefault="00755B76" w:rsidP="00F01ED6">
            <w:pPr>
              <w:pStyle w:val="ProductList-OfferingBody"/>
              <w:jc w:val="center"/>
            </w:pPr>
            <w:r>
              <w:t>&lt; 99%</w:t>
            </w:r>
          </w:p>
        </w:tc>
        <w:tc>
          <w:tcPr>
            <w:tcW w:w="5400" w:type="dxa"/>
          </w:tcPr>
          <w:p w14:paraId="5C3E3871" w14:textId="77777777" w:rsidR="00755B76" w:rsidRPr="00EF7CF9" w:rsidRDefault="00755B76" w:rsidP="00F01ED6">
            <w:pPr>
              <w:pStyle w:val="ProductList-OfferingBody"/>
              <w:jc w:val="center"/>
            </w:pPr>
            <w:r>
              <w:t>50%</w:t>
            </w:r>
          </w:p>
        </w:tc>
      </w:tr>
      <w:tr w:rsidR="00755B76" w:rsidRPr="00B44CF9" w14:paraId="1EAE4D17" w14:textId="77777777" w:rsidTr="00277097">
        <w:tc>
          <w:tcPr>
            <w:tcW w:w="5400" w:type="dxa"/>
          </w:tcPr>
          <w:p w14:paraId="0843D594" w14:textId="77777777" w:rsidR="00755B76" w:rsidRPr="00EF7CF9" w:rsidRDefault="00755B76" w:rsidP="00F01ED6">
            <w:pPr>
              <w:pStyle w:val="ProductList-OfferingBody"/>
              <w:jc w:val="center"/>
            </w:pPr>
            <w:r>
              <w:t>&lt; 95%</w:t>
            </w:r>
          </w:p>
        </w:tc>
        <w:tc>
          <w:tcPr>
            <w:tcW w:w="5400" w:type="dxa"/>
          </w:tcPr>
          <w:p w14:paraId="2D6534FB" w14:textId="77777777" w:rsidR="00755B76" w:rsidRPr="00EF7CF9" w:rsidRDefault="00755B76" w:rsidP="00F01ED6">
            <w:pPr>
              <w:pStyle w:val="ProductList-OfferingBody"/>
              <w:jc w:val="center"/>
            </w:pPr>
            <w:r>
              <w:t>100%</w:t>
            </w:r>
          </w:p>
        </w:tc>
      </w:tr>
    </w:tbl>
    <w:bookmarkStart w:id="115" w:name="_Toc457821530"/>
    <w:bookmarkStart w:id="116" w:name="_Toc52349004"/>
    <w:p w14:paraId="398D2B58"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7E0B282" w14:textId="77777777" w:rsidR="00755B76" w:rsidRPr="00EF7CF9" w:rsidRDefault="00755B76" w:rsidP="00F01ED6">
      <w:pPr>
        <w:pStyle w:val="ProductList-Offering2Heading"/>
        <w:tabs>
          <w:tab w:val="clear" w:pos="360"/>
          <w:tab w:val="clear" w:pos="720"/>
          <w:tab w:val="clear" w:pos="1080"/>
        </w:tabs>
        <w:outlineLvl w:val="2"/>
      </w:pPr>
      <w:bookmarkStart w:id="117" w:name="_Toc239176414"/>
      <w:r>
        <w:t>Azure Active Directory B2C</w:t>
      </w:r>
      <w:bookmarkEnd w:id="115"/>
      <w:bookmarkEnd w:id="116"/>
      <w:bookmarkEnd w:id="117"/>
    </w:p>
    <w:p w14:paraId="322D15EB" w14:textId="77777777" w:rsidR="00755B76" w:rsidRPr="00EF7CF9" w:rsidRDefault="00755B76" w:rsidP="00F01ED6">
      <w:pPr>
        <w:pStyle w:val="ProductList-Body"/>
      </w:pPr>
      <w:r>
        <w:rPr>
          <w:b/>
          <w:color w:val="00188F"/>
        </w:rPr>
        <w:t>Definições Adicionais</w:t>
      </w:r>
      <w:r w:rsidRPr="00473DD3">
        <w:rPr>
          <w:b/>
          <w:color w:val="00188F"/>
        </w:rPr>
        <w:t>:</w:t>
      </w:r>
    </w:p>
    <w:p w14:paraId="06AEB968" w14:textId="4E9422E8" w:rsidR="00755B76" w:rsidRPr="00EF7CF9" w:rsidRDefault="00380305" w:rsidP="00F01ED6">
      <w:pPr>
        <w:pStyle w:val="ProductList-Body"/>
      </w:pPr>
      <w:r>
        <w:t>“</w:t>
      </w:r>
      <w:r w:rsidR="00755B76">
        <w:rPr>
          <w:b/>
          <w:color w:val="00188F"/>
        </w:rPr>
        <w:t>Minutos de Implementação</w:t>
      </w:r>
      <w:r>
        <w:t>”</w:t>
      </w:r>
      <w:r w:rsidR="00755B76">
        <w:t xml:space="preserve"> designa o número total de minutos para os quais um diretório do Azure AD B2C foi implementado durante um Período Aplicável.</w:t>
      </w:r>
    </w:p>
    <w:p w14:paraId="780B86DF" w14:textId="4744DAE1" w:rsidR="00755B76" w:rsidRPr="00EF7CF9" w:rsidRDefault="00380305" w:rsidP="00F01ED6">
      <w:pPr>
        <w:pStyle w:val="ProductList-Body"/>
      </w:pPr>
      <w:r>
        <w:t>“</w:t>
      </w:r>
      <w:r w:rsidR="00755B76">
        <w:rPr>
          <w:b/>
          <w:color w:val="00188F"/>
        </w:rPr>
        <w:t>Máximo de Minutos Disponíveis</w:t>
      </w:r>
      <w:r>
        <w:t>”</w:t>
      </w:r>
      <w:r w:rsidR="00755B76">
        <w:t xml:space="preserve"> designa a soma de todos os Minutos de Implementação em todos os Azure AD B2C numa determinada subscrição do Microsoft Azure durante um Período Aplicável. </w:t>
      </w:r>
    </w:p>
    <w:p w14:paraId="19F0FA33" w14:textId="6C287562" w:rsidR="00755B76" w:rsidRPr="00EF7CF9" w:rsidRDefault="00755B76" w:rsidP="00F01ED6">
      <w:pPr>
        <w:pStyle w:val="ProductList-Body"/>
      </w:pPr>
      <w:r>
        <w:rPr>
          <w:b/>
          <w:color w:val="00188F"/>
        </w:rPr>
        <w:t>Período de Indisponibilidade</w:t>
      </w:r>
      <w:r w:rsidRPr="00473DD3">
        <w:rPr>
          <w:b/>
          <w:color w:val="00188F"/>
        </w:rPr>
        <w:t>:</w:t>
      </w:r>
      <w:r>
        <w:t xml:space="preserve"> designa o total de minutos acumulados em todos os diretórios do Azure AD B2C implementados pelo Cliente numa determinada subscrição do Microsoft Azure durante a qual o serviço Azure AD B2C está indisponível. Considera-se um minuto como indisponível quando todas as tentativas de processamento da inscrição e do início de sessão dos utilizadores falham na devolução de tokens ou Códigos de Erro</w:t>
      </w:r>
      <w:r w:rsidR="0091227A">
        <w:t> </w:t>
      </w:r>
      <w:r>
        <w:t>válidos, ou não devolvem respostas num prazo de dois minutos.</w:t>
      </w:r>
    </w:p>
    <w:p w14:paraId="434CF9C7" w14:textId="48B982A8" w:rsidR="00755B76"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0117607" w14:textId="4CEEEE49" w:rsidR="00755B76" w:rsidRPr="00EF7CF9" w:rsidRDefault="00000000" w:rsidP="00566946">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78E9AF66" w14:textId="2F562858" w:rsidR="00755B76" w:rsidRPr="00EF7CF9" w:rsidRDefault="00755B7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D764696" w14:textId="77777777" w:rsidR="00755B76" w:rsidRPr="00EF7CF9" w:rsidRDefault="00755B76" w:rsidP="00F01ED6">
            <w:pPr>
              <w:pStyle w:val="ProductList-OfferingBody"/>
              <w:jc w:val="center"/>
              <w:rPr>
                <w:color w:val="FFFFFF" w:themeColor="background1"/>
              </w:rPr>
            </w:pPr>
            <w:r>
              <w:rPr>
                <w:color w:val="FFFFFF" w:themeColor="background1"/>
              </w:rPr>
              <w:t>Crédito de Serviço</w:t>
            </w:r>
          </w:p>
        </w:tc>
      </w:tr>
      <w:tr w:rsidR="00755B76" w:rsidRPr="00B44CF9" w14:paraId="77B0594E" w14:textId="77777777" w:rsidTr="00277097">
        <w:tc>
          <w:tcPr>
            <w:tcW w:w="5400" w:type="dxa"/>
          </w:tcPr>
          <w:p w14:paraId="6F12552A" w14:textId="77777777" w:rsidR="00755B76" w:rsidRPr="00EF7CF9" w:rsidRDefault="00755B76" w:rsidP="00F01ED6">
            <w:pPr>
              <w:pStyle w:val="ProductList-OfferingBody"/>
              <w:jc w:val="center"/>
            </w:pPr>
            <w:r>
              <w:t>&lt; 99,99%</w:t>
            </w:r>
          </w:p>
        </w:tc>
        <w:tc>
          <w:tcPr>
            <w:tcW w:w="5400" w:type="dxa"/>
          </w:tcPr>
          <w:p w14:paraId="2D5A2E56" w14:textId="77777777" w:rsidR="00755B76" w:rsidRPr="00EF7CF9" w:rsidRDefault="00755B76" w:rsidP="00F01ED6">
            <w:pPr>
              <w:pStyle w:val="ProductList-OfferingBody"/>
              <w:jc w:val="center"/>
            </w:pPr>
            <w:r>
              <w:t>10%</w:t>
            </w:r>
          </w:p>
        </w:tc>
      </w:tr>
      <w:tr w:rsidR="00755B76" w:rsidRPr="00B44CF9" w14:paraId="6E50DCFF" w14:textId="77777777" w:rsidTr="00277097">
        <w:tc>
          <w:tcPr>
            <w:tcW w:w="5400" w:type="dxa"/>
          </w:tcPr>
          <w:p w14:paraId="435EEACA" w14:textId="77777777" w:rsidR="00755B76" w:rsidRPr="00EF7CF9" w:rsidRDefault="00755B76" w:rsidP="00F01ED6">
            <w:pPr>
              <w:pStyle w:val="ProductList-OfferingBody"/>
              <w:jc w:val="center"/>
            </w:pPr>
            <w:r>
              <w:t>&lt; 99,9%</w:t>
            </w:r>
          </w:p>
        </w:tc>
        <w:tc>
          <w:tcPr>
            <w:tcW w:w="5400" w:type="dxa"/>
          </w:tcPr>
          <w:p w14:paraId="2B621F20" w14:textId="77777777" w:rsidR="00755B76" w:rsidRPr="00EF7CF9" w:rsidRDefault="00755B76" w:rsidP="00F01ED6">
            <w:pPr>
              <w:pStyle w:val="ProductList-OfferingBody"/>
              <w:jc w:val="center"/>
            </w:pPr>
            <w:r>
              <w:t>25%</w:t>
            </w:r>
          </w:p>
        </w:tc>
      </w:tr>
      <w:tr w:rsidR="00755B76" w:rsidRPr="00B44CF9" w14:paraId="68DAAEC5" w14:textId="77777777" w:rsidTr="00277097">
        <w:tc>
          <w:tcPr>
            <w:tcW w:w="5400" w:type="dxa"/>
          </w:tcPr>
          <w:p w14:paraId="2F3B22B1" w14:textId="77777777" w:rsidR="00755B76" w:rsidRPr="00EF7CF9" w:rsidRDefault="00755B76" w:rsidP="00F01ED6">
            <w:pPr>
              <w:pStyle w:val="ProductList-OfferingBody"/>
              <w:jc w:val="center"/>
            </w:pPr>
            <w:r>
              <w:t>&lt; 99%</w:t>
            </w:r>
          </w:p>
        </w:tc>
        <w:tc>
          <w:tcPr>
            <w:tcW w:w="5400" w:type="dxa"/>
          </w:tcPr>
          <w:p w14:paraId="0AAEA41D" w14:textId="77777777" w:rsidR="00755B76" w:rsidRPr="00EF7CF9" w:rsidRDefault="00755B76" w:rsidP="00F01ED6">
            <w:pPr>
              <w:pStyle w:val="ProductList-OfferingBody"/>
              <w:jc w:val="center"/>
            </w:pPr>
            <w:r>
              <w:t>50%</w:t>
            </w:r>
          </w:p>
        </w:tc>
      </w:tr>
      <w:tr w:rsidR="00755B76" w:rsidRPr="00B44CF9" w14:paraId="3FA76B9B" w14:textId="77777777" w:rsidTr="00277097">
        <w:tc>
          <w:tcPr>
            <w:tcW w:w="5400" w:type="dxa"/>
          </w:tcPr>
          <w:p w14:paraId="286FAB49" w14:textId="77777777" w:rsidR="00755B76" w:rsidRPr="00EF7CF9" w:rsidRDefault="00755B76" w:rsidP="00F01ED6">
            <w:pPr>
              <w:pStyle w:val="ProductList-OfferingBody"/>
              <w:jc w:val="center"/>
            </w:pPr>
            <w:r>
              <w:t>&lt; 95%</w:t>
            </w:r>
          </w:p>
        </w:tc>
        <w:tc>
          <w:tcPr>
            <w:tcW w:w="5400" w:type="dxa"/>
          </w:tcPr>
          <w:p w14:paraId="5F0AE2B0" w14:textId="77777777" w:rsidR="00755B76" w:rsidRPr="00EF7CF9" w:rsidRDefault="00755B76" w:rsidP="00F01ED6">
            <w:pPr>
              <w:pStyle w:val="ProductList-OfferingBody"/>
              <w:jc w:val="center"/>
            </w:pPr>
            <w:r>
              <w:t>100%</w:t>
            </w:r>
          </w:p>
        </w:tc>
      </w:tr>
    </w:tbl>
    <w:p w14:paraId="7EA83E7D"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CD06780" w14:textId="74633485" w:rsidR="004005AF" w:rsidRPr="00EF7CF9" w:rsidRDefault="004A17FE" w:rsidP="00F01ED6">
      <w:pPr>
        <w:pStyle w:val="ProductList-Offering2Heading"/>
        <w:tabs>
          <w:tab w:val="clear" w:pos="360"/>
          <w:tab w:val="clear" w:pos="720"/>
          <w:tab w:val="clear" w:pos="1080"/>
        </w:tabs>
        <w:outlineLvl w:val="2"/>
      </w:pPr>
      <w:bookmarkStart w:id="118" w:name="_Toc239176415"/>
      <w:r>
        <w:t>Microsoft Entra</w:t>
      </w:r>
      <w:r w:rsidR="004005AF">
        <w:t xml:space="preserve"> Domain Services</w:t>
      </w:r>
      <w:bookmarkEnd w:id="112"/>
      <w:bookmarkEnd w:id="118"/>
    </w:p>
    <w:p w14:paraId="721F8060" w14:textId="77777777" w:rsidR="004005AF" w:rsidRPr="00EF7CF9" w:rsidRDefault="004005AF" w:rsidP="00F01ED6">
      <w:pPr>
        <w:pStyle w:val="ProductList-Body"/>
      </w:pPr>
      <w:r>
        <w:rPr>
          <w:b/>
          <w:color w:val="00188F"/>
        </w:rPr>
        <w:t>Definições Adicionais</w:t>
      </w:r>
      <w:r w:rsidRPr="00473DD3">
        <w:rPr>
          <w:b/>
          <w:color w:val="00188F"/>
        </w:rPr>
        <w:t>:</w:t>
      </w:r>
    </w:p>
    <w:p w14:paraId="3D8CCBC6" w14:textId="62383CEA" w:rsidR="004005AF" w:rsidRPr="00EF7CF9" w:rsidRDefault="00380305" w:rsidP="00F01ED6">
      <w:pPr>
        <w:spacing w:after="0" w:line="240" w:lineRule="auto"/>
        <w:rPr>
          <w:sz w:val="18"/>
        </w:rPr>
      </w:pPr>
      <w:r>
        <w:rPr>
          <w:sz w:val="18"/>
        </w:rPr>
        <w:t>“</w:t>
      </w:r>
      <w:r w:rsidR="004005AF">
        <w:rPr>
          <w:b/>
          <w:color w:val="00188F"/>
          <w:sz w:val="18"/>
        </w:rPr>
        <w:t>Domínio Gerido</w:t>
      </w:r>
      <w:r>
        <w:rPr>
          <w:sz w:val="18"/>
        </w:rPr>
        <w:t>”</w:t>
      </w:r>
      <w:r w:rsidR="004005AF">
        <w:rPr>
          <w:sz w:val="18"/>
        </w:rPr>
        <w:t xml:space="preserve"> </w:t>
      </w:r>
      <w:r w:rsidR="00DB405B">
        <w:rPr>
          <w:rFonts w:ascii="Calibri" w:hAnsi="Calibri" w:cs="Calibri"/>
          <w:sz w:val="18"/>
        </w:rPr>
        <w:t>designa um domínio do Active Directory que é aprovisionado e gerido pelo Microsoft Entra Domain Services</w:t>
      </w:r>
    </w:p>
    <w:p w14:paraId="5D725028" w14:textId="6F59D178" w:rsidR="004005AF" w:rsidRPr="00EF7CF9" w:rsidRDefault="00380305" w:rsidP="00F01ED6">
      <w:pPr>
        <w:spacing w:after="0" w:line="240" w:lineRule="auto"/>
        <w:rPr>
          <w:sz w:val="18"/>
        </w:rPr>
      </w:pPr>
      <w:r>
        <w:rPr>
          <w:sz w:val="18"/>
        </w:rPr>
        <w:t>“</w:t>
      </w:r>
      <w:r w:rsidR="004005AF">
        <w:rPr>
          <w:b/>
          <w:color w:val="00188F"/>
          <w:sz w:val="18"/>
        </w:rPr>
        <w:t>Máximo de Minutos Disponíveis</w:t>
      </w:r>
      <w:r>
        <w:rPr>
          <w:sz w:val="18"/>
        </w:rPr>
        <w:t>”</w:t>
      </w:r>
      <w:r w:rsidR="004005AF">
        <w:rPr>
          <w:sz w:val="18"/>
        </w:rPr>
        <w:t xml:space="preserve"> designa o número total de minutos durante os quais um determinado Domínio Gerido foi implementado pelo Cliente no Microsoft Azure durante um Período Aplicável numa determinada subscrição do Microsoft Azure. </w:t>
      </w:r>
    </w:p>
    <w:p w14:paraId="0579F796" w14:textId="3C0B6E0E" w:rsidR="004005AF" w:rsidRPr="00EF7CF9" w:rsidRDefault="00380305" w:rsidP="00F01ED6">
      <w:pPr>
        <w:spacing w:after="0" w:line="240" w:lineRule="auto"/>
        <w:rPr>
          <w:sz w:val="18"/>
        </w:rPr>
      </w:pPr>
      <w:r>
        <w:rPr>
          <w:sz w:val="18"/>
        </w:rPr>
        <w:t>“</w:t>
      </w:r>
      <w:r w:rsidR="004005AF">
        <w:rPr>
          <w:b/>
          <w:color w:val="00188F"/>
          <w:sz w:val="18"/>
        </w:rPr>
        <w:t>Período de Indisponibilidade</w:t>
      </w:r>
      <w:r>
        <w:rPr>
          <w:sz w:val="18"/>
        </w:rPr>
        <w:t>”</w:t>
      </w:r>
      <w:r w:rsidR="004005AF">
        <w:rPr>
          <w:sz w:val="18"/>
        </w:rPr>
        <w:t xml:space="preserve"> designa o total de minutos acumulados durante um Período Aplicável para uma determinada subscrição do Microsoft Azure durante o qual um determinado Domínio Gerido está indisponível. Um minuto é considerado indisponível se todos os pedidos de </w:t>
      </w:r>
      <w:r w:rsidR="004005AF">
        <w:rPr>
          <w:sz w:val="18"/>
        </w:rPr>
        <w:lastRenderedPageBreak/>
        <w:t>autenticação de domínio das contas de utilizador pertencentes ao Domínio Gerido, ao enlace LDAP ao DSE de raiz ou à Pesquisa de registos de DNS, efetuados a partir da rede virtual onde o Domínio Gerido está ativado, devolverem um Código de Erro ou não conseguirem devolver um Código de Êxito num prazo de 30 segundos.</w:t>
      </w:r>
    </w:p>
    <w:p w14:paraId="331BDBEE" w14:textId="47099692" w:rsidR="004005AF"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 </w:t>
      </w:r>
    </w:p>
    <w:p w14:paraId="46E9969E" w14:textId="10092107" w:rsidR="004005AF" w:rsidRPr="00A2017D" w:rsidRDefault="00000000" w:rsidP="0056694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97C9CA5" w14:textId="77777777" w:rsidR="009A306C" w:rsidRPr="00523950" w:rsidRDefault="009A306C" w:rsidP="009A306C">
      <w:pPr>
        <w:pStyle w:val="ProductList-Body"/>
        <w:rPr>
          <w:rFonts w:ascii="Calibri" w:hAnsi="Calibri" w:cs="Calibri"/>
        </w:rPr>
      </w:pPr>
      <w:r>
        <w:rPr>
          <w:rFonts w:ascii="Calibri" w:hAnsi="Calibri" w:cs="Calibri"/>
          <w:b/>
          <w:color w:val="00188F"/>
        </w:rPr>
        <w:t>Os Níveis de Serviço e os Créditos de Serviço são aplicáveis à utilização que o Cliente faz do Microsoft Entra Domain Services</w:t>
      </w:r>
      <w:r w:rsidRPr="00D9200D">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85748E1"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4A555B0C" w14:textId="77777777" w:rsidTr="00277097">
        <w:tc>
          <w:tcPr>
            <w:tcW w:w="5400" w:type="dxa"/>
          </w:tcPr>
          <w:p w14:paraId="57774921" w14:textId="77777777" w:rsidR="004005AF" w:rsidRPr="00EF7CF9" w:rsidRDefault="004005AF" w:rsidP="00F01ED6">
            <w:pPr>
              <w:pStyle w:val="ProductList-OfferingBody"/>
              <w:jc w:val="center"/>
            </w:pPr>
            <w:r>
              <w:t>&lt; 99,9%</w:t>
            </w:r>
          </w:p>
        </w:tc>
        <w:tc>
          <w:tcPr>
            <w:tcW w:w="5400" w:type="dxa"/>
          </w:tcPr>
          <w:p w14:paraId="163D5793" w14:textId="77777777" w:rsidR="004005AF" w:rsidRPr="00EF7CF9" w:rsidRDefault="004005AF" w:rsidP="00F01ED6">
            <w:pPr>
              <w:pStyle w:val="ProductList-OfferingBody"/>
              <w:jc w:val="center"/>
            </w:pPr>
            <w:r>
              <w:t>10%</w:t>
            </w:r>
          </w:p>
        </w:tc>
      </w:tr>
      <w:tr w:rsidR="004005AF" w:rsidRPr="00B44CF9" w14:paraId="2CF44EFD" w14:textId="77777777" w:rsidTr="00277097">
        <w:tc>
          <w:tcPr>
            <w:tcW w:w="5400" w:type="dxa"/>
          </w:tcPr>
          <w:p w14:paraId="4792C17D" w14:textId="77777777" w:rsidR="004005AF" w:rsidRPr="00EF7CF9" w:rsidRDefault="004005AF" w:rsidP="00F01ED6">
            <w:pPr>
              <w:pStyle w:val="ProductList-OfferingBody"/>
              <w:keepNext/>
              <w:jc w:val="center"/>
            </w:pPr>
            <w:r>
              <w:t>&lt; 99%</w:t>
            </w:r>
          </w:p>
        </w:tc>
        <w:tc>
          <w:tcPr>
            <w:tcW w:w="5400" w:type="dxa"/>
          </w:tcPr>
          <w:p w14:paraId="6415A1FD" w14:textId="77777777" w:rsidR="004005AF" w:rsidRPr="00EF7CF9" w:rsidRDefault="004005AF" w:rsidP="00F01ED6">
            <w:pPr>
              <w:pStyle w:val="ProductList-OfferingBody"/>
              <w:jc w:val="center"/>
            </w:pPr>
            <w:r>
              <w:t>25%</w:t>
            </w:r>
          </w:p>
        </w:tc>
      </w:tr>
    </w:tbl>
    <w:bookmarkStart w:id="119" w:name="_Toc52348917"/>
    <w:p w14:paraId="455A63F7"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CEBBAD9" w14:textId="77777777" w:rsidR="004005AF" w:rsidRPr="00EF7CF9" w:rsidRDefault="004005AF" w:rsidP="00F01ED6">
      <w:pPr>
        <w:pStyle w:val="ProductList-Offering2Heading"/>
        <w:tabs>
          <w:tab w:val="clear" w:pos="360"/>
          <w:tab w:val="clear" w:pos="720"/>
          <w:tab w:val="clear" w:pos="1080"/>
        </w:tabs>
        <w:outlineLvl w:val="2"/>
      </w:pPr>
      <w:bookmarkStart w:id="120" w:name="_Toc239176416"/>
      <w:r>
        <w:t>Analysis Services</w:t>
      </w:r>
      <w:bookmarkEnd w:id="119"/>
      <w:bookmarkEnd w:id="120"/>
    </w:p>
    <w:p w14:paraId="5A6C05E0" w14:textId="77777777" w:rsidR="004005AF" w:rsidRPr="00EF7CF9" w:rsidRDefault="004005AF" w:rsidP="00F01ED6">
      <w:pPr>
        <w:pStyle w:val="ProductList-Body"/>
      </w:pPr>
      <w:r>
        <w:rPr>
          <w:b/>
          <w:color w:val="00188F"/>
        </w:rPr>
        <w:t>Definições Adicionais</w:t>
      </w:r>
      <w:r w:rsidRPr="00473DD3">
        <w:rPr>
          <w:b/>
          <w:color w:val="00188F"/>
        </w:rPr>
        <w:t>:</w:t>
      </w:r>
    </w:p>
    <w:p w14:paraId="7D2A438E" w14:textId="66227AC1" w:rsidR="004005AF" w:rsidRPr="00EF7CF9" w:rsidRDefault="00380305" w:rsidP="00F01ED6">
      <w:pPr>
        <w:pStyle w:val="ProductList-Body"/>
      </w:pPr>
      <w:r>
        <w:t>“</w:t>
      </w:r>
      <w:r w:rsidR="004005AF">
        <w:rPr>
          <w:b/>
          <w:color w:val="00188F"/>
        </w:rPr>
        <w:t>Servir</w:t>
      </w:r>
      <w:r>
        <w:t>”</w:t>
      </w:r>
      <w:r w:rsidR="004005AF">
        <w:t xml:space="preserve"> designa qualquer servidor do Azure Analysis Services. </w:t>
      </w:r>
    </w:p>
    <w:p w14:paraId="596E8EFA" w14:textId="55FA2EEC" w:rsidR="004005AF" w:rsidRPr="00EF7CF9" w:rsidRDefault="00380305" w:rsidP="00F01ED6">
      <w:pPr>
        <w:pStyle w:val="ProductList-Body"/>
      </w:pPr>
      <w:r>
        <w:t>“</w:t>
      </w:r>
      <w:r w:rsidR="004005AF">
        <w:rPr>
          <w:b/>
          <w:color w:val="00188F"/>
        </w:rPr>
        <w:t>Máximo de Minutos Disponíveis</w:t>
      </w:r>
      <w:r>
        <w:t>”</w:t>
      </w:r>
      <w:r w:rsidR="004005AF">
        <w:t xml:space="preserve"> designa o número total de minutos durante os quais um determinado Servidor foi implementado no Microsoft Azure durante um Período Aplicável numa determinada subscrição do Microsoft Azure. </w:t>
      </w:r>
    </w:p>
    <w:p w14:paraId="016FF859" w14:textId="7CDC413D" w:rsidR="004005AF" w:rsidRPr="00EF7CF9" w:rsidRDefault="00380305" w:rsidP="00F01ED6">
      <w:pPr>
        <w:pStyle w:val="ProductList-Body"/>
      </w:pPr>
      <w:r>
        <w:t>“</w:t>
      </w:r>
      <w:r w:rsidR="004005AF">
        <w:rPr>
          <w:b/>
          <w:color w:val="00188F"/>
        </w:rPr>
        <w:t>Operações do Cliente</w:t>
      </w:r>
      <w:r>
        <w:t>”</w:t>
      </w:r>
      <w:r w:rsidR="004005AF">
        <w:t xml:space="preserve"> é o conjunto de todas as operações documentadas suportadas pelo Azure Analysis Services. </w:t>
      </w:r>
    </w:p>
    <w:p w14:paraId="21FC0AC4" w14:textId="4307BA23" w:rsidR="004005AF" w:rsidRPr="00EF7CF9" w:rsidRDefault="004005AF" w:rsidP="00F01ED6">
      <w:pPr>
        <w:pStyle w:val="ProductList-Body"/>
      </w:pPr>
      <w:r>
        <w:rPr>
          <w:b/>
          <w:color w:val="00188F"/>
        </w:rPr>
        <w:t>Período de Indisponibilidade</w:t>
      </w:r>
      <w:r w:rsidRPr="00473DD3">
        <w:rPr>
          <w:b/>
          <w:color w:val="00188F"/>
        </w:rPr>
        <w:t>:</w:t>
      </w:r>
      <w:r>
        <w:t xml:space="preserve"> designa o total de minutos acumulados durante um Período Aplicável para uma determinada subscrição do Microsoft Azure durante o qual uma determinada Base de Dados está indisponível. Um minuto é considerado indisponível para um determinado Servidor se mais de 1% de todas as Operações do Cliente completadas durante esse minuto devolverem um Código de Erro.</w:t>
      </w:r>
    </w:p>
    <w:p w14:paraId="721BF4F7" w14:textId="5FFD455B" w:rsidR="004005AF"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para um determinado Servidor é calculada com a</w:t>
      </w:r>
      <w:r w:rsidR="008331CE">
        <w:t> </w:t>
      </w:r>
      <w:r>
        <w:t xml:space="preserve">seguinte fórmula: </w:t>
      </w:r>
    </w:p>
    <w:p w14:paraId="2CB3F24D" w14:textId="1E9CE803" w:rsidR="004005AF" w:rsidRPr="00EF7CF9" w:rsidRDefault="00000000" w:rsidP="00566946">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E634174" w14:textId="77777777" w:rsidR="004005AF" w:rsidRPr="00EF7CF9" w:rsidRDefault="004005AF"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D0CF539"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09B811D6" w14:textId="77777777" w:rsidTr="00277097">
        <w:tc>
          <w:tcPr>
            <w:tcW w:w="5400" w:type="dxa"/>
          </w:tcPr>
          <w:p w14:paraId="300AB5B4" w14:textId="77777777" w:rsidR="004005AF" w:rsidRPr="00EF7CF9" w:rsidRDefault="004005AF" w:rsidP="00F01ED6">
            <w:pPr>
              <w:pStyle w:val="ProductList-OfferingBody"/>
              <w:jc w:val="center"/>
            </w:pPr>
            <w:r>
              <w:t>&lt; 99,9%</w:t>
            </w:r>
          </w:p>
        </w:tc>
        <w:tc>
          <w:tcPr>
            <w:tcW w:w="5400" w:type="dxa"/>
          </w:tcPr>
          <w:p w14:paraId="25E97EF4" w14:textId="77777777" w:rsidR="004005AF" w:rsidRPr="00EF7CF9" w:rsidRDefault="004005AF" w:rsidP="00F01ED6">
            <w:pPr>
              <w:pStyle w:val="ProductList-OfferingBody"/>
              <w:jc w:val="center"/>
            </w:pPr>
            <w:r>
              <w:t>10%</w:t>
            </w:r>
          </w:p>
        </w:tc>
      </w:tr>
      <w:tr w:rsidR="004005AF" w:rsidRPr="00B44CF9" w14:paraId="611B2312" w14:textId="77777777" w:rsidTr="00277097">
        <w:tc>
          <w:tcPr>
            <w:tcW w:w="5400" w:type="dxa"/>
          </w:tcPr>
          <w:p w14:paraId="7591053F" w14:textId="77777777" w:rsidR="004005AF" w:rsidRPr="00EF7CF9" w:rsidRDefault="004005AF" w:rsidP="00F01ED6">
            <w:pPr>
              <w:pStyle w:val="ProductList-OfferingBody"/>
              <w:jc w:val="center"/>
            </w:pPr>
            <w:r>
              <w:t>&lt; 99%</w:t>
            </w:r>
          </w:p>
        </w:tc>
        <w:tc>
          <w:tcPr>
            <w:tcW w:w="5400" w:type="dxa"/>
          </w:tcPr>
          <w:p w14:paraId="57833F2A" w14:textId="77777777" w:rsidR="004005AF" w:rsidRPr="00EF7CF9" w:rsidRDefault="004005AF" w:rsidP="00F01ED6">
            <w:pPr>
              <w:pStyle w:val="ProductList-OfferingBody"/>
              <w:jc w:val="center"/>
            </w:pPr>
            <w:r>
              <w:t>25%</w:t>
            </w:r>
          </w:p>
        </w:tc>
      </w:tr>
    </w:tbl>
    <w:bookmarkStart w:id="121" w:name="_Toc52348918"/>
    <w:p w14:paraId="57E47E40"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DB89434" w14:textId="77777777" w:rsidR="00BE5E98" w:rsidRPr="00966705" w:rsidRDefault="00BE5E98" w:rsidP="00F01ED6">
      <w:pPr>
        <w:pStyle w:val="ProductList-Offering2Heading"/>
        <w:keepNext/>
        <w:tabs>
          <w:tab w:val="clear" w:pos="360"/>
          <w:tab w:val="clear" w:pos="720"/>
          <w:tab w:val="clear" w:pos="1080"/>
        </w:tabs>
        <w:outlineLvl w:val="2"/>
      </w:pPr>
      <w:bookmarkStart w:id="122" w:name="_Toc239176417"/>
      <w:r>
        <w:t>Azure API for FHIR</w:t>
      </w:r>
      <w:bookmarkEnd w:id="122"/>
    </w:p>
    <w:p w14:paraId="0D1A6CEE" w14:textId="640920AB" w:rsidR="00BE5E98" w:rsidRDefault="00380305" w:rsidP="00F01ED6">
      <w:pPr>
        <w:pStyle w:val="ProductList-Body"/>
      </w:pPr>
      <w:r>
        <w:t>“</w:t>
      </w:r>
      <w:r w:rsidR="00BE5E98">
        <w:rPr>
          <w:b/>
          <w:color w:val="00188F"/>
        </w:rPr>
        <w:t>Total de Tentativas de Transação</w:t>
      </w:r>
      <w:r>
        <w:t>”</w:t>
      </w:r>
      <w:r w:rsidR="00BE5E98">
        <w:t xml:space="preserve"> é o número total de pedidos autenticados do Azure API for FHIR efetuado pelo Cliente durante um Período Aplicável para uma determinada subscrição do Microsoft Azure. O Total de Tentativas de Transação não inclui os pedidos de API que devolvem um</w:t>
      </w:r>
      <w:r w:rsidR="00332CEE">
        <w:t> </w:t>
      </w:r>
      <w:r w:rsidR="00BE5E98">
        <w:t>Código de Erro e que são repetidos continuamente num intervalo de cinco minutos após a receção do primeiro Código de Erro.</w:t>
      </w:r>
    </w:p>
    <w:p w14:paraId="08CF0094" w14:textId="4A3C71FB" w:rsidR="00BE5E98" w:rsidRDefault="00380305" w:rsidP="00F01ED6">
      <w:pPr>
        <w:pStyle w:val="ProductList-Body"/>
      </w:pPr>
      <w:r>
        <w:t>“</w:t>
      </w:r>
      <w:r w:rsidR="00BE5E98">
        <w:rPr>
          <w:b/>
          <w:color w:val="00188F"/>
        </w:rPr>
        <w:t>Transações com Falha</w:t>
      </w:r>
      <w:r>
        <w:t>”</w:t>
      </w:r>
      <w:r w:rsidR="00BE5E98">
        <w:t xml:space="preserve"> é o conjunto de todos os pedidos incluídos no Total de Tentativas de Transação que resultam num Código de Erro ou que, de outro modo, não devolvem um Código de Êxito no prazo de 60 segundos após a receção por parte do Serviço Azure API for FHIR.</w:t>
      </w:r>
    </w:p>
    <w:p w14:paraId="63162907" w14:textId="79B0863D" w:rsidR="00BE5E98" w:rsidRPr="00E53123" w:rsidRDefault="00EE6E3C" w:rsidP="00F01ED6">
      <w:pPr>
        <w:pStyle w:val="ProductList-Body"/>
        <w:rPr>
          <w:b/>
          <w:color w:val="00188F"/>
        </w:rPr>
      </w:pPr>
      <w:r>
        <w:rPr>
          <w:b/>
          <w:color w:val="00188F"/>
        </w:rPr>
        <w:t>Cálculo do Período de Disponibilidade</w:t>
      </w:r>
    </w:p>
    <w:p w14:paraId="6430E0E2" w14:textId="112D934C" w:rsidR="00BE5E98" w:rsidRDefault="00BE5E98" w:rsidP="00F01ED6">
      <w:pPr>
        <w:pStyle w:val="ProductList-Body"/>
      </w:pPr>
      <w:r>
        <w:t xml:space="preserve">A </w:t>
      </w:r>
      <w:r w:rsidR="00380305">
        <w:t>“</w:t>
      </w:r>
      <w:r>
        <w:t>Percentagem de Período de Disponibilidade</w:t>
      </w:r>
      <w:r w:rsidR="00380305">
        <w:t>”</w:t>
      </w:r>
      <w:r>
        <w:t xml:space="preserve"> para o Azure API for FHIR é calculada como o Total de Tentativas de Transação menos as Transações com Falha dividido pelo Total de Tentativas de Transação multiplicado por 100. A Percentagem de Período de Disponibilidade é</w:t>
      </w:r>
      <w:r w:rsidR="00F44E86">
        <w:t> </w:t>
      </w:r>
      <w:r>
        <w:t>representada pela seguinte fórmula:</w:t>
      </w:r>
    </w:p>
    <w:p w14:paraId="4F5A4D70" w14:textId="64DAC331" w:rsidR="00BE5E98" w:rsidRPr="00EF7CF9" w:rsidRDefault="00000000" w:rsidP="00F01ED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Tentativas de Transação - Transações com Falha</m:t>
              </m:r>
            </m:num>
            <m:den>
              <m:r>
                <m:rPr>
                  <m:nor/>
                </m:rPr>
                <w:rPr>
                  <w:rFonts w:ascii="Cambria Math" w:hAnsi="Cambria Math" w:cs="Calibri"/>
                  <w:i/>
                  <w:iCs/>
                  <w:sz w:val="18"/>
                  <w:szCs w:val="18"/>
                </w:rPr>
                <m:t>Total de Tentativas de Transação</m:t>
              </m:r>
            </m:den>
          </m:f>
          <m:r>
            <w:rPr>
              <w:rFonts w:ascii="Cambria Math" w:hAnsi="Cambria Math" w:cs="Calibri"/>
              <w:sz w:val="18"/>
              <w:szCs w:val="18"/>
            </w:rPr>
            <m:t xml:space="preserve"> x 100</m:t>
          </m:r>
        </m:oMath>
      </m:oMathPara>
    </w:p>
    <w:p w14:paraId="49903A9B" w14:textId="77777777" w:rsidR="00BE5E98" w:rsidRDefault="00BE5E98" w:rsidP="00F01ED6">
      <w:pPr>
        <w:pStyle w:val="ProductList-Body"/>
      </w:pPr>
      <w:r>
        <w:t>Os seguintes Níveis de Serviço e Créditos de Serviço são aplicáveis ao Azure API for FHIR:</w:t>
      </w:r>
    </w:p>
    <w:p w14:paraId="3D2538E1" w14:textId="77777777" w:rsidR="00BE5E98" w:rsidRPr="00EF7CF9" w:rsidRDefault="00BE5E98"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A46F761" w14:textId="77777777" w:rsidR="00BE5E98" w:rsidRPr="00EF7CF9" w:rsidRDefault="00BE5E98" w:rsidP="00F01ED6">
            <w:pPr>
              <w:pStyle w:val="ProductList-OfferingBody"/>
              <w:jc w:val="center"/>
              <w:rPr>
                <w:color w:val="FFFFFF" w:themeColor="background1"/>
              </w:rPr>
            </w:pPr>
            <w:r>
              <w:rPr>
                <w:color w:val="FFFFFF" w:themeColor="background1"/>
              </w:rPr>
              <w:t>Crédito de Serviço</w:t>
            </w:r>
          </w:p>
        </w:tc>
      </w:tr>
      <w:tr w:rsidR="00BE5E98" w:rsidRPr="00B44CF9" w14:paraId="1F772872" w14:textId="77777777" w:rsidTr="000F31B4">
        <w:tc>
          <w:tcPr>
            <w:tcW w:w="5400" w:type="dxa"/>
          </w:tcPr>
          <w:p w14:paraId="5ED40FF8" w14:textId="77777777" w:rsidR="00BE5E98" w:rsidRPr="00EF7CF9" w:rsidRDefault="00BE5E98" w:rsidP="00F01ED6">
            <w:pPr>
              <w:pStyle w:val="ProductList-OfferingBody"/>
              <w:jc w:val="center"/>
            </w:pPr>
            <w:r>
              <w:t>&lt; 99,9%</w:t>
            </w:r>
          </w:p>
        </w:tc>
        <w:tc>
          <w:tcPr>
            <w:tcW w:w="5400" w:type="dxa"/>
          </w:tcPr>
          <w:p w14:paraId="087584E0" w14:textId="77777777" w:rsidR="00BE5E98" w:rsidRPr="00EF7CF9" w:rsidRDefault="00BE5E98" w:rsidP="00F01ED6">
            <w:pPr>
              <w:pStyle w:val="ProductList-OfferingBody"/>
              <w:jc w:val="center"/>
            </w:pPr>
            <w:r>
              <w:t>10%</w:t>
            </w:r>
          </w:p>
        </w:tc>
      </w:tr>
      <w:tr w:rsidR="00BE5E98" w:rsidRPr="00B44CF9" w14:paraId="59510B73" w14:textId="77777777" w:rsidTr="000F31B4">
        <w:tc>
          <w:tcPr>
            <w:tcW w:w="5400" w:type="dxa"/>
          </w:tcPr>
          <w:p w14:paraId="39575131" w14:textId="77777777" w:rsidR="00BE5E98" w:rsidRPr="00EF7CF9" w:rsidRDefault="00BE5E98" w:rsidP="00F01ED6">
            <w:pPr>
              <w:pStyle w:val="ProductList-OfferingBody"/>
              <w:jc w:val="center"/>
            </w:pPr>
            <w:r>
              <w:t>&lt; 99%</w:t>
            </w:r>
          </w:p>
        </w:tc>
        <w:tc>
          <w:tcPr>
            <w:tcW w:w="5400" w:type="dxa"/>
          </w:tcPr>
          <w:p w14:paraId="65D28BFB" w14:textId="77777777" w:rsidR="00BE5E98" w:rsidRPr="00EF7CF9" w:rsidRDefault="00BE5E98" w:rsidP="00F01ED6">
            <w:pPr>
              <w:pStyle w:val="ProductList-OfferingBody"/>
              <w:jc w:val="center"/>
            </w:pPr>
            <w:r>
              <w:t>25%</w:t>
            </w:r>
          </w:p>
        </w:tc>
      </w:tr>
    </w:tbl>
    <w:p w14:paraId="68E86395"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5A2758E" w14:textId="5CC89C70" w:rsidR="001D4537" w:rsidRDefault="00927E3F" w:rsidP="00173870">
      <w:pPr>
        <w:pStyle w:val="ProductList-Offering2Heading"/>
        <w:keepNext/>
        <w:keepLines/>
        <w:tabs>
          <w:tab w:val="clear" w:pos="360"/>
          <w:tab w:val="clear" w:pos="720"/>
          <w:tab w:val="clear" w:pos="1080"/>
        </w:tabs>
        <w:outlineLvl w:val="2"/>
        <w:rPr>
          <w:rFonts w:ascii="Calibri Light (Heading)" w:hAnsi="Calibri Light (Heading)" w:cs="Calibri Light"/>
        </w:rPr>
      </w:pPr>
      <w:bookmarkStart w:id="123" w:name="_Toc239176418"/>
      <w:r>
        <w:lastRenderedPageBreak/>
        <w:t>Servi</w:t>
      </w:r>
      <w:r w:rsidR="00B06335">
        <w:rPr>
          <w:rFonts w:ascii="Calibri Light (Heading)" w:hAnsi="Calibri Light (Heading)" w:cs="Calibri Light"/>
        </w:rPr>
        <w:t>ços do Centro de APIs</w:t>
      </w:r>
      <w:bookmarkEnd w:id="123"/>
    </w:p>
    <w:p w14:paraId="1E0F5010" w14:textId="2FED247B" w:rsidR="00A5229D" w:rsidRPr="0018346E" w:rsidRDefault="00A5229D" w:rsidP="00A5229D">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Definições Adicionais:</w:t>
      </w:r>
    </w:p>
    <w:p w14:paraId="4C7F3786" w14:textId="379D4BD0" w:rsidR="00A5229D" w:rsidRPr="0018346E" w:rsidRDefault="00A5229D" w:rsidP="00A5229D">
      <w:pPr>
        <w:spacing w:after="0" w:line="240" w:lineRule="auto"/>
        <w:textAlignment w:val="baseline"/>
        <w:rPr>
          <w:rFonts w:ascii="Calibri" w:eastAsia="Calibri" w:hAnsi="Calibri" w:cs="Arial"/>
          <w:sz w:val="18"/>
        </w:rPr>
      </w:pPr>
      <w:r>
        <w:rPr>
          <w:rFonts w:ascii="Calibri" w:hAnsi="Calibri" w:cs="Calibri"/>
          <w:b/>
          <w:color w:val="00188F"/>
          <w:sz w:val="18"/>
          <w:szCs w:val="18"/>
        </w:rPr>
        <w:t>Minutos de Implementação:</w:t>
      </w:r>
      <w:r>
        <w:rPr>
          <w:rFonts w:ascii="Calibri" w:eastAsia="Calibri" w:hAnsi="Calibri" w:cs="Arial"/>
          <w:color w:val="FF0000"/>
          <w:sz w:val="18"/>
        </w:rPr>
        <w:t xml:space="preserve"> </w:t>
      </w:r>
      <w:r>
        <w:rPr>
          <w:rFonts w:ascii="Calibri" w:eastAsia="Calibri" w:hAnsi="Calibri" w:cs="Arial"/>
          <w:sz w:val="18"/>
        </w:rPr>
        <w:t>designa o número total de minutos para os quais uma instância do Centro de APIs foi comprada durante um Período Aplicável.</w:t>
      </w:r>
    </w:p>
    <w:p w14:paraId="4781F4FC" w14:textId="28724F31" w:rsidR="00A5229D" w:rsidRPr="0018346E" w:rsidRDefault="00A5229D" w:rsidP="00A5229D">
      <w:pPr>
        <w:spacing w:after="0" w:line="240" w:lineRule="auto"/>
        <w:textAlignment w:val="baseline"/>
        <w:rPr>
          <w:rFonts w:ascii="Calibri" w:eastAsia="Calibri" w:hAnsi="Calibri" w:cs="Arial"/>
          <w:sz w:val="18"/>
        </w:rPr>
      </w:pPr>
      <w:r>
        <w:rPr>
          <w:rFonts w:ascii="Calibri" w:hAnsi="Calibri" w:cs="Calibri"/>
          <w:b/>
          <w:color w:val="00188F"/>
          <w:sz w:val="18"/>
          <w:szCs w:val="18"/>
        </w:rPr>
        <w:t>Ativos:</w:t>
      </w:r>
      <w:r>
        <w:rPr>
          <w:rFonts w:ascii="Calibri" w:eastAsia="Calibri" w:hAnsi="Calibri" w:cs="Arial"/>
          <w:sz w:val="18"/>
        </w:rPr>
        <w:t xml:space="preserve"> designa qualquer registo de ativos do Centro de APIs numa instância do Centro de APIs (tais como APIs, Definições de APIs, Versões de APIs, Implementações de APIs, Ambientes, Metadados).</w:t>
      </w:r>
    </w:p>
    <w:p w14:paraId="5FA03133" w14:textId="4454E278" w:rsidR="00A5229D" w:rsidRPr="005D18E1" w:rsidRDefault="00A5229D" w:rsidP="00A5229D">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Máximo de Minutos Disponíveis:</w:t>
      </w:r>
      <w:r>
        <w:rPr>
          <w:rFonts w:ascii="Calibri" w:eastAsia="Calibri" w:hAnsi="Calibri" w:cs="Arial"/>
          <w:color w:val="FF0000"/>
          <w:sz w:val="18"/>
        </w:rPr>
        <w:t xml:space="preserve"> </w:t>
      </w:r>
      <w:r>
        <w:rPr>
          <w:rFonts w:ascii="Calibri" w:eastAsia="Calibri" w:hAnsi="Calibri" w:cs="Arial"/>
          <w:sz w:val="18"/>
        </w:rPr>
        <w:t>designa a soma de todos os Minutos de Implementação para uma instância do Centro de APIs Dados associada a uma determinada subscrição do Microsoft Azure durante um Período Aplicável.</w:t>
      </w:r>
    </w:p>
    <w:p w14:paraId="1F8C6093" w14:textId="0780DD01" w:rsidR="00A5229D" w:rsidRPr="005D18E1" w:rsidRDefault="00A5229D" w:rsidP="00A5229D">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Período de Indisponibilidade:</w:t>
      </w:r>
      <w:r>
        <w:rPr>
          <w:rFonts w:ascii="Calibri" w:eastAsia="Calibri" w:hAnsi="Calibri" w:cs="Arial"/>
          <w:color w:val="FF0000"/>
          <w:sz w:val="18"/>
        </w:rPr>
        <w:t xml:space="preserve"> </w:t>
      </w:r>
      <w:r>
        <w:rPr>
          <w:rFonts w:ascii="Calibri" w:eastAsia="Calibri" w:hAnsi="Calibri" w:cs="Arial"/>
          <w:sz w:val="18"/>
        </w:rPr>
        <w:t>designa o total acumulado de minutos durante o qual um determinado plano de dados do Centro de APIs está indisponível. Um minuto é considerado indisponível para uma determinada instância do Centro de APIs se todas as tentativas pelos utilizadores para executar chamadas de API dentro do plano de dados do Centro de APIs resultarem num Código de Erro ou não devolverem uma resposta no prazo de cinco minutos.</w:t>
      </w:r>
    </w:p>
    <w:p w14:paraId="6761A238" w14:textId="75AB26CF" w:rsidR="00A5229D" w:rsidRPr="005D18E1" w:rsidRDefault="00A5229D" w:rsidP="00A5229D">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Percentagem de Período de Disponibilidade:</w:t>
      </w:r>
      <w:r>
        <w:rPr>
          <w:rFonts w:ascii="Calibri" w:eastAsia="Calibri" w:hAnsi="Calibri" w:cs="Arial"/>
          <w:color w:val="FF0000"/>
          <w:sz w:val="18"/>
        </w:rPr>
        <w:t xml:space="preserve"> </w:t>
      </w:r>
      <w:r>
        <w:rPr>
          <w:rFonts w:ascii="Calibri" w:eastAsia="Calibri" w:hAnsi="Calibri" w:cs="Arial"/>
          <w:sz w:val="18"/>
        </w:rPr>
        <w:t>A Percentagem de Período de Disponibilidade é calculada através da seguinte fórmula:</w:t>
      </w:r>
    </w:p>
    <w:p w14:paraId="3AA2CDD2" w14:textId="77777777" w:rsidR="00A5229D" w:rsidRPr="005D18E1" w:rsidRDefault="00000000" w:rsidP="0065049D">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Máximo de Minutos Disponíveis-Período de Indisponibilidade </m:t>
              </m:r>
            </m:num>
            <m:den>
              <m:r>
                <w:rPr>
                  <w:rFonts w:ascii="Cambria Math" w:eastAsia="Calibri" w:hAnsi="Cambria Math" w:cs="Arial"/>
                  <w:sz w:val="18"/>
                  <w:szCs w:val="18"/>
                </w:rPr>
                <m:t>Máximo de Minutos Disponíveis</m:t>
              </m:r>
            </m:den>
          </m:f>
          <m:r>
            <w:rPr>
              <w:rFonts w:ascii="Cambria Math" w:eastAsia="Calibri" w:hAnsi="Cambria Math" w:cs="Arial"/>
              <w:sz w:val="18"/>
              <w:szCs w:val="18"/>
            </w:rPr>
            <m:t xml:space="preserve"> x 100</m:t>
          </m:r>
        </m:oMath>
      </m:oMathPara>
    </w:p>
    <w:p w14:paraId="12BEBDDE" w14:textId="77777777" w:rsidR="00A5229D" w:rsidRPr="0018346E" w:rsidRDefault="00A5229D" w:rsidP="00A5229D">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Crédito de Serviço para o Plano Gratuito escalado numa única região: </w:t>
      </w:r>
    </w:p>
    <w:p w14:paraId="3A86B98D" w14:textId="77777777" w:rsidR="00A5229D" w:rsidRPr="0018346E" w:rsidRDefault="00A5229D" w:rsidP="00A5229D">
      <w:pPr>
        <w:spacing w:after="0" w:line="240" w:lineRule="auto"/>
        <w:textAlignment w:val="baseline"/>
        <w:rPr>
          <w:rFonts w:ascii="Calibri" w:eastAsia="Calibri" w:hAnsi="Calibri" w:cs="Arial"/>
          <w:sz w:val="18"/>
        </w:rPr>
      </w:pPr>
      <w:r>
        <w:rPr>
          <w:rFonts w:ascii="Calibri" w:eastAsia="Calibri" w:hAnsi="Calibri" w:cs="Arial"/>
          <w:sz w:val="18"/>
        </w:rPr>
        <w:t>Sem SLA</w:t>
      </w:r>
    </w:p>
    <w:p w14:paraId="7308875A" w14:textId="77777777" w:rsidR="00A5229D" w:rsidRPr="0018346E" w:rsidRDefault="00A5229D" w:rsidP="00A5229D">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Crédito de Serviço para o Plano Padrão escalado numa única região: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A5229D" w:rsidRPr="00E075C6" w14:paraId="405192DF" w14:textId="77777777" w:rsidTr="009D172D">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293D8354" w14:textId="77777777" w:rsidR="00A5229D" w:rsidRPr="00E075C6" w:rsidRDefault="00A5229D"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Percentagem de Período de Disponibilidade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37E3FC44" w14:textId="77777777" w:rsidR="00A5229D" w:rsidRPr="00E075C6" w:rsidRDefault="00A5229D"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 </w:t>
            </w:r>
          </w:p>
        </w:tc>
      </w:tr>
      <w:tr w:rsidR="00A5229D" w:rsidRPr="00E075C6" w14:paraId="4C576A61" w14:textId="77777777" w:rsidTr="009D172D">
        <w:trPr>
          <w:trHeight w:val="255"/>
        </w:trPr>
        <w:tc>
          <w:tcPr>
            <w:tcW w:w="2500" w:type="pct"/>
            <w:tcBorders>
              <w:top w:val="single" w:sz="6" w:space="0" w:color="auto"/>
              <w:left w:val="single" w:sz="6" w:space="0" w:color="auto"/>
              <w:bottom w:val="single" w:sz="6" w:space="0" w:color="auto"/>
              <w:right w:val="single" w:sz="6" w:space="0" w:color="auto"/>
            </w:tcBorders>
            <w:hideMark/>
          </w:tcPr>
          <w:p w14:paraId="147C4A82" w14:textId="77777777" w:rsidR="00A5229D" w:rsidRPr="0018346E" w:rsidRDefault="00A5229D"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7F431A5D" w14:textId="77777777" w:rsidR="00A5229D" w:rsidRPr="0018346E" w:rsidRDefault="00A5229D"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A5229D" w:rsidRPr="00E075C6" w14:paraId="17A04E25" w14:textId="77777777" w:rsidTr="009D172D">
        <w:trPr>
          <w:trHeight w:val="165"/>
        </w:trPr>
        <w:tc>
          <w:tcPr>
            <w:tcW w:w="2500" w:type="pct"/>
            <w:tcBorders>
              <w:top w:val="single" w:sz="6" w:space="0" w:color="auto"/>
              <w:left w:val="single" w:sz="6" w:space="0" w:color="auto"/>
              <w:bottom w:val="single" w:sz="6" w:space="0" w:color="auto"/>
              <w:right w:val="single" w:sz="6" w:space="0" w:color="auto"/>
            </w:tcBorders>
            <w:hideMark/>
          </w:tcPr>
          <w:p w14:paraId="5098EA2C" w14:textId="77777777" w:rsidR="00A5229D" w:rsidRPr="0018346E" w:rsidRDefault="00A5229D"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155C7925" w14:textId="77777777" w:rsidR="00A5229D" w:rsidRPr="0018346E" w:rsidRDefault="00A5229D"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691C8039" w14:textId="77777777" w:rsidR="00A5229D" w:rsidRPr="00EF7CF9" w:rsidRDefault="00A5229D" w:rsidP="00A5229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3B44625" w14:textId="385BD260" w:rsidR="004005AF" w:rsidRPr="00EF7CF9" w:rsidRDefault="004005AF" w:rsidP="00173870">
      <w:pPr>
        <w:pStyle w:val="ProductList-Offering2Heading"/>
        <w:keepNext/>
        <w:keepLines/>
        <w:tabs>
          <w:tab w:val="clear" w:pos="360"/>
          <w:tab w:val="clear" w:pos="720"/>
          <w:tab w:val="clear" w:pos="1080"/>
        </w:tabs>
        <w:outlineLvl w:val="2"/>
      </w:pPr>
      <w:bookmarkStart w:id="124" w:name="_Toc239176419"/>
      <w:r>
        <w:t>API Management Services</w:t>
      </w:r>
      <w:bookmarkEnd w:id="113"/>
      <w:bookmarkEnd w:id="121"/>
      <w:bookmarkEnd w:id="124"/>
    </w:p>
    <w:p w14:paraId="55F3B515" w14:textId="77777777" w:rsidR="004005AF" w:rsidRPr="00EF7CF9" w:rsidRDefault="004005AF" w:rsidP="00173870">
      <w:pPr>
        <w:pStyle w:val="ProductList-Body"/>
        <w:keepNext/>
        <w:keepLines/>
      </w:pPr>
      <w:r>
        <w:rPr>
          <w:b/>
          <w:color w:val="00188F"/>
        </w:rPr>
        <w:t>Definições Adicionais</w:t>
      </w:r>
      <w:r w:rsidRPr="00473DD3">
        <w:rPr>
          <w:b/>
          <w:color w:val="00188F"/>
        </w:rPr>
        <w:t>:</w:t>
      </w:r>
    </w:p>
    <w:p w14:paraId="0176D6F3" w14:textId="56E060D1" w:rsidR="004005AF" w:rsidRPr="00EF7CF9" w:rsidRDefault="00380305" w:rsidP="00F01ED6">
      <w:pPr>
        <w:pStyle w:val="ProductList-Body"/>
        <w:spacing w:after="40"/>
      </w:pPr>
      <w:r>
        <w:t>“</w:t>
      </w:r>
      <w:r w:rsidR="004005AF">
        <w:rPr>
          <w:b/>
          <w:color w:val="00188F"/>
        </w:rPr>
        <w:t>Minutos de Implementação</w:t>
      </w:r>
      <w:r>
        <w:t>”</w:t>
      </w:r>
      <w:r w:rsidR="004005AF">
        <w:t xml:space="preserve"> designa o número total de minutos durante os quais uma determinada instância da Gestão de API foi implementada no Microsoft Azure durante um Período Aplicável.</w:t>
      </w:r>
    </w:p>
    <w:p w14:paraId="4720E678" w14:textId="40255CA9" w:rsidR="004005AF" w:rsidRPr="00EF7CF9" w:rsidRDefault="00380305" w:rsidP="00F01ED6">
      <w:pPr>
        <w:pStyle w:val="ProductList-Body"/>
        <w:spacing w:after="40"/>
      </w:pPr>
      <w:r>
        <w:t>“</w:t>
      </w:r>
      <w:r w:rsidR="004005AF">
        <w:rPr>
          <w:b/>
          <w:color w:val="00188F"/>
        </w:rPr>
        <w:t>Máximo de Minutos Disponíveis</w:t>
      </w:r>
      <w:r>
        <w:t>”</w:t>
      </w:r>
      <w:r w:rsidR="004005AF">
        <w:t xml:space="preserve"> designa a soma de todos os Minutos de Implementação em todas as instâncias de Gestão de API implementadas pelo Cliente numa determinada subscrição do Microsoft Azure durante um Período Aplicável.</w:t>
      </w:r>
    </w:p>
    <w:p w14:paraId="54365A4B" w14:textId="42EFC3D6" w:rsidR="004005AF" w:rsidRPr="00EF7CF9" w:rsidRDefault="00380305" w:rsidP="00F01ED6">
      <w:pPr>
        <w:pStyle w:val="ProductList-Body"/>
      </w:pPr>
      <w:r>
        <w:t>“</w:t>
      </w:r>
      <w:r w:rsidR="004005AF">
        <w:rPr>
          <w:b/>
          <w:color w:val="00188F"/>
        </w:rPr>
        <w:t>Proxy</w:t>
      </w:r>
      <w:r>
        <w:t>”</w:t>
      </w:r>
      <w:r w:rsidR="004005AF">
        <w:t xml:space="preserve"> é o componente do Serviço de Gestão de API responsável pela receção dos pedidos de API e pelo respetivo reencaminhamento para a API dependente configurada.</w:t>
      </w:r>
    </w:p>
    <w:p w14:paraId="6AEBE793" w14:textId="77777777" w:rsidR="004005AF" w:rsidRPr="00EF7CF9" w:rsidRDefault="004005AF" w:rsidP="00F01ED6">
      <w:pPr>
        <w:pStyle w:val="ProductList-Body"/>
      </w:pPr>
      <w:r>
        <w:rPr>
          <w:b/>
          <w:color w:val="00188F"/>
        </w:rPr>
        <w:t>Período de Indisponibilidade</w:t>
      </w:r>
      <w:r w:rsidRPr="00473DD3">
        <w:rPr>
          <w:b/>
          <w:color w:val="00188F"/>
        </w:rPr>
        <w:t>:</w:t>
      </w:r>
      <w:r>
        <w:t xml:space="preserve"> O total de Minutos de Implementação acumulados, em todas as instâncias de Gestão de API implementadas pelo Cliente numa determinada subscrição do Microsoft Azure, no qual o Serviço de Gestão de API está indisponível. Um minuto é considerado indisponível para uma determinada instância de Gestão de API se todas as tentativas contínuas para executar operações através do Proxy nesse minuto resultarem num Código de Erro ou não devolverem um Código de Êxito num prazo de cinco minutos.</w:t>
      </w:r>
    </w:p>
    <w:p w14:paraId="20127167" w14:textId="15FEB2D6" w:rsidR="004005AF"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 </w:t>
      </w:r>
    </w:p>
    <w:p w14:paraId="3E1BA1B0" w14:textId="09BAC6B5" w:rsidR="004005AF" w:rsidRPr="00EF7CF9" w:rsidRDefault="00000000" w:rsidP="00706E2C">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516BFC5" w14:textId="77777777" w:rsidR="004005AF" w:rsidRPr="00EF7CF9" w:rsidRDefault="004005AF" w:rsidP="00F01ED6">
      <w:pPr>
        <w:pStyle w:val="ProductList-Body"/>
      </w:pPr>
      <w:r>
        <w:rPr>
          <w:b/>
          <w:color w:val="00188F"/>
        </w:rPr>
        <w:t>Crédito de Serviço para as implementações da Camada Consumption, Camada Basic, Standard e Premium escaladas numa única região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C159D00"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1AAC8416" w14:textId="77777777" w:rsidTr="00277097">
        <w:tc>
          <w:tcPr>
            <w:tcW w:w="5400" w:type="dxa"/>
          </w:tcPr>
          <w:p w14:paraId="2B2E8C72" w14:textId="77777777" w:rsidR="004005AF" w:rsidRPr="00EF7CF9" w:rsidRDefault="004005AF" w:rsidP="00F01ED6">
            <w:pPr>
              <w:pStyle w:val="ProductList-OfferingBody"/>
              <w:jc w:val="center"/>
            </w:pPr>
            <w:r>
              <w:t>&lt; 99,95%</w:t>
            </w:r>
          </w:p>
        </w:tc>
        <w:tc>
          <w:tcPr>
            <w:tcW w:w="5400" w:type="dxa"/>
          </w:tcPr>
          <w:p w14:paraId="33CEAC16" w14:textId="77777777" w:rsidR="004005AF" w:rsidRPr="00EF7CF9" w:rsidRDefault="004005AF" w:rsidP="00F01ED6">
            <w:pPr>
              <w:pStyle w:val="ProductList-OfferingBody"/>
              <w:jc w:val="center"/>
            </w:pPr>
            <w:r>
              <w:t>10%</w:t>
            </w:r>
          </w:p>
        </w:tc>
      </w:tr>
      <w:tr w:rsidR="004005AF" w:rsidRPr="00B44CF9" w14:paraId="7B316C42" w14:textId="77777777" w:rsidTr="00277097">
        <w:tc>
          <w:tcPr>
            <w:tcW w:w="5400" w:type="dxa"/>
          </w:tcPr>
          <w:p w14:paraId="67540D64" w14:textId="77777777" w:rsidR="004005AF" w:rsidRPr="00EF7CF9" w:rsidRDefault="004005AF" w:rsidP="00F01ED6">
            <w:pPr>
              <w:pStyle w:val="ProductList-OfferingBody"/>
              <w:jc w:val="center"/>
            </w:pPr>
            <w:r>
              <w:t>&lt; 99%</w:t>
            </w:r>
          </w:p>
        </w:tc>
        <w:tc>
          <w:tcPr>
            <w:tcW w:w="5400" w:type="dxa"/>
          </w:tcPr>
          <w:p w14:paraId="1E92A785" w14:textId="77777777" w:rsidR="004005AF" w:rsidRPr="00EF7CF9" w:rsidRDefault="004005AF" w:rsidP="00F01ED6">
            <w:pPr>
              <w:pStyle w:val="ProductList-OfferingBody"/>
              <w:jc w:val="center"/>
            </w:pPr>
            <w:r>
              <w:t>25%</w:t>
            </w:r>
          </w:p>
        </w:tc>
      </w:tr>
    </w:tbl>
    <w:p w14:paraId="3213231A" w14:textId="77777777" w:rsidR="004005AF" w:rsidRPr="00044317" w:rsidRDefault="004005AF" w:rsidP="00F01ED6">
      <w:pPr>
        <w:pStyle w:val="ProductList-Body"/>
        <w:rPr>
          <w:sz w:val="12"/>
          <w:szCs w:val="12"/>
        </w:rPr>
      </w:pPr>
    </w:p>
    <w:p w14:paraId="2336717E" w14:textId="77777777" w:rsidR="004005AF" w:rsidRPr="00EF7CF9" w:rsidRDefault="004005AF" w:rsidP="00F01ED6">
      <w:pPr>
        <w:pStyle w:val="ProductList-Body"/>
        <w:rPr>
          <w:b/>
          <w:color w:val="00188F"/>
        </w:rPr>
      </w:pPr>
      <w:r>
        <w:rPr>
          <w:b/>
          <w:color w:val="00188F"/>
        </w:rPr>
        <w:t>Implementações do Crédito de Serviço para a Camada Premium escaladas em duas ou mais regiões</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CC7D830"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F01ED6">
            <w:pPr>
              <w:pStyle w:val="ProductList-OfferingBody"/>
              <w:jc w:val="center"/>
            </w:pPr>
            <w:r>
              <w:t>&lt; 99,99%</w:t>
            </w:r>
          </w:p>
        </w:tc>
        <w:tc>
          <w:tcPr>
            <w:tcW w:w="5400" w:type="dxa"/>
            <w:tcBorders>
              <w:bottom w:val="single" w:sz="4" w:space="0" w:color="000000" w:themeColor="text1"/>
            </w:tcBorders>
          </w:tcPr>
          <w:p w14:paraId="38F8C277" w14:textId="77777777" w:rsidR="004005AF" w:rsidRPr="00EF7CF9" w:rsidRDefault="004005AF" w:rsidP="00F01ED6">
            <w:pPr>
              <w:pStyle w:val="ProductList-OfferingBody"/>
              <w:jc w:val="center"/>
            </w:pPr>
            <w:r>
              <w:t>10%</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F01ED6">
            <w:pPr>
              <w:pStyle w:val="ProductList-OfferingBody"/>
              <w:keepNext/>
              <w:jc w:val="center"/>
            </w:pPr>
            <w:r>
              <w:t>&lt; 99%</w:t>
            </w:r>
          </w:p>
        </w:tc>
        <w:tc>
          <w:tcPr>
            <w:tcW w:w="5400" w:type="dxa"/>
            <w:tcBorders>
              <w:bottom w:val="single" w:sz="4" w:space="0" w:color="auto"/>
            </w:tcBorders>
          </w:tcPr>
          <w:p w14:paraId="2EA6902E" w14:textId="77777777" w:rsidR="004005AF" w:rsidRPr="00EF7CF9" w:rsidRDefault="004005AF" w:rsidP="00F01ED6">
            <w:pPr>
              <w:pStyle w:val="ProductList-OfferingBody"/>
              <w:jc w:val="center"/>
            </w:pPr>
            <w:r>
              <w:t>25%</w:t>
            </w:r>
          </w:p>
        </w:tc>
      </w:tr>
    </w:tbl>
    <w:bookmarkStart w:id="125" w:name="AppService"/>
    <w:bookmarkStart w:id="126" w:name="_Toc52348996"/>
    <w:bookmarkStart w:id="127" w:name="_Toc457821536"/>
    <w:bookmarkStart w:id="128" w:name="_Toc52348919"/>
    <w:bookmarkEnd w:id="125"/>
    <w:p w14:paraId="13047D65"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6F39B64" w14:textId="06922C84" w:rsidR="004F4126" w:rsidRPr="00EF7CF9" w:rsidRDefault="004F4126" w:rsidP="00F01ED6">
      <w:pPr>
        <w:pStyle w:val="ProductList-Offering2Heading"/>
        <w:keepNext/>
        <w:tabs>
          <w:tab w:val="clear" w:pos="360"/>
          <w:tab w:val="clear" w:pos="720"/>
          <w:tab w:val="clear" w:pos="1080"/>
        </w:tabs>
        <w:outlineLvl w:val="2"/>
      </w:pPr>
      <w:bookmarkStart w:id="129" w:name="_Toc239176420"/>
      <w:r>
        <w:lastRenderedPageBreak/>
        <w:t>App Center</w:t>
      </w:r>
      <w:bookmarkEnd w:id="126"/>
      <w:bookmarkEnd w:id="129"/>
    </w:p>
    <w:p w14:paraId="3A9D0D7E" w14:textId="77777777" w:rsidR="004F4126" w:rsidRPr="00EF7CF9" w:rsidRDefault="004F4126" w:rsidP="00F01ED6">
      <w:pPr>
        <w:pStyle w:val="ProductList-Body"/>
        <w:keepNext/>
        <w:rPr>
          <w:b/>
          <w:color w:val="00188F"/>
        </w:rPr>
      </w:pPr>
      <w:r>
        <w:rPr>
          <w:b/>
          <w:color w:val="00188F"/>
        </w:rPr>
        <w:t>Definições Adicionais</w:t>
      </w:r>
      <w:r w:rsidRPr="00473DD3">
        <w:rPr>
          <w:b/>
          <w:color w:val="00188F"/>
        </w:rPr>
        <w:t>:</w:t>
      </w:r>
    </w:p>
    <w:p w14:paraId="361B5D29" w14:textId="77754D30" w:rsidR="004F4126" w:rsidRPr="00EF7CF9" w:rsidRDefault="00380305" w:rsidP="00F01ED6">
      <w:pPr>
        <w:pStyle w:val="ProductList-Body"/>
      </w:pPr>
      <w:r>
        <w:t>“</w:t>
      </w:r>
      <w:r w:rsidR="004F4126">
        <w:rPr>
          <w:b/>
          <w:color w:val="00188F"/>
        </w:rPr>
        <w:t>Serviço de Compilação</w:t>
      </w:r>
      <w:r>
        <w:t>”</w:t>
      </w:r>
      <w:r w:rsidR="004F4126">
        <w:t xml:space="preserve"> é uma funcionalidade que permite aos clientes compilarem as respetivas aplicações móveis no Visual Studio App Center.</w:t>
      </w:r>
    </w:p>
    <w:p w14:paraId="52D1C52F" w14:textId="635008D9" w:rsidR="004F4126" w:rsidRPr="009E2B16" w:rsidRDefault="00380305" w:rsidP="00F01ED6">
      <w:pPr>
        <w:spacing w:after="0" w:line="240" w:lineRule="auto"/>
        <w:rPr>
          <w:sz w:val="18"/>
          <w:szCs w:val="18"/>
        </w:rPr>
      </w:pPr>
      <w:r>
        <w:rPr>
          <w:sz w:val="18"/>
          <w:szCs w:val="18"/>
        </w:rPr>
        <w:t>“</w:t>
      </w:r>
      <w:r w:rsidR="004F4126">
        <w:rPr>
          <w:b/>
          <w:color w:val="00188F"/>
          <w:sz w:val="18"/>
        </w:rPr>
        <w:t>Serviço de Testes</w:t>
      </w:r>
      <w:r>
        <w:rPr>
          <w:sz w:val="18"/>
          <w:szCs w:val="18"/>
        </w:rPr>
        <w:t>”</w:t>
      </w:r>
      <w:r w:rsidR="004F4126">
        <w:rPr>
          <w:sz w:val="18"/>
          <w:szCs w:val="18"/>
        </w:rPr>
        <w:t xml:space="preserve"> é uma funcionalidade que permite aos clientes carregar e executar testes para as respetivas aplicações móveis em dispositivos físicos em execução no Visual Studio App Center. </w:t>
      </w:r>
    </w:p>
    <w:p w14:paraId="54868D5D" w14:textId="705897C7" w:rsidR="004F4126" w:rsidRPr="00EF7CF9" w:rsidRDefault="00380305" w:rsidP="00F01ED6">
      <w:pPr>
        <w:pStyle w:val="ProductList-Body"/>
      </w:pPr>
      <w:r>
        <w:rPr>
          <w:szCs w:val="18"/>
        </w:rPr>
        <w:t>“</w:t>
      </w:r>
      <w:r w:rsidR="004F4126">
        <w:rPr>
          <w:b/>
          <w:color w:val="00188F"/>
          <w:szCs w:val="18"/>
        </w:rPr>
        <w:t>Serviço de Notificações Push</w:t>
      </w:r>
      <w:r>
        <w:rPr>
          <w:szCs w:val="18"/>
        </w:rPr>
        <w:t>”</w:t>
      </w:r>
      <w:r w:rsidR="004F4126">
        <w:rPr>
          <w:szCs w:val="18"/>
        </w:rPr>
        <w:t xml:space="preserve"> é uma funcionalidade que permite aos clientes emitir mensagens via push para dispositivos específicos configurados para receberem estas mensagens através do Visual Studio App Center.</w:t>
      </w:r>
      <w:r w:rsidR="004F4126">
        <w:t xml:space="preserve"> </w:t>
      </w:r>
    </w:p>
    <w:p w14:paraId="48EA1B33" w14:textId="4A20E88B" w:rsidR="004F4126" w:rsidRPr="00ED4527" w:rsidRDefault="00EE6E3C" w:rsidP="00F01ED6">
      <w:pPr>
        <w:pStyle w:val="ProductList-Body"/>
        <w:spacing w:before="120"/>
        <w:rPr>
          <w:b/>
          <w:bCs/>
          <w:color w:val="00188F"/>
        </w:rPr>
      </w:pPr>
      <w:r>
        <w:rPr>
          <w:b/>
          <w:bCs/>
          <w:color w:val="00188F"/>
        </w:rPr>
        <w:t>Cálculo do Período de Disponibilidade e Níveis de Serviço para o Serviço de Compilação do Visual Studio App Center</w:t>
      </w:r>
    </w:p>
    <w:p w14:paraId="58225B60" w14:textId="6C8D4E23" w:rsidR="004F4126" w:rsidRPr="00EF7CF9" w:rsidRDefault="00380305" w:rsidP="00F01ED6">
      <w:pPr>
        <w:pStyle w:val="ProductList-Body"/>
      </w:pPr>
      <w:r>
        <w:t>“</w:t>
      </w:r>
      <w:r w:rsidR="004F4126">
        <w:rPr>
          <w:b/>
          <w:color w:val="00188F"/>
        </w:rPr>
        <w:t>Máximo de Minutos Disponíveis</w:t>
      </w:r>
      <w:r>
        <w:t>”</w:t>
      </w:r>
      <w:r w:rsidR="004F4126">
        <w:t xml:space="preserve"> é o número total de minutos durante os quais o Serviço de Compilação esteve implementado pelo Cliente para uma determinada subscrição do Microsoft Azure durante um Período Aplicável.</w:t>
      </w:r>
    </w:p>
    <w:p w14:paraId="391868A3" w14:textId="377F8448" w:rsidR="004F4126" w:rsidRPr="00EF7CF9" w:rsidRDefault="00380305" w:rsidP="00F01ED6">
      <w:pPr>
        <w:pStyle w:val="ProductList-Body"/>
      </w:pPr>
      <w:r>
        <w:t>“</w:t>
      </w:r>
      <w:r w:rsidR="004F4126">
        <w:rPr>
          <w:b/>
          <w:color w:val="00188F"/>
        </w:rPr>
        <w:t>Período de Indisponibilidade</w:t>
      </w:r>
      <w:r>
        <w:t>”</w:t>
      </w:r>
      <w:r w:rsidR="004F4126">
        <w:t xml:space="preserve"> designa o número total de minutos no Máximo de Minutos Disponíveis durante o qual o Serviço de Compilação está indisponível. Um minuto é considerado indisponível se todos os pedidos de HTTP contínuos para o Serviço de Compilação para executar operações iniciadas pelo Cliente nesse minuto resultarem num Código de Erro ou se não devolverem uma resposta ao fim de um minuto.</w:t>
      </w:r>
    </w:p>
    <w:p w14:paraId="78730B3B" w14:textId="408D97C7" w:rsidR="004F4126"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para o Serviço de Compilação do Visual Studio App Center é calculada como o Máximo de Minutos Disponíveis menos o Período de Indisponibilidade, dividido pelo Máximo de Minutos Disponíveis e</w:t>
      </w:r>
      <w:r w:rsidR="00173870">
        <w:t> </w:t>
      </w:r>
      <w:r>
        <w:t>multiplicado por 100. A Percentagem de Período de Disponibilidade é representada pela seguinte fórmula:</w:t>
      </w:r>
    </w:p>
    <w:p w14:paraId="63B39C84" w14:textId="34091B74" w:rsidR="004F4126" w:rsidRPr="00EF7CF9" w:rsidRDefault="00000000" w:rsidP="00151FF1">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A8F96D0" w14:textId="3AE0CA7D" w:rsidR="00881D39" w:rsidRPr="000C03EC" w:rsidRDefault="004F4126" w:rsidP="00173870">
      <w:pPr>
        <w:spacing w:line="240" w:lineRule="auto"/>
        <w:rPr>
          <w:rFonts w:eastAsiaTheme="minorEastAsia"/>
          <w:spacing w:val="-3"/>
          <w:sz w:val="18"/>
          <w:szCs w:val="18"/>
          <w:lang w:eastAsia="zh-TW"/>
        </w:rPr>
      </w:pPr>
      <w:r w:rsidRPr="000C03EC">
        <w:rPr>
          <w:rFonts w:eastAsiaTheme="minorEastAsia"/>
          <w:spacing w:val="-3"/>
          <w:sz w:val="18"/>
          <w:szCs w:val="18"/>
        </w:rPr>
        <w:t xml:space="preserve">Os seguintes Níveis de Serviço e Créditos de Serviço são aplicáveis à utilização que o Cliente faz do Serviço de Compilação do Visual Studio App Center. </w:t>
      </w:r>
    </w:p>
    <w:p w14:paraId="16509D13" w14:textId="3CE4A4B5" w:rsidR="004F4126" w:rsidRPr="00EF7CF9" w:rsidRDefault="004F4126"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bottom w:val="single" w:sz="4" w:space="0" w:color="auto"/>
            </w:tcBorders>
            <w:shd w:val="clear" w:color="auto" w:fill="0072C6"/>
          </w:tcPr>
          <w:p w14:paraId="6A61800C" w14:textId="77777777" w:rsidR="004F4126" w:rsidRPr="00EF7CF9" w:rsidRDefault="004F4126" w:rsidP="00F01ED6">
            <w:pPr>
              <w:pStyle w:val="ProductList-OfferingBody"/>
              <w:jc w:val="center"/>
              <w:rPr>
                <w:color w:val="FFFFFF" w:themeColor="background1"/>
              </w:rPr>
            </w:pPr>
            <w:r>
              <w:rPr>
                <w:color w:val="FFFFFF" w:themeColor="background1"/>
              </w:rPr>
              <w:t>Crédito de Serviço</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F01ED6">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F01ED6">
            <w:pPr>
              <w:pStyle w:val="ProductList-OfferingBody"/>
              <w:jc w:val="center"/>
            </w:pPr>
            <w:r>
              <w:t>10%</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F01ED6">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F01ED6">
            <w:pPr>
              <w:pStyle w:val="ProductList-OfferingBody"/>
              <w:jc w:val="center"/>
            </w:pPr>
            <w:r>
              <w:t>25%</w:t>
            </w:r>
          </w:p>
        </w:tc>
      </w:tr>
    </w:tbl>
    <w:p w14:paraId="72984DD3" w14:textId="5ED863CC" w:rsidR="004F4126" w:rsidRPr="00ED4527" w:rsidRDefault="00EE6E3C" w:rsidP="00F01ED6">
      <w:pPr>
        <w:pStyle w:val="ProductList-Body"/>
        <w:spacing w:before="240"/>
        <w:rPr>
          <w:b/>
          <w:bCs/>
          <w:color w:val="00188F"/>
        </w:rPr>
      </w:pPr>
      <w:r>
        <w:rPr>
          <w:b/>
          <w:bCs/>
          <w:color w:val="00188F"/>
        </w:rPr>
        <w:t>Cálculo do Período de Disponibilidade e Níveis de Serviço para o Serviço de Testes do Visual Studio App Center</w:t>
      </w:r>
    </w:p>
    <w:p w14:paraId="57EE826D" w14:textId="79A491AE" w:rsidR="004F4126" w:rsidRPr="00EF7CF9" w:rsidRDefault="00380305" w:rsidP="00F01ED6">
      <w:pPr>
        <w:pStyle w:val="ProductList-Body"/>
      </w:pPr>
      <w:r>
        <w:t>“</w:t>
      </w:r>
      <w:r w:rsidR="004F4126">
        <w:rPr>
          <w:b/>
          <w:color w:val="00188F"/>
        </w:rPr>
        <w:t>Máximo de Minutos Disponíveis</w:t>
      </w:r>
      <w:r>
        <w:t>”</w:t>
      </w:r>
      <w:r w:rsidR="004F4126">
        <w:t xml:space="preserve"> é o número total de minutos durante os quais o Serviço de Teste esteve implementado pelo Cliente para uma determinada subscrição do Microsoft Azure durante um Período Aplicável.</w:t>
      </w:r>
    </w:p>
    <w:p w14:paraId="740E634A" w14:textId="77777777" w:rsidR="004F4126" w:rsidRPr="00EF7CF9" w:rsidRDefault="004F4126" w:rsidP="00F01ED6">
      <w:pPr>
        <w:pStyle w:val="ProductList-Body"/>
      </w:pPr>
      <w:r>
        <w:rPr>
          <w:b/>
          <w:color w:val="00188F"/>
        </w:rPr>
        <w:t>Período de Indisponibilidade</w:t>
      </w:r>
      <w:r w:rsidRPr="00473DD3">
        <w:rPr>
          <w:b/>
          <w:color w:val="00188F"/>
        </w:rPr>
        <w:t>:</w:t>
      </w:r>
      <w:r>
        <w:t xml:space="preserve"> O número total de minutos no Máximo de Minutos Disponíveis durante o qual o Serviço de Testes está indisponível. Um minuto é considerado indisponível se todos os pedidos de HTTP contínuos para o Serviço de Testes para executar operações iniciadas pelo Cliente nesse minuto resultarem num Código de Erro ou se não devolverem uma resposta ao fim de um minuto.</w:t>
      </w:r>
    </w:p>
    <w:p w14:paraId="670409F6" w14:textId="2382433F" w:rsidR="004F4126"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para o Serviço de Teste do Visual Studio App Center é</w:t>
      </w:r>
      <w:r w:rsidR="00903C90">
        <w:t> </w:t>
      </w:r>
      <w:r>
        <w:t>calculada como o Máximo de Minutos Disponíveis menos o Período de Indisponibilidade, dividido pelo Máximo de Minutos Disponíveis e</w:t>
      </w:r>
      <w:r w:rsidR="00903C90">
        <w:t> </w:t>
      </w:r>
      <w:r>
        <w:t>multiplicado por 100. A Percentagem de Período de Disponibilidade é representada pela seguinte fórmula:</w:t>
      </w:r>
    </w:p>
    <w:p w14:paraId="20FF1AC7" w14:textId="77777777" w:rsidR="004F4126" w:rsidRPr="000C03EC" w:rsidRDefault="004F4126" w:rsidP="00F01ED6">
      <w:pPr>
        <w:pStyle w:val="ProductList-Body"/>
        <w:rPr>
          <w:sz w:val="16"/>
        </w:rPr>
      </w:pPr>
    </w:p>
    <w:p w14:paraId="75B31A28" w14:textId="09498C44" w:rsidR="004F4126" w:rsidRPr="00EF7CF9" w:rsidRDefault="00000000" w:rsidP="00F01ED6">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72FF76E0" w14:textId="5CC4F79F" w:rsidR="004F4126" w:rsidRPr="00EF7CF9" w:rsidRDefault="004F4126" w:rsidP="00F01ED6">
      <w:pPr>
        <w:spacing w:after="0" w:line="240" w:lineRule="auto"/>
        <w:rPr>
          <w:rFonts w:eastAsiaTheme="minorEastAsia"/>
          <w:sz w:val="18"/>
          <w:szCs w:val="18"/>
          <w:lang w:eastAsia="zh-TW"/>
        </w:rPr>
      </w:pPr>
      <w:r>
        <w:rPr>
          <w:rFonts w:eastAsiaTheme="minorEastAsia"/>
          <w:sz w:val="18"/>
          <w:szCs w:val="18"/>
        </w:rPr>
        <w:t xml:space="preserve">Os seguintes Níveis de Serviço e Créditos de Serviço são aplicáveis à utilização que o Cliente faz do Serviço de Testes do Visual Studio App Center. </w:t>
      </w:r>
    </w:p>
    <w:p w14:paraId="5173A776" w14:textId="77777777" w:rsidR="004F4126" w:rsidRPr="00EF7CF9" w:rsidRDefault="004F412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bottom w:val="single" w:sz="4" w:space="0" w:color="auto"/>
            </w:tcBorders>
            <w:shd w:val="clear" w:color="auto" w:fill="0072C6"/>
          </w:tcPr>
          <w:p w14:paraId="6FD2B288" w14:textId="77777777" w:rsidR="004F4126" w:rsidRPr="00EF7CF9" w:rsidRDefault="004F4126" w:rsidP="00F01ED6">
            <w:pPr>
              <w:pStyle w:val="ProductList-OfferingBody"/>
              <w:jc w:val="center"/>
              <w:rPr>
                <w:color w:val="FFFFFF" w:themeColor="background1"/>
              </w:rPr>
            </w:pPr>
            <w:r>
              <w:rPr>
                <w:color w:val="FFFFFF" w:themeColor="background1"/>
              </w:rPr>
              <w:t>Crédito de Serviço</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F01ED6">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F01ED6">
            <w:pPr>
              <w:pStyle w:val="ProductList-OfferingBody"/>
              <w:jc w:val="center"/>
            </w:pPr>
            <w:r>
              <w:t>10%</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F01ED6">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F01ED6">
            <w:pPr>
              <w:pStyle w:val="ProductList-OfferingBody"/>
              <w:keepNext/>
              <w:jc w:val="center"/>
            </w:pPr>
            <w:r>
              <w:t>25%</w:t>
            </w:r>
          </w:p>
        </w:tc>
      </w:tr>
    </w:tbl>
    <w:p w14:paraId="557FDEE6" w14:textId="72E7A5C8" w:rsidR="004F4126" w:rsidRPr="00ED4527" w:rsidRDefault="00EE6E3C" w:rsidP="00F01ED6">
      <w:pPr>
        <w:pStyle w:val="ProductList-Body"/>
        <w:rPr>
          <w:b/>
          <w:bCs/>
          <w:color w:val="00188F"/>
        </w:rPr>
      </w:pPr>
      <w:r>
        <w:rPr>
          <w:b/>
          <w:bCs/>
          <w:color w:val="00188F"/>
        </w:rPr>
        <w:t>Cálculo do Período de Disponibilidade e Níveis de Serviço para o Serviço de Notificações Push do Visual Studio App Center</w:t>
      </w:r>
    </w:p>
    <w:p w14:paraId="2597119F" w14:textId="0D3AF718" w:rsidR="004F4126" w:rsidRPr="00EF7CF9" w:rsidRDefault="00380305" w:rsidP="00F01ED6">
      <w:pPr>
        <w:pStyle w:val="ProductList-Body"/>
      </w:pPr>
      <w:r>
        <w:t>“</w:t>
      </w:r>
      <w:r w:rsidR="004F4126">
        <w:rPr>
          <w:b/>
          <w:color w:val="00188F"/>
        </w:rPr>
        <w:t>Máximo de Minutos Disponíveis</w:t>
      </w:r>
      <w:r>
        <w:t>”</w:t>
      </w:r>
      <w:r w:rsidR="004F4126">
        <w:t xml:space="preserve"> é o número total de minutos durante os quais o Serviço de Notificações Push esteve implementado pelo Cliente para uma determinada subscrição do Microsoft Azure durante um Período Aplicável.</w:t>
      </w:r>
    </w:p>
    <w:p w14:paraId="2F8BC21A" w14:textId="77777777" w:rsidR="004F4126" w:rsidRPr="00EF7CF9" w:rsidRDefault="004F4126" w:rsidP="00F01ED6">
      <w:pPr>
        <w:pStyle w:val="ProductList-Body"/>
      </w:pPr>
      <w:r>
        <w:rPr>
          <w:b/>
          <w:color w:val="00188F"/>
        </w:rPr>
        <w:t>Período de Indisponibilidade</w:t>
      </w:r>
      <w:r w:rsidRPr="00473DD3">
        <w:rPr>
          <w:b/>
          <w:color w:val="00188F"/>
        </w:rPr>
        <w:t>:</w:t>
      </w:r>
      <w:r>
        <w:t xml:space="preserve"> O número total de minutos durante o Máximo de Minutos Disponíveis durante os quais o Serviço de Notificações Push está indisponível. Um minuto é considerado indisponível se todos os pedidos de HTTP contínuos para o Serviço de Notificações Push para executar operações iniciadas pelo Cliente nesse minuto resultarem num Código de Erro ou se não devolverem uma resposta ao fim de um minuto.</w:t>
      </w:r>
    </w:p>
    <w:p w14:paraId="1FA221E9" w14:textId="05657BF6" w:rsidR="004F4126"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para o Serviço de Notificações Push do Visual Studio App Center é calculada como o Máximo de Minutos Disponíveis menos o Período de Indisponibilidade, dividido pelo Máximo de Minutos Disponíveis e multiplicado por 100. A Percentagem de Período de Disponibilidade é representada pela seguinte fórmula:</w:t>
      </w:r>
    </w:p>
    <w:p w14:paraId="35245E4E" w14:textId="7FE17FA0" w:rsidR="004F4126" w:rsidRPr="00EF7CF9" w:rsidRDefault="00000000" w:rsidP="00151FF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F42A2C3" w14:textId="0B5C8347" w:rsidR="004F4126" w:rsidRPr="00D9543D" w:rsidRDefault="004F4126" w:rsidP="00F01ED6">
      <w:pPr>
        <w:spacing w:after="0" w:line="240" w:lineRule="auto"/>
        <w:rPr>
          <w:rFonts w:eastAsiaTheme="minorEastAsia"/>
          <w:sz w:val="18"/>
          <w:szCs w:val="18"/>
          <w:lang w:eastAsia="zh-TW"/>
        </w:rPr>
      </w:pPr>
      <w:r>
        <w:rPr>
          <w:rFonts w:eastAsiaTheme="minorEastAsia"/>
          <w:sz w:val="18"/>
          <w:szCs w:val="18"/>
        </w:rPr>
        <w:lastRenderedPageBreak/>
        <w:t xml:space="preserve">Os seguintes Níveis de Serviço e Créditos de Serviço são aplicáveis à utilização que o Cliente faz do Serviço de Notificações Push do Visual Studio App Center. </w:t>
      </w:r>
    </w:p>
    <w:p w14:paraId="04990EC8" w14:textId="77777777" w:rsidR="004F4126" w:rsidRPr="00EF7CF9" w:rsidRDefault="004F4126"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F01ED6">
            <w:pPr>
              <w:pStyle w:val="ProductList-OfferingBody"/>
              <w:keepNext/>
              <w:jc w:val="center"/>
              <w:rPr>
                <w:color w:val="FFFFFF" w:themeColor="background1"/>
              </w:rPr>
            </w:pPr>
            <w:r>
              <w:rPr>
                <w:color w:val="FFFFFF" w:themeColor="background1"/>
              </w:rPr>
              <w:t>Percentagem de Período de Disponibilidade</w:t>
            </w:r>
          </w:p>
        </w:tc>
        <w:tc>
          <w:tcPr>
            <w:tcW w:w="5400" w:type="dxa"/>
            <w:tcBorders>
              <w:bottom w:val="single" w:sz="4" w:space="0" w:color="auto"/>
            </w:tcBorders>
            <w:shd w:val="clear" w:color="auto" w:fill="0072C6"/>
          </w:tcPr>
          <w:p w14:paraId="5C51A762" w14:textId="77777777" w:rsidR="004F4126" w:rsidRPr="00EF7CF9" w:rsidRDefault="004F4126" w:rsidP="00F01ED6">
            <w:pPr>
              <w:pStyle w:val="ProductList-OfferingBody"/>
              <w:keepNext/>
              <w:jc w:val="center"/>
              <w:rPr>
                <w:color w:val="FFFFFF" w:themeColor="background1"/>
              </w:rPr>
            </w:pPr>
            <w:r>
              <w:rPr>
                <w:color w:val="FFFFFF" w:themeColor="background1"/>
              </w:rPr>
              <w:t>Crédito de Serviço</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F01ED6">
            <w:pPr>
              <w:pStyle w:val="ProductList-OfferingBody"/>
              <w:keepNext/>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F01ED6">
            <w:pPr>
              <w:pStyle w:val="ProductList-OfferingBody"/>
              <w:keepNext/>
              <w:jc w:val="center"/>
            </w:pPr>
            <w:r>
              <w:t>10%</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F01ED6">
            <w:pPr>
              <w:pStyle w:val="ProductList-OfferingBody"/>
              <w:keepNext/>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F01ED6">
            <w:pPr>
              <w:pStyle w:val="ProductList-OfferingBody"/>
              <w:keepNext/>
              <w:jc w:val="center"/>
            </w:pPr>
            <w:r>
              <w:t>25%</w:t>
            </w:r>
          </w:p>
        </w:tc>
      </w:tr>
    </w:tbl>
    <w:p w14:paraId="5B9BC007"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6D1359D" w14:textId="77777777" w:rsidR="00012F9F" w:rsidRPr="00012F9F" w:rsidRDefault="00012F9F" w:rsidP="00F01ED6">
      <w:pPr>
        <w:pStyle w:val="ProductList-Offering2Heading"/>
        <w:keepNext/>
        <w:tabs>
          <w:tab w:val="clear" w:pos="360"/>
          <w:tab w:val="clear" w:pos="720"/>
          <w:tab w:val="clear" w:pos="1080"/>
        </w:tabs>
        <w:outlineLvl w:val="2"/>
      </w:pPr>
      <w:bookmarkStart w:id="130" w:name="_Toc239176421"/>
      <w:r>
        <w:t>App Configuration</w:t>
      </w:r>
      <w:bookmarkEnd w:id="130"/>
    </w:p>
    <w:p w14:paraId="4302A28C" w14:textId="77777777" w:rsidR="00012F9F" w:rsidRPr="00852CBF" w:rsidRDefault="00012F9F" w:rsidP="00F01ED6">
      <w:pPr>
        <w:pStyle w:val="ProductList-Body"/>
        <w:rPr>
          <w:b/>
          <w:color w:val="00188F"/>
        </w:rPr>
      </w:pPr>
      <w:r>
        <w:rPr>
          <w:b/>
          <w:color w:val="00188F"/>
        </w:rPr>
        <w:t>Definições Adicionais</w:t>
      </w:r>
    </w:p>
    <w:p w14:paraId="5722BEE2" w14:textId="22895687" w:rsidR="00012F9F" w:rsidRDefault="00380305" w:rsidP="00F01ED6">
      <w:pPr>
        <w:pStyle w:val="ProductList-Body"/>
      </w:pPr>
      <w:r>
        <w:t>“</w:t>
      </w:r>
      <w:r w:rsidR="00012F9F">
        <w:rPr>
          <w:b/>
          <w:bCs/>
          <w:color w:val="00188F"/>
        </w:rPr>
        <w:t>Arquivo de Configuração</w:t>
      </w:r>
      <w:r>
        <w:t>”</w:t>
      </w:r>
      <w:r w:rsidR="00012F9F">
        <w:t xml:space="preserve"> designa uma implementação individual do Azure App Configuration criada pelo Cliente para que seja enumerada no separador App Configuration no Portal de Gestão.</w:t>
      </w:r>
    </w:p>
    <w:p w14:paraId="3D0036CD" w14:textId="460527E4" w:rsidR="00012F9F" w:rsidRPr="00852CBF" w:rsidRDefault="00EE6E3C" w:rsidP="00F01ED6">
      <w:pPr>
        <w:pStyle w:val="ProductList-Body"/>
        <w:spacing w:before="120"/>
        <w:rPr>
          <w:b/>
          <w:bCs/>
          <w:color w:val="00188F"/>
        </w:rPr>
      </w:pPr>
      <w:r>
        <w:rPr>
          <w:b/>
          <w:bCs/>
          <w:color w:val="00188F"/>
        </w:rPr>
        <w:t>Cálculo do Período de Disponibilidade e Níveis de Serviço para o Azure App Configuration</w:t>
      </w:r>
    </w:p>
    <w:p w14:paraId="4C4328F8" w14:textId="737172B5" w:rsidR="00012F9F" w:rsidRDefault="00380305" w:rsidP="00F01ED6">
      <w:pPr>
        <w:pStyle w:val="ProductList-Body"/>
      </w:pPr>
      <w:r>
        <w:t>“</w:t>
      </w:r>
      <w:r w:rsidR="00012F9F">
        <w:rPr>
          <w:b/>
          <w:bCs/>
          <w:color w:val="00188F"/>
        </w:rPr>
        <w:t>Minutos de Implementação</w:t>
      </w:r>
      <w:r>
        <w:t>”</w:t>
      </w:r>
      <w:r w:rsidR="00012F9F">
        <w:t xml:space="preserve"> designa o número total de minutos durante os quais um determinado Arquivo de Configuração foi implementado no</w:t>
      </w:r>
      <w:r w:rsidR="00024FE1">
        <w:t> </w:t>
      </w:r>
      <w:r w:rsidR="00012F9F">
        <w:t>Microsoft Azure durante um Período Aplicável.</w:t>
      </w:r>
    </w:p>
    <w:p w14:paraId="35FC0267" w14:textId="4460488F" w:rsidR="00012F9F" w:rsidRDefault="00380305" w:rsidP="00F01ED6">
      <w:pPr>
        <w:pStyle w:val="ProductList-Body"/>
      </w:pPr>
      <w:r>
        <w:t>“</w:t>
      </w:r>
      <w:r w:rsidR="00012F9F">
        <w:rPr>
          <w:b/>
          <w:bCs/>
          <w:color w:val="00188F"/>
        </w:rPr>
        <w:t>Máximo de Minutos Disponíveis</w:t>
      </w:r>
      <w:r>
        <w:t>”</w:t>
      </w:r>
      <w:r w:rsidR="00012F9F">
        <w:t xml:space="preserve"> designa a soma de todos os Minutos de Implementação em todos os Arquivos de Configuração implementados pelo Cliente numa determinada subscrição do Microsoft Azure durante um Período Aplicável.</w:t>
      </w:r>
    </w:p>
    <w:p w14:paraId="140C7DDA" w14:textId="1A807F5C" w:rsidR="00012F9F" w:rsidRDefault="00380305" w:rsidP="00F01ED6">
      <w:pPr>
        <w:pStyle w:val="ProductList-Body"/>
      </w:pPr>
      <w:r>
        <w:t>“</w:t>
      </w:r>
      <w:r w:rsidR="00012F9F">
        <w:rPr>
          <w:b/>
          <w:bCs/>
          <w:color w:val="00188F"/>
        </w:rPr>
        <w:t>Período de Indisponibilidade</w:t>
      </w:r>
      <w:r>
        <w:t>”</w:t>
      </w:r>
      <w:r w:rsidR="00012F9F">
        <w:t xml:space="preserve"> é o total de minutos acumulado durante o Máximo de Minutos Disponíveis durante os quais o Arquivo de Configuração está indisponível. Um minuto é considerado indisponível para um determinado Arquivo de Configuração quando não existe qualquer conectividade ao longo desse minuto entre o Arquivo de Configuração e o gateway de Internet da Microsoft.</w:t>
      </w:r>
    </w:p>
    <w:p w14:paraId="714230EB" w14:textId="57ACB66D" w:rsidR="00012F9F" w:rsidRDefault="00012F9F" w:rsidP="00044317">
      <w:pPr>
        <w:pStyle w:val="ProductList-Body"/>
        <w:keepNext/>
      </w:pPr>
      <w:r>
        <w:t xml:space="preserve">A </w:t>
      </w:r>
      <w:r w:rsidR="00380305">
        <w:t>“</w:t>
      </w:r>
      <w:r>
        <w:rPr>
          <w:b/>
          <w:bCs/>
          <w:color w:val="00188F"/>
        </w:rPr>
        <w:t>Percentagem de Período de Disponibilidade</w:t>
      </w:r>
      <w:r w:rsidR="00380305">
        <w:t>”</w:t>
      </w:r>
      <w:r>
        <w:t xml:space="preserve"> para o Azure App Configuration é calculada como o Máximo de Minutos Disponíveis menos o</w:t>
      </w:r>
      <w:r w:rsidR="00173870">
        <w:t> </w:t>
      </w:r>
      <w:r>
        <w:t>Período de Indisponibilidade a dividir pelo Máximo de Minutos Disponíveis num Período Aplicável para uma determinada subscrição do Microsoft Azure. A Percentagem de Período de Disponibilidade é representada pela seguinte fórmula:</w:t>
      </w:r>
    </w:p>
    <w:p w14:paraId="24B481D5" w14:textId="77777777" w:rsidR="003940E8" w:rsidRPr="000C03EC" w:rsidRDefault="003940E8" w:rsidP="00F01ED6">
      <w:pPr>
        <w:pStyle w:val="ProductList-Body"/>
        <w:rPr>
          <w:sz w:val="16"/>
        </w:rPr>
      </w:pPr>
    </w:p>
    <w:p w14:paraId="3BE596FB" w14:textId="40777DE2" w:rsidR="003940E8" w:rsidRPr="00EF7CF9" w:rsidRDefault="00000000" w:rsidP="00F01ED6">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572CCD5" w14:textId="45C11EDE" w:rsidR="00012F9F" w:rsidRPr="003940E8" w:rsidRDefault="00012F9F" w:rsidP="00F01ED6">
      <w:pPr>
        <w:pStyle w:val="ProductList-Body"/>
        <w:keepNext/>
        <w:rPr>
          <w:b/>
          <w:bCs/>
          <w:color w:val="00188F"/>
        </w:rPr>
      </w:pPr>
      <w:r>
        <w:rPr>
          <w:b/>
          <w:bCs/>
          <w:color w:val="00188F"/>
        </w:rPr>
        <w:t>Os seguintes Níveis de Serviço e Créditos de Serviço são aplicáveis à utilização que o Cliente faz do App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bottom w:val="single" w:sz="4" w:space="0" w:color="auto"/>
            </w:tcBorders>
            <w:shd w:val="clear" w:color="auto" w:fill="0072C6"/>
          </w:tcPr>
          <w:p w14:paraId="220BADA7" w14:textId="77777777" w:rsidR="003940E8" w:rsidRPr="00EF7CF9" w:rsidRDefault="003940E8" w:rsidP="00F01ED6">
            <w:pPr>
              <w:pStyle w:val="ProductList-OfferingBody"/>
              <w:jc w:val="center"/>
              <w:rPr>
                <w:color w:val="FFFFFF" w:themeColor="background1"/>
              </w:rPr>
            </w:pPr>
            <w:r>
              <w:rPr>
                <w:color w:val="FFFFFF" w:themeColor="background1"/>
              </w:rPr>
              <w:t>Crédito de Serviço</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F01ED6">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F01ED6">
            <w:pPr>
              <w:pStyle w:val="ProductList-OfferingBody"/>
              <w:jc w:val="center"/>
            </w:pPr>
            <w:r>
              <w:t>10%</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F01ED6">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F01ED6">
            <w:pPr>
              <w:pStyle w:val="ProductList-OfferingBody"/>
              <w:jc w:val="center"/>
            </w:pPr>
            <w:r>
              <w:t>25%</w:t>
            </w:r>
          </w:p>
        </w:tc>
      </w:tr>
    </w:tbl>
    <w:p w14:paraId="41EBC5BC"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F775864" w14:textId="25BBD322" w:rsidR="004005AF" w:rsidRPr="00EF7CF9" w:rsidRDefault="004005AF" w:rsidP="00F01ED6">
      <w:pPr>
        <w:pStyle w:val="ProductList-Offering2Heading"/>
        <w:tabs>
          <w:tab w:val="clear" w:pos="360"/>
          <w:tab w:val="clear" w:pos="720"/>
          <w:tab w:val="clear" w:pos="1080"/>
        </w:tabs>
        <w:outlineLvl w:val="2"/>
      </w:pPr>
      <w:bookmarkStart w:id="131" w:name="_Toc239176422"/>
      <w:r>
        <w:t>App Service</w:t>
      </w:r>
      <w:bookmarkEnd w:id="127"/>
      <w:bookmarkEnd w:id="128"/>
      <w:bookmarkEnd w:id="131"/>
    </w:p>
    <w:p w14:paraId="5086F069" w14:textId="77777777" w:rsidR="004005AF" w:rsidRPr="00EF7CF9" w:rsidRDefault="004005AF" w:rsidP="00F01ED6">
      <w:pPr>
        <w:pStyle w:val="ProductList-Body"/>
      </w:pPr>
      <w:r>
        <w:rPr>
          <w:b/>
          <w:color w:val="00188F"/>
        </w:rPr>
        <w:t>Definições Adicionais</w:t>
      </w:r>
      <w:r w:rsidRPr="00473DD3">
        <w:rPr>
          <w:b/>
          <w:color w:val="00188F"/>
        </w:rPr>
        <w:t>:</w:t>
      </w:r>
    </w:p>
    <w:p w14:paraId="26FEE8E0" w14:textId="77777777" w:rsidR="00E563FF" w:rsidRPr="009D002E" w:rsidRDefault="00E563FF" w:rsidP="00E563FF">
      <w:pPr>
        <w:pStyle w:val="ProductList-Body"/>
        <w:keepNext/>
        <w:rPr>
          <w:rFonts w:ascii="Calibri" w:hAnsi="Calibri" w:cs="Calibri"/>
        </w:rPr>
      </w:pPr>
      <w:bookmarkStart w:id="132" w:name="_Toc457821537"/>
      <w:bookmarkStart w:id="133" w:name="_Toc52348920"/>
      <w:r w:rsidRPr="009D002E">
        <w:rPr>
          <w:rFonts w:ascii="Calibri" w:hAnsi="Calibri" w:cs="Calibri"/>
        </w:rPr>
        <w:t>“</w:t>
      </w:r>
      <w:r w:rsidRPr="009D002E">
        <w:rPr>
          <w:rFonts w:ascii="Calibri" w:hAnsi="Calibri" w:cs="Calibri"/>
          <w:b/>
          <w:bCs/>
          <w:color w:val="00188F"/>
        </w:rPr>
        <w:t>Zona de Disponibilidade</w:t>
      </w:r>
      <w:r w:rsidRPr="009D002E">
        <w:rPr>
          <w:rFonts w:ascii="Calibri" w:hAnsi="Calibri" w:cs="Calibri"/>
        </w:rPr>
        <w:t>” designa uma área isolada de falhas numa região do Azure que providencia alimentação, refrigeração e rede redundantes.</w:t>
      </w:r>
    </w:p>
    <w:p w14:paraId="1C38A8E0" w14:textId="77777777" w:rsidR="00E563FF" w:rsidRPr="009D002E" w:rsidRDefault="00E563FF" w:rsidP="00E563FF">
      <w:pPr>
        <w:pStyle w:val="ProductList-Body"/>
        <w:rPr>
          <w:rFonts w:ascii="Calibri" w:hAnsi="Calibri" w:cs="Calibri"/>
        </w:rPr>
      </w:pPr>
      <w:r w:rsidRPr="009D002E">
        <w:rPr>
          <w:rFonts w:ascii="Calibri" w:hAnsi="Calibri" w:cs="Calibri"/>
        </w:rPr>
        <w:t>“</w:t>
      </w:r>
      <w:r w:rsidRPr="009D002E">
        <w:rPr>
          <w:rFonts w:ascii="Calibri" w:hAnsi="Calibri" w:cs="Calibri"/>
          <w:b/>
          <w:color w:val="00188F"/>
        </w:rPr>
        <w:t>Minutos de Implementação</w:t>
      </w:r>
      <w:r w:rsidRPr="009D002E">
        <w:rPr>
          <w:rFonts w:ascii="Calibri" w:hAnsi="Calibri" w:cs="Calibri"/>
        </w:rPr>
        <w:t xml:space="preserve">” </w:t>
      </w:r>
      <w:r w:rsidRPr="009D002E">
        <w:rPr>
          <w:rFonts w:ascii="Calibri" w:eastAsia="Tahoma" w:hAnsi="Calibri" w:cs="Calibri"/>
        </w:rPr>
        <w:t xml:space="preserve">designa o </w:t>
      </w:r>
      <w:r w:rsidRPr="009D002E">
        <w:rPr>
          <w:rFonts w:ascii="Calibri" w:hAnsi="Calibri" w:cs="Calibri"/>
        </w:rPr>
        <w:t>número total de minutos durante os quais uma determinada Aplicação foi definida para ser executada no Microsoft Azure durante um Período Aplicável. Os Minutos de Implementação são calculados a partir do momento em que a Aplicação foi criada ou o Cliente iniciou uma ação que resultaria na execução da Aplicação até ao momento em que o Cliente iniciou uma ação que resultaria na interrupção ou eliminação da Aplicação.</w:t>
      </w:r>
    </w:p>
    <w:p w14:paraId="44B36880" w14:textId="77777777" w:rsidR="00E563FF" w:rsidRPr="009D002E" w:rsidRDefault="00E563FF" w:rsidP="00E563FF">
      <w:pPr>
        <w:pStyle w:val="ProductList-Body"/>
        <w:rPr>
          <w:rFonts w:ascii="Calibri" w:hAnsi="Calibri" w:cs="Calibri"/>
        </w:rPr>
      </w:pPr>
      <w:r w:rsidRPr="009D002E">
        <w:rPr>
          <w:rFonts w:ascii="Calibri" w:hAnsi="Calibri" w:cs="Calibri"/>
        </w:rPr>
        <w:t>“</w:t>
      </w:r>
      <w:r w:rsidRPr="009D002E">
        <w:rPr>
          <w:rFonts w:ascii="Calibri" w:hAnsi="Calibri" w:cs="Calibri"/>
          <w:b/>
          <w:color w:val="00188F"/>
        </w:rPr>
        <w:t>Máximo de Minutos Disponíveis</w:t>
      </w:r>
      <w:r w:rsidRPr="009D002E">
        <w:rPr>
          <w:rFonts w:ascii="Calibri" w:hAnsi="Calibri" w:cs="Calibri"/>
        </w:rPr>
        <w:t>” designa a soma de todos os Minutos de Implementação em todas as Aplicações implementadas pelo Cliente numa determinada subscrição do Microsoft Azure durante um Período Aplicável</w:t>
      </w:r>
    </w:p>
    <w:p w14:paraId="31BCC926" w14:textId="77777777" w:rsidR="00E563FF" w:rsidRPr="009D002E" w:rsidRDefault="00E563FF" w:rsidP="00E563FF">
      <w:pPr>
        <w:pStyle w:val="ProductList-Body"/>
        <w:rPr>
          <w:rFonts w:ascii="Calibri" w:hAnsi="Calibri" w:cs="Calibri"/>
        </w:rPr>
      </w:pPr>
      <w:r w:rsidRPr="009D002E">
        <w:rPr>
          <w:rFonts w:ascii="Calibri" w:hAnsi="Calibri" w:cs="Calibri"/>
        </w:rPr>
        <w:t>“</w:t>
      </w:r>
      <w:r w:rsidRPr="009D002E">
        <w:rPr>
          <w:rFonts w:ascii="Calibri" w:hAnsi="Calibri" w:cs="Calibri"/>
          <w:b/>
          <w:color w:val="00188F"/>
        </w:rPr>
        <w:t>Aplicação</w:t>
      </w:r>
      <w:r w:rsidRPr="009D002E">
        <w:rPr>
          <w:rFonts w:ascii="Calibri" w:hAnsi="Calibri" w:cs="Calibri"/>
        </w:rPr>
        <w:t>” designa uma Aplicação Web, Aplicação Móvel, Aplicação API ou Aplicação Lógica implementada pelo Cliente no Serviço de Aplicações. O SLA é suportado quando é executado numa única instância e em múltiplas instâncias.</w:t>
      </w:r>
    </w:p>
    <w:p w14:paraId="327D77B2" w14:textId="77777777" w:rsidR="00E563FF" w:rsidRPr="009D002E" w:rsidRDefault="00E563FF" w:rsidP="00E563FF">
      <w:pPr>
        <w:pStyle w:val="ProductList-Body"/>
        <w:rPr>
          <w:rFonts w:ascii="Calibri" w:hAnsi="Calibri" w:cs="Calibri"/>
          <w:b/>
          <w:color w:val="00188F"/>
        </w:rPr>
      </w:pPr>
      <w:r w:rsidRPr="009D002E">
        <w:rPr>
          <w:rFonts w:ascii="Calibri" w:hAnsi="Calibri" w:cs="Calibri"/>
          <w:b/>
          <w:color w:val="00188F"/>
        </w:rPr>
        <w:t>Cálculo do Período de Disponibilidade e Níveis de Serviço para as Aplicações do Serviço de Aplicações nas Zonas de Disponibilidade</w:t>
      </w:r>
    </w:p>
    <w:p w14:paraId="1265A6AF" w14:textId="77777777" w:rsidR="00E563FF" w:rsidRPr="009D002E" w:rsidRDefault="00E563FF" w:rsidP="00E563FF">
      <w:pPr>
        <w:pStyle w:val="ProductList-Body"/>
        <w:rPr>
          <w:rFonts w:ascii="Calibri" w:hAnsi="Calibri" w:cs="Calibri"/>
        </w:rPr>
      </w:pPr>
      <w:r w:rsidRPr="009D002E">
        <w:rPr>
          <w:rFonts w:ascii="Calibri" w:hAnsi="Calibri" w:cs="Calibri"/>
        </w:rPr>
        <w:t>“</w:t>
      </w:r>
      <w:r w:rsidRPr="009D002E">
        <w:rPr>
          <w:rFonts w:ascii="Calibri" w:hAnsi="Calibri" w:cs="Calibri"/>
          <w:b/>
          <w:color w:val="0072C6"/>
        </w:rPr>
        <w:t>Máximo de Minutos Disponíveis</w:t>
      </w:r>
      <w:r w:rsidRPr="009D002E">
        <w:rPr>
          <w:rFonts w:ascii="Calibri" w:hAnsi="Calibri" w:cs="Calibri"/>
        </w:rPr>
        <w:t>” designa o total acumulado de Minutos de Implementação em todas as Aplicações ativadas para a Zona de Disponibilidade implementadas pelo Cliente numa determinada subscrição do Microsoft Azure durante um Período Aplicável.</w:t>
      </w:r>
    </w:p>
    <w:p w14:paraId="60B831D5" w14:textId="77777777" w:rsidR="00E563FF" w:rsidRPr="009D002E" w:rsidRDefault="00E563FF" w:rsidP="00E563FF">
      <w:pPr>
        <w:pStyle w:val="ProductList-Body"/>
        <w:rPr>
          <w:rFonts w:ascii="Calibri" w:hAnsi="Calibri" w:cs="Calibri"/>
        </w:rPr>
      </w:pPr>
      <w:r w:rsidRPr="009D002E">
        <w:rPr>
          <w:rFonts w:ascii="Calibri" w:hAnsi="Calibri" w:cs="Calibri"/>
        </w:rPr>
        <w:t>“</w:t>
      </w:r>
      <w:r w:rsidRPr="009D002E">
        <w:rPr>
          <w:rFonts w:ascii="Calibri" w:hAnsi="Calibri" w:cs="Calibri"/>
          <w:b/>
          <w:color w:val="0072C6"/>
        </w:rPr>
        <w:t>Período de Indisponibilidade</w:t>
      </w:r>
      <w:r w:rsidRPr="009D002E">
        <w:rPr>
          <w:rFonts w:ascii="Calibri" w:hAnsi="Calibri" w:cs="Calibri"/>
        </w:rPr>
        <w:t>” designa o total acumulado de Minutos de Implementação, em todas as Aplicações ativadas para a Zona de Disponibilidade implementadas pelo Cliente numa determinada subscrição do Microsoft Azure, durante os quais a Aplicação está indisponível. Um minuto é considerado indisponível para uma determinada Aplicação ativada para a Zona de Disponibilidade quando não existe nenhuma conectividade entre a Aplicação e o gateway de Internet da Microsoft.</w:t>
      </w:r>
    </w:p>
    <w:p w14:paraId="155CA34E" w14:textId="77777777" w:rsidR="00E563FF" w:rsidRPr="009D002E" w:rsidRDefault="00E563FF" w:rsidP="00E563FF">
      <w:pPr>
        <w:pStyle w:val="ProductList-Body"/>
        <w:rPr>
          <w:rFonts w:ascii="Calibri" w:hAnsi="Calibri" w:cs="Calibri"/>
        </w:rPr>
      </w:pPr>
      <w:r w:rsidRPr="009D002E">
        <w:rPr>
          <w:rFonts w:ascii="Calibri" w:hAnsi="Calibri" w:cs="Calibri"/>
        </w:rPr>
        <w:t>A “</w:t>
      </w:r>
      <w:r w:rsidRPr="009D002E">
        <w:rPr>
          <w:rFonts w:ascii="Calibri" w:hAnsi="Calibri" w:cs="Calibri"/>
          <w:b/>
          <w:color w:val="0072C6"/>
        </w:rPr>
        <w:t>Percentagem de Período de Disponibilidade</w:t>
      </w:r>
      <w:r w:rsidRPr="009D002E">
        <w:rPr>
          <w:rFonts w:ascii="Calibri" w:hAnsi="Calibri" w:cs="Calibri"/>
        </w:rPr>
        <w:t>” é calculada através da seguinte fórmula:</w:t>
      </w:r>
    </w:p>
    <w:p w14:paraId="1DF1A288" w14:textId="77777777" w:rsidR="00E563FF" w:rsidRDefault="00E563FF" w:rsidP="00E563FF">
      <w:pPr>
        <w:pStyle w:val="ProductList-Body"/>
        <w:ind w:left="360"/>
      </w:pPr>
    </w:p>
    <w:p w14:paraId="59F501EA" w14:textId="77777777" w:rsidR="00E563FF" w:rsidRDefault="00000000" w:rsidP="00E563FF">
      <w:pPr>
        <w:pStyle w:val="ListParagraph"/>
        <w:spacing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275744ED" w14:textId="77777777" w:rsidR="00E563FF" w:rsidRPr="00EC3D00" w:rsidRDefault="00E563FF" w:rsidP="00E563FF">
      <w:pPr>
        <w:pStyle w:val="ProductList-Body"/>
        <w:rPr>
          <w:rFonts w:ascii="Calibri" w:hAnsi="Calibri" w:cs="Calibri"/>
        </w:rPr>
      </w:pPr>
      <w:r>
        <w:rPr>
          <w:rFonts w:ascii="Calibri" w:hAnsi="Calibri" w:cs="Calibri"/>
          <w:b/>
          <w:color w:val="0072C6"/>
        </w:rPr>
        <w:t>Crédito de Serviço</w:t>
      </w:r>
      <w:r w:rsidRPr="00110E2F">
        <w:rPr>
          <w:rFonts w:ascii="Calibri" w:hAnsi="Calibri" w:cs="Calibri"/>
          <w:b/>
          <w:color w:val="0072C6"/>
        </w:rPr>
        <w:t>:</w:t>
      </w:r>
    </w:p>
    <w:p w14:paraId="59FC068C" w14:textId="77777777" w:rsidR="00E563FF" w:rsidRPr="00EC3D00" w:rsidRDefault="00E563FF" w:rsidP="00E563FF">
      <w:pPr>
        <w:pStyle w:val="ProductList-Body"/>
        <w:rPr>
          <w:rFonts w:ascii="Calibri" w:hAnsi="Calibri" w:cs="Calibri"/>
        </w:rPr>
      </w:pPr>
      <w:r>
        <w:rPr>
          <w:rFonts w:ascii="Calibri" w:hAnsi="Calibri" w:cs="Calibri"/>
        </w:rPr>
        <w:t>Os seguintes Níveis de Serviço e Créditos de Serviço são aplicáveis à utilização que o Cliente faz das Aplicações, implementadas em duas ou mais Zonas de Disponibilidade na mesma região: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563FF" w14:paraId="199D7678" w14:textId="77777777" w:rsidTr="00E50F6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4940985"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color w:val="FFFFFF" w:themeColor="background1"/>
              </w:rPr>
              <w:t>Percentagem de Período de Disponibilidade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E3DF2EF"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E563FF" w14:paraId="4161B135" w14:textId="77777777" w:rsidTr="00E50F6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D6A38C"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4D1669"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rPr>
              <w:t>10%</w:t>
            </w:r>
          </w:p>
        </w:tc>
      </w:tr>
      <w:tr w:rsidR="00E563FF" w14:paraId="15EE987F" w14:textId="77777777" w:rsidTr="00E50F6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809DB"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EFAF7"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rPr>
              <w:t>25%</w:t>
            </w:r>
          </w:p>
        </w:tc>
      </w:tr>
      <w:tr w:rsidR="00E563FF" w14:paraId="52863B13" w14:textId="77777777" w:rsidTr="00E50F6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5CED8A"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11CA2E"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rPr>
              <w:t>100%</w:t>
            </w:r>
          </w:p>
        </w:tc>
      </w:tr>
    </w:tbl>
    <w:p w14:paraId="02952531" w14:textId="77777777" w:rsidR="00E563FF" w:rsidRDefault="00E563FF" w:rsidP="00E563FF">
      <w:pPr>
        <w:pStyle w:val="ProductList-Body"/>
        <w:ind w:left="360"/>
      </w:pPr>
    </w:p>
    <w:p w14:paraId="2EC081BF" w14:textId="77777777" w:rsidR="00E563FF" w:rsidRPr="008D4657" w:rsidRDefault="00E563FF" w:rsidP="00E563FF">
      <w:pPr>
        <w:pStyle w:val="ProductList-Body"/>
        <w:rPr>
          <w:rFonts w:ascii="Calibri" w:hAnsi="Calibri" w:cs="Calibri"/>
          <w:b/>
          <w:color w:val="00188F"/>
        </w:rPr>
      </w:pPr>
      <w:r w:rsidRPr="008D4657">
        <w:rPr>
          <w:rFonts w:ascii="Calibri" w:hAnsi="Calibri" w:cs="Calibri"/>
          <w:b/>
          <w:color w:val="00188F"/>
        </w:rPr>
        <w:t>Cálculo de Período de Disponibilidade e dos Níveis de Serviço para as Aplicações do Serviço de Aplicações que não utilizam Zonas de Disponibilidade</w:t>
      </w:r>
    </w:p>
    <w:p w14:paraId="2A3E5807" w14:textId="77777777" w:rsidR="00E563FF" w:rsidRPr="008D4657" w:rsidRDefault="00E563FF" w:rsidP="00E563FF">
      <w:pPr>
        <w:pStyle w:val="ProductList-Body"/>
        <w:rPr>
          <w:rFonts w:ascii="Calibri" w:hAnsi="Calibri" w:cs="Calibri"/>
        </w:rPr>
      </w:pPr>
      <w:r w:rsidRPr="008D4657">
        <w:rPr>
          <w:rFonts w:ascii="Calibri" w:hAnsi="Calibri" w:cs="Calibri"/>
        </w:rPr>
        <w:t>“</w:t>
      </w:r>
      <w:r w:rsidRPr="008D4657">
        <w:rPr>
          <w:rFonts w:ascii="Calibri" w:hAnsi="Calibri" w:cs="Calibri"/>
          <w:b/>
          <w:color w:val="0072C6"/>
        </w:rPr>
        <w:t>Máximo de Minutos Disponíveis</w:t>
      </w:r>
      <w:r w:rsidRPr="008D4657">
        <w:rPr>
          <w:rFonts w:ascii="Calibri" w:hAnsi="Calibri" w:cs="Calibri"/>
        </w:rPr>
        <w:t>” designa o total acumulado de Minutos de Implementação em todas as Aplicações implementadas pelo Cliente numa determinada subscrição do Microsoft Azure durante um Período Aplicável.</w:t>
      </w:r>
    </w:p>
    <w:p w14:paraId="34C3D4A4" w14:textId="77777777" w:rsidR="00E563FF" w:rsidRPr="008D4657" w:rsidRDefault="00E563FF" w:rsidP="00E563FF">
      <w:pPr>
        <w:pStyle w:val="ProductList-Body"/>
        <w:rPr>
          <w:rFonts w:ascii="Calibri" w:hAnsi="Calibri" w:cs="Calibri"/>
        </w:rPr>
      </w:pPr>
      <w:r w:rsidRPr="008D4657">
        <w:rPr>
          <w:rFonts w:ascii="Calibri" w:hAnsi="Calibri" w:cs="Calibri"/>
        </w:rPr>
        <w:t>“</w:t>
      </w:r>
      <w:r w:rsidRPr="008D4657">
        <w:rPr>
          <w:rFonts w:ascii="Calibri" w:hAnsi="Calibri" w:cs="Calibri"/>
          <w:b/>
          <w:color w:val="0072C6"/>
        </w:rPr>
        <w:t>Período de Indisponibilidade</w:t>
      </w:r>
      <w:r w:rsidRPr="008D4657">
        <w:rPr>
          <w:rFonts w:ascii="Calibri" w:hAnsi="Calibri" w:cs="Calibri"/>
        </w:rPr>
        <w:t>” designa o total acumulado de Minutos de Implementação, em todas as Aplicações implementadas pelo Cliente numa determinada subscrição do Microsoft Azure, na qual a Aplicação está indisponível. Um minuto é considerado indisponível para uma determinada Aplicação quando não existe nenhuma conectividade entre a Aplicação e o gateway de Internet da Microsoft.</w:t>
      </w:r>
    </w:p>
    <w:p w14:paraId="57C17816" w14:textId="77777777" w:rsidR="00E563FF" w:rsidRPr="008D4657" w:rsidRDefault="00E563FF" w:rsidP="00E563FF">
      <w:pPr>
        <w:pStyle w:val="ProductList-Body"/>
        <w:rPr>
          <w:rFonts w:ascii="Calibri" w:hAnsi="Calibri" w:cs="Calibri"/>
        </w:rPr>
      </w:pPr>
      <w:r w:rsidRPr="008D4657">
        <w:rPr>
          <w:rFonts w:ascii="Calibri" w:hAnsi="Calibri" w:cs="Calibri"/>
        </w:rPr>
        <w:t>A “</w:t>
      </w:r>
      <w:r w:rsidRPr="008D4657">
        <w:rPr>
          <w:rFonts w:ascii="Calibri" w:hAnsi="Calibri" w:cs="Calibri"/>
          <w:b/>
          <w:color w:val="0072C6"/>
        </w:rPr>
        <w:t>Percentagem de Período de Disponibilidade</w:t>
      </w:r>
      <w:r w:rsidRPr="008D4657">
        <w:rPr>
          <w:rFonts w:ascii="Calibri" w:hAnsi="Calibri" w:cs="Calibri"/>
        </w:rPr>
        <w:t>” é calculada através da seguinte fórmula:</w:t>
      </w:r>
    </w:p>
    <w:p w14:paraId="56538AD3" w14:textId="3FFB444B" w:rsidR="001E0CE1" w:rsidRPr="00566946" w:rsidRDefault="00000000" w:rsidP="003D6A6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248ECBC" w14:textId="29E1CBC8" w:rsidR="00E563FF" w:rsidRPr="00EC3D00" w:rsidRDefault="00E563FF" w:rsidP="00E563FF">
      <w:pPr>
        <w:pStyle w:val="ProductList-Body"/>
        <w:keepNext/>
        <w:rPr>
          <w:rFonts w:ascii="Calibri" w:hAnsi="Calibri" w:cs="Calibri"/>
        </w:rPr>
      </w:pPr>
      <w:r>
        <w:rPr>
          <w:rFonts w:ascii="Calibri" w:hAnsi="Calibri" w:cs="Calibri"/>
          <w:b/>
          <w:color w:val="00188F"/>
        </w:rPr>
        <w:t>Crédito de Serviço</w:t>
      </w:r>
      <w:r w:rsidRPr="00FA7D6E">
        <w:rPr>
          <w:rFonts w:ascii="Calibri" w:hAnsi="Calibri" w:cs="Calibri"/>
          <w:b/>
          <w:color w:val="00188F"/>
        </w:rPr>
        <w:t>:</w:t>
      </w:r>
    </w:p>
    <w:p w14:paraId="52AED3E5" w14:textId="77777777" w:rsidR="00E563FF" w:rsidRPr="00EC3D00" w:rsidRDefault="00E563FF" w:rsidP="00E563FF">
      <w:pPr>
        <w:pStyle w:val="ProductList-Body"/>
        <w:rPr>
          <w:rFonts w:ascii="Calibri" w:hAnsi="Calibri" w:cs="Calibri"/>
        </w:rPr>
      </w:pPr>
      <w:r>
        <w:rPr>
          <w:rFonts w:ascii="Calibri" w:hAnsi="Calibri" w:cs="Calibri"/>
        </w:rPr>
        <w:t>Os seguintes Níveis de Serviço e Créditos de Serviço são aplicáveis à utilização que o Cliente faz das Aplicações que não utilizam Zonas de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563FF" w:rsidRPr="00B44CF9" w14:paraId="2FC19E57" w14:textId="77777777" w:rsidTr="00E50F69">
        <w:trPr>
          <w:tblHeader/>
        </w:trPr>
        <w:tc>
          <w:tcPr>
            <w:tcW w:w="5400" w:type="dxa"/>
            <w:shd w:val="clear" w:color="auto" w:fill="0072C6"/>
          </w:tcPr>
          <w:p w14:paraId="1803CBBD"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color w:val="FFFFFF" w:themeColor="background1"/>
              </w:rPr>
              <w:t>Percentagem de Período de Disponibilidade</w:t>
            </w:r>
          </w:p>
        </w:tc>
        <w:tc>
          <w:tcPr>
            <w:tcW w:w="5400" w:type="dxa"/>
            <w:shd w:val="clear" w:color="auto" w:fill="0072C6"/>
          </w:tcPr>
          <w:p w14:paraId="64ABD971" w14:textId="77777777" w:rsidR="00E563FF" w:rsidRPr="00EC3D00" w:rsidRDefault="00E563FF" w:rsidP="00E50F6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E563FF" w:rsidRPr="00B44CF9" w14:paraId="6F055244" w14:textId="77777777" w:rsidTr="00E50F69">
        <w:tc>
          <w:tcPr>
            <w:tcW w:w="5400" w:type="dxa"/>
          </w:tcPr>
          <w:p w14:paraId="31E444BA" w14:textId="77777777" w:rsidR="00E563FF" w:rsidRPr="00EC3D00" w:rsidRDefault="00E563FF" w:rsidP="00E50F69">
            <w:pPr>
              <w:pStyle w:val="ProductList-OfferingBody"/>
              <w:jc w:val="center"/>
              <w:rPr>
                <w:rFonts w:ascii="Calibri" w:hAnsi="Calibri" w:cs="Calibri"/>
              </w:rPr>
            </w:pPr>
            <w:r>
              <w:rPr>
                <w:rFonts w:ascii="Calibri" w:hAnsi="Calibri" w:cs="Calibri"/>
              </w:rPr>
              <w:t>&lt; 99,95%</w:t>
            </w:r>
          </w:p>
        </w:tc>
        <w:tc>
          <w:tcPr>
            <w:tcW w:w="5400" w:type="dxa"/>
          </w:tcPr>
          <w:p w14:paraId="1D2D543C" w14:textId="77777777" w:rsidR="00E563FF" w:rsidRPr="00EC3D00" w:rsidRDefault="00E563FF" w:rsidP="00E50F69">
            <w:pPr>
              <w:pStyle w:val="ProductList-OfferingBody"/>
              <w:jc w:val="center"/>
              <w:rPr>
                <w:rFonts w:ascii="Calibri" w:hAnsi="Calibri" w:cs="Calibri"/>
              </w:rPr>
            </w:pPr>
            <w:r>
              <w:rPr>
                <w:rFonts w:ascii="Calibri" w:hAnsi="Calibri" w:cs="Calibri"/>
              </w:rPr>
              <w:t>10%</w:t>
            </w:r>
          </w:p>
        </w:tc>
      </w:tr>
      <w:tr w:rsidR="00E563FF" w:rsidRPr="00B44CF9" w14:paraId="3FF8144F" w14:textId="77777777" w:rsidTr="00E50F69">
        <w:tc>
          <w:tcPr>
            <w:tcW w:w="5400" w:type="dxa"/>
          </w:tcPr>
          <w:p w14:paraId="3A31FE0E" w14:textId="77777777" w:rsidR="00E563FF" w:rsidRPr="00EC3D00" w:rsidRDefault="00E563FF" w:rsidP="00E50F69">
            <w:pPr>
              <w:pStyle w:val="ProductList-OfferingBody"/>
              <w:jc w:val="center"/>
              <w:rPr>
                <w:rFonts w:ascii="Calibri" w:hAnsi="Calibri" w:cs="Calibri"/>
              </w:rPr>
            </w:pPr>
            <w:r>
              <w:rPr>
                <w:rFonts w:ascii="Calibri" w:hAnsi="Calibri" w:cs="Calibri"/>
              </w:rPr>
              <w:t>&lt; 99%</w:t>
            </w:r>
          </w:p>
        </w:tc>
        <w:tc>
          <w:tcPr>
            <w:tcW w:w="5400" w:type="dxa"/>
          </w:tcPr>
          <w:p w14:paraId="2AEC2299" w14:textId="77777777" w:rsidR="00E563FF" w:rsidRPr="00EC3D00" w:rsidRDefault="00E563FF" w:rsidP="00E50F69">
            <w:pPr>
              <w:pStyle w:val="ProductList-OfferingBody"/>
              <w:jc w:val="center"/>
              <w:rPr>
                <w:rFonts w:ascii="Calibri" w:hAnsi="Calibri" w:cs="Calibri"/>
              </w:rPr>
            </w:pPr>
            <w:r>
              <w:rPr>
                <w:rFonts w:ascii="Calibri" w:hAnsi="Calibri" w:cs="Calibri"/>
              </w:rPr>
              <w:t>25%</w:t>
            </w:r>
          </w:p>
        </w:tc>
      </w:tr>
      <w:tr w:rsidR="00E563FF" w:rsidRPr="00B44CF9" w14:paraId="4AFB6F3A" w14:textId="77777777" w:rsidTr="00E50F69">
        <w:tc>
          <w:tcPr>
            <w:tcW w:w="5400" w:type="dxa"/>
          </w:tcPr>
          <w:p w14:paraId="2B2FF48A" w14:textId="77777777" w:rsidR="00E563FF" w:rsidRPr="00EC3D00" w:rsidRDefault="00E563FF" w:rsidP="00E50F69">
            <w:pPr>
              <w:pStyle w:val="ProductList-OfferingBody"/>
              <w:jc w:val="center"/>
              <w:rPr>
                <w:rFonts w:ascii="Calibri" w:hAnsi="Calibri" w:cs="Calibri"/>
              </w:rPr>
            </w:pPr>
            <w:r>
              <w:rPr>
                <w:rFonts w:ascii="Calibri" w:hAnsi="Calibri" w:cs="Calibri"/>
              </w:rPr>
              <w:t>&lt; 95%</w:t>
            </w:r>
          </w:p>
        </w:tc>
        <w:tc>
          <w:tcPr>
            <w:tcW w:w="5400" w:type="dxa"/>
          </w:tcPr>
          <w:p w14:paraId="69C523CD" w14:textId="77777777" w:rsidR="00E563FF" w:rsidRPr="00EC3D00" w:rsidRDefault="00E563FF" w:rsidP="00E50F69">
            <w:pPr>
              <w:pStyle w:val="ProductList-OfferingBody"/>
              <w:jc w:val="center"/>
              <w:rPr>
                <w:rFonts w:ascii="Calibri" w:hAnsi="Calibri" w:cs="Calibri"/>
              </w:rPr>
            </w:pPr>
            <w:r>
              <w:rPr>
                <w:rFonts w:ascii="Calibri" w:hAnsi="Calibri" w:cs="Calibri"/>
              </w:rPr>
              <w:t>100%</w:t>
            </w:r>
          </w:p>
        </w:tc>
      </w:tr>
    </w:tbl>
    <w:p w14:paraId="2AE6D24C" w14:textId="77777777" w:rsidR="00E563FF" w:rsidRDefault="00E563FF" w:rsidP="00E563FF">
      <w:pPr>
        <w:pStyle w:val="ProductList-Body"/>
        <w:spacing w:before="120"/>
        <w:rPr>
          <w:rFonts w:ascii="Calibri" w:hAnsi="Calibri" w:cs="Calibri"/>
        </w:rPr>
      </w:pPr>
      <w:r>
        <w:rPr>
          <w:rFonts w:ascii="Calibri" w:hAnsi="Calibri" w:cs="Calibri"/>
          <w:b/>
          <w:bCs/>
          <w:color w:val="00188F"/>
        </w:rPr>
        <w:t>Termos Adicionais</w:t>
      </w:r>
      <w:r w:rsidRPr="00140BB8">
        <w:rPr>
          <w:rFonts w:ascii="Calibri" w:hAnsi="Calibri" w:cs="Calibri"/>
          <w:b/>
          <w:bCs/>
          <w:color w:val="00188F"/>
        </w:rPr>
        <w:t>:</w:t>
      </w:r>
      <w:r>
        <w:rPr>
          <w:rFonts w:ascii="Calibri" w:hAnsi="Calibri" w:cs="Calibri"/>
          <w:b/>
          <w:bCs/>
          <w:color w:val="00188F"/>
        </w:rPr>
        <w:t xml:space="preserve"> </w:t>
      </w:r>
      <w:r>
        <w:rPr>
          <w:rFonts w:ascii="Calibri" w:hAnsi="Calibri" w:cs="Calibri"/>
        </w:rPr>
        <w:t>Os Créditos de Serviço só são aplicáveis a taxas passíveis de serem atribuídas à utilização que o Cliente faz das Aplicações Web, Aplicações Móveis, Aplicações API ou Aplicações Lógicas e não a taxas passíveis de serem atribuídas a outros tipos de aplicações disponíveis através do Serviço de Aplicações, que não são cobertas por este SLA.</w:t>
      </w:r>
    </w:p>
    <w:p w14:paraId="3FD80881" w14:textId="1046DD3E" w:rsidR="00A93A5F" w:rsidRPr="00A93A5F" w:rsidRDefault="00A93A5F" w:rsidP="00E563FF">
      <w:pPr>
        <w:pStyle w:val="ProductList-Body"/>
        <w:spacing w:before="120"/>
        <w:rPr>
          <w:rFonts w:ascii="Calibri" w:hAnsi="Calibri" w:cs="Calibri"/>
          <w:szCs w:val="18"/>
        </w:rPr>
      </w:pPr>
      <w:r w:rsidRPr="00212951">
        <w:rPr>
          <w:rFonts w:ascii="Calibri" w:hAnsi="Calibri" w:cs="Calibri"/>
          <w:szCs w:val="18"/>
        </w:rPr>
        <w:t>A partir de 1 de setembro de 2024, o Ambiente do Serviço de Aplicações versão 1 e versão 2 são funcionalidades do Serviço retiradas e as respetivas Janelas de Suporte expiraram. O App Service já não oferece quaisquer garantias de Nível de Serviço e, por extensão, Créditos de Serviço, para problemas de desempenho ou disponibilidade relacionados com cargas de trabalho em execução no Ambiente do Serviço de Aplicações versão 1 e versão 2.</w:t>
      </w:r>
    </w:p>
    <w:p w14:paraId="72C8A5CA"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1F9D7C6" w14:textId="77777777" w:rsidR="004005AF" w:rsidRPr="00EF7CF9" w:rsidRDefault="004005AF" w:rsidP="00F01ED6">
      <w:pPr>
        <w:pStyle w:val="ProductList-Offering2Heading"/>
        <w:tabs>
          <w:tab w:val="clear" w:pos="360"/>
          <w:tab w:val="clear" w:pos="720"/>
          <w:tab w:val="clear" w:pos="1080"/>
        </w:tabs>
        <w:outlineLvl w:val="2"/>
      </w:pPr>
      <w:bookmarkStart w:id="134" w:name="_Toc239176423"/>
      <w:r>
        <w:t>Gateway de Aplicação</w:t>
      </w:r>
      <w:bookmarkEnd w:id="132"/>
      <w:bookmarkEnd w:id="133"/>
      <w:bookmarkEnd w:id="134"/>
    </w:p>
    <w:p w14:paraId="38D78F29" w14:textId="77777777" w:rsidR="004005AF" w:rsidRPr="00EF7CF9" w:rsidRDefault="004005AF" w:rsidP="00F01ED6">
      <w:pPr>
        <w:pStyle w:val="ProductList-Body"/>
      </w:pPr>
      <w:r>
        <w:rPr>
          <w:b/>
          <w:color w:val="00188F"/>
        </w:rPr>
        <w:t>Definições Adicionais</w:t>
      </w:r>
      <w:r w:rsidRPr="00473DD3">
        <w:rPr>
          <w:b/>
          <w:color w:val="00188F"/>
        </w:rPr>
        <w:t>:</w:t>
      </w:r>
    </w:p>
    <w:p w14:paraId="409BF5A1" w14:textId="044F984E" w:rsidR="004005AF" w:rsidRPr="00EF7CF9" w:rsidRDefault="00380305" w:rsidP="003D6A6E">
      <w:pPr>
        <w:pStyle w:val="ProductList-Body"/>
      </w:pPr>
      <w:r>
        <w:t>“</w:t>
      </w:r>
      <w:r w:rsidR="004005AF">
        <w:rPr>
          <w:b/>
          <w:color w:val="00188F"/>
        </w:rPr>
        <w:t>Serviço em Nuvem de Gateway de Aplicação</w:t>
      </w:r>
      <w:r>
        <w:t>”</w:t>
      </w:r>
      <w:r w:rsidR="004005AF">
        <w:t xml:space="preserve"> designa uma coleção de duas ou mais instâncias ou implementações de média ou grande dimensão</w:t>
      </w:r>
      <w:r w:rsidR="00007391">
        <w:t> </w:t>
      </w:r>
      <w:r w:rsidR="004005AF">
        <w:t>do Gateway de Aplicação capazes de suportar escala automática ou redundância por zona, configuradas para executarem serviços de</w:t>
      </w:r>
      <w:r w:rsidR="00007391">
        <w:t> </w:t>
      </w:r>
      <w:r w:rsidR="004005AF">
        <w:t>balanceamento de carga HTTP.</w:t>
      </w:r>
    </w:p>
    <w:p w14:paraId="3A2B043F" w14:textId="0B6CEDB6" w:rsidR="004005AF" w:rsidRPr="00EF7CF9" w:rsidRDefault="00380305" w:rsidP="003D6A6E">
      <w:pPr>
        <w:pStyle w:val="ProductList-Body"/>
      </w:pPr>
      <w:r>
        <w:t>“</w:t>
      </w:r>
      <w:r w:rsidR="004005AF">
        <w:rPr>
          <w:b/>
          <w:color w:val="00188F"/>
        </w:rPr>
        <w:t>Máximo de Minutos Disponíveis</w:t>
      </w:r>
      <w:r>
        <w:t>”</w:t>
      </w:r>
      <w:r w:rsidR="004005AF">
        <w:t xml:space="preserve"> designa o total de minutos acumulados durante um Período Aplicável durante o qual um determinado Serviço em Nuvem de Gateway de Aplicação tenha sido implementado numa subscrição do Microsoft Azure.</w:t>
      </w:r>
    </w:p>
    <w:p w14:paraId="27881ED1" w14:textId="39A2BE80" w:rsidR="004005AF" w:rsidRPr="00EF7CF9" w:rsidRDefault="004005AF" w:rsidP="003D6A6E">
      <w:pPr>
        <w:pStyle w:val="ProductList-Body"/>
      </w:pPr>
      <w:r>
        <w:rPr>
          <w:b/>
          <w:color w:val="00188F"/>
        </w:rPr>
        <w:t>Período de Indisponibilidade</w:t>
      </w:r>
      <w:r w:rsidRPr="00473DD3">
        <w:rPr>
          <w:b/>
          <w:color w:val="00188F"/>
        </w:rPr>
        <w:t>:</w:t>
      </w:r>
      <w:r>
        <w:t xml:space="preserve"> designa o total acumulado de Máximo de Minutos Disponíveis durante um Período Aplicável para um determinado Serviço em Nuvem de Gateway de Aplicação durante o qual o Serviço em Nuvem de Gateway de Aplicação está indisponível. Um determinado minuto é considerado indisponível se todas as tentativas de ligação ao Serviço em Nuvem de Gateway de Aplicação durante esse minuto falharem.</w:t>
      </w:r>
    </w:p>
    <w:p w14:paraId="71CE672F" w14:textId="5E7BA27A" w:rsidR="004005AF" w:rsidRDefault="00AC48A7" w:rsidP="00044317">
      <w:pPr>
        <w:pStyle w:val="ProductList-Body"/>
        <w:keepNext/>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F8325E7" w14:textId="11E086FB" w:rsidR="004005AF" w:rsidRPr="00EF7CF9" w:rsidRDefault="00000000" w:rsidP="003D6A6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551F904" w14:textId="77777777" w:rsidR="004005AF" w:rsidRPr="00EF7CF9" w:rsidRDefault="004005AF"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8694978"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775144B4" w14:textId="77777777" w:rsidTr="00277097">
        <w:tc>
          <w:tcPr>
            <w:tcW w:w="5400" w:type="dxa"/>
          </w:tcPr>
          <w:p w14:paraId="146FF228" w14:textId="77777777" w:rsidR="004005AF" w:rsidRPr="00EF7CF9" w:rsidRDefault="004005AF" w:rsidP="00F01ED6">
            <w:pPr>
              <w:pStyle w:val="ProductList-OfferingBody"/>
              <w:jc w:val="center"/>
            </w:pPr>
            <w:r>
              <w:t>&lt; 99,95%</w:t>
            </w:r>
          </w:p>
        </w:tc>
        <w:tc>
          <w:tcPr>
            <w:tcW w:w="5400" w:type="dxa"/>
          </w:tcPr>
          <w:p w14:paraId="25A99F4E" w14:textId="77777777" w:rsidR="004005AF" w:rsidRPr="00EF7CF9" w:rsidRDefault="004005AF" w:rsidP="00F01ED6">
            <w:pPr>
              <w:pStyle w:val="ProductList-OfferingBody"/>
              <w:jc w:val="center"/>
            </w:pPr>
            <w:r>
              <w:t>10%</w:t>
            </w:r>
          </w:p>
        </w:tc>
      </w:tr>
      <w:tr w:rsidR="004005AF" w:rsidRPr="00B44CF9" w14:paraId="72795E6F" w14:textId="77777777" w:rsidTr="00277097">
        <w:tc>
          <w:tcPr>
            <w:tcW w:w="5400" w:type="dxa"/>
          </w:tcPr>
          <w:p w14:paraId="03C5B7A3" w14:textId="77777777" w:rsidR="004005AF" w:rsidRPr="00EF7CF9" w:rsidRDefault="004005AF" w:rsidP="00F01ED6">
            <w:pPr>
              <w:pStyle w:val="ProductList-OfferingBody"/>
              <w:jc w:val="center"/>
            </w:pPr>
            <w:r>
              <w:t>&lt; 99%</w:t>
            </w:r>
          </w:p>
        </w:tc>
        <w:tc>
          <w:tcPr>
            <w:tcW w:w="5400" w:type="dxa"/>
          </w:tcPr>
          <w:p w14:paraId="5322A0A3" w14:textId="77777777" w:rsidR="004005AF" w:rsidRPr="00EF7CF9" w:rsidRDefault="004005AF" w:rsidP="00F01ED6">
            <w:pPr>
              <w:pStyle w:val="ProductList-OfferingBody"/>
              <w:jc w:val="center"/>
            </w:pPr>
            <w:r>
              <w:t>25%</w:t>
            </w:r>
          </w:p>
        </w:tc>
      </w:tr>
    </w:tbl>
    <w:bookmarkStart w:id="135" w:name="_Toc526859647"/>
    <w:bookmarkStart w:id="136" w:name="_Toc527039296"/>
    <w:bookmarkStart w:id="137" w:name="_Toc52348921"/>
    <w:bookmarkStart w:id="138" w:name="ApplicationInsights"/>
    <w:bookmarkStart w:id="139" w:name="_Toc457821538"/>
    <w:p w14:paraId="6857B075"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0D45E737" w14:textId="340931FA" w:rsidR="00673D78" w:rsidRDefault="00673D78" w:rsidP="00673D78">
      <w:pPr>
        <w:pStyle w:val="ProductList-Offering2Heading"/>
        <w:tabs>
          <w:tab w:val="clear" w:pos="360"/>
          <w:tab w:val="clear" w:pos="720"/>
          <w:tab w:val="clear" w:pos="1080"/>
        </w:tabs>
        <w:outlineLvl w:val="2"/>
      </w:pPr>
      <w:bookmarkStart w:id="140" w:name="_Toc239176424"/>
      <w:r>
        <w:t>Gateway de Aplicação para Conte</w:t>
      </w:r>
      <w:r w:rsidR="00FB5759">
        <w:t>ntores</w:t>
      </w:r>
      <w:bookmarkEnd w:id="140"/>
    </w:p>
    <w:p w14:paraId="24CFA761" w14:textId="77777777" w:rsidR="00C60C0B" w:rsidRPr="00420E5B" w:rsidRDefault="00C60C0B" w:rsidP="00C60C0B">
      <w:pPr>
        <w:pStyle w:val="ProductList-Body"/>
        <w:rPr>
          <w:rFonts w:ascii="Calibri" w:hAnsi="Calibri" w:cs="Calibri"/>
        </w:rPr>
      </w:pPr>
      <w:r>
        <w:rPr>
          <w:rFonts w:ascii="Calibri" w:hAnsi="Calibri" w:cs="Calibri"/>
          <w:b/>
          <w:color w:val="00188F"/>
        </w:rPr>
        <w:t>Definições Adicionais</w:t>
      </w:r>
      <w:r w:rsidRPr="00924CFC">
        <w:rPr>
          <w:rFonts w:ascii="Calibri" w:hAnsi="Calibri" w:cs="Calibri"/>
          <w:b/>
          <w:bCs/>
        </w:rPr>
        <w:t>:</w:t>
      </w:r>
    </w:p>
    <w:p w14:paraId="4D54EE88" w14:textId="77777777" w:rsidR="00C60C0B" w:rsidRPr="00420E5B" w:rsidRDefault="00C60C0B" w:rsidP="00C60C0B">
      <w:pPr>
        <w:pStyle w:val="ProductList-Body"/>
        <w:spacing w:after="40"/>
        <w:rPr>
          <w:rFonts w:ascii="Calibri" w:hAnsi="Calibri" w:cs="Calibri"/>
        </w:rPr>
      </w:pPr>
      <w:r>
        <w:rPr>
          <w:rFonts w:ascii="Calibri" w:hAnsi="Calibri" w:cs="Calibri"/>
        </w:rPr>
        <w:t>“</w:t>
      </w:r>
      <w:r>
        <w:rPr>
          <w:rFonts w:ascii="Calibri" w:hAnsi="Calibri" w:cs="Calibri"/>
          <w:b/>
          <w:bCs/>
          <w:color w:val="00188F"/>
        </w:rPr>
        <w:t>Gateway de Aplicação para Contentores</w:t>
      </w:r>
      <w:r>
        <w:rPr>
          <w:rFonts w:ascii="Calibri" w:hAnsi="Calibri" w:cs="Calibri"/>
        </w:rPr>
        <w:t>” designa os conceitos de plano de controlo e plano de dados para prestar serviços de balanceamento de carga HTTP.</w:t>
      </w:r>
    </w:p>
    <w:p w14:paraId="4E4FBD62" w14:textId="77777777" w:rsidR="00C60C0B" w:rsidRPr="00420E5B" w:rsidRDefault="00C60C0B" w:rsidP="00C60C0B">
      <w:pPr>
        <w:pStyle w:val="ProductList-Body"/>
        <w:spacing w:after="40"/>
        <w:rPr>
          <w:rFonts w:ascii="Calibri" w:hAnsi="Calibri" w:cs="Calibri"/>
        </w:rPr>
      </w:pPr>
      <w:r>
        <w:rPr>
          <w:rFonts w:ascii="Calibri" w:hAnsi="Calibri" w:cs="Calibri"/>
        </w:rPr>
        <w:t>“</w:t>
      </w:r>
      <w:r>
        <w:rPr>
          <w:rFonts w:ascii="Calibri" w:hAnsi="Calibri" w:cs="Calibri"/>
          <w:b/>
          <w:bCs/>
          <w:color w:val="00188F"/>
        </w:rPr>
        <w:t>Controlador ALB</w:t>
      </w:r>
      <w:r>
        <w:rPr>
          <w:rFonts w:ascii="Calibri" w:hAnsi="Calibri" w:cs="Calibri"/>
        </w:rPr>
        <w:t>” designa o componente instalado no cluster de Kubernetes do cliente que é responsável pela conversão e transmissão da configuração definida pelo utilizador no cluster de Kubernetes para o Gateway de Aplicação para Contentores.</w:t>
      </w:r>
    </w:p>
    <w:p w14:paraId="64213A9B" w14:textId="77777777" w:rsidR="00C60C0B" w:rsidRPr="00420E5B" w:rsidRDefault="00C60C0B" w:rsidP="00C60C0B">
      <w:pPr>
        <w:pStyle w:val="ProductList-Body"/>
        <w:spacing w:after="40"/>
        <w:rPr>
          <w:rFonts w:ascii="Calibri" w:hAnsi="Calibri" w:cs="Calibri"/>
        </w:rPr>
      </w:pPr>
      <w:r>
        <w:rPr>
          <w:rFonts w:ascii="Calibri" w:hAnsi="Calibri" w:cs="Calibri"/>
        </w:rPr>
        <w:t>“</w:t>
      </w:r>
      <w:r>
        <w:rPr>
          <w:rFonts w:ascii="Calibri" w:hAnsi="Calibri" w:cs="Calibri"/>
          <w:b/>
          <w:bCs/>
          <w:color w:val="00188F"/>
        </w:rPr>
        <w:t>Máximo de Minutos Disponíveis</w:t>
      </w:r>
      <w:r>
        <w:rPr>
          <w:rFonts w:ascii="Calibri" w:hAnsi="Calibri" w:cs="Calibri"/>
        </w:rPr>
        <w:t>” designa o total de minutos acumulados num mês de faturação durante o qual um Serviço de Gateway de Aplicação para Contentores foi implementado numa subscrição do Azure.</w:t>
      </w:r>
    </w:p>
    <w:p w14:paraId="69D23CA0" w14:textId="77777777" w:rsidR="00C60C0B" w:rsidRPr="00420E5B" w:rsidRDefault="00C60C0B" w:rsidP="00C60C0B">
      <w:pPr>
        <w:pStyle w:val="ProductList-Body"/>
        <w:spacing w:after="40"/>
        <w:rPr>
          <w:rFonts w:ascii="Calibri" w:hAnsi="Calibri" w:cs="Calibri"/>
        </w:rPr>
      </w:pPr>
      <w:r>
        <w:rPr>
          <w:rFonts w:ascii="Calibri" w:hAnsi="Calibri" w:cs="Calibri"/>
        </w:rPr>
        <w:t>“</w:t>
      </w:r>
      <w:r>
        <w:rPr>
          <w:rFonts w:ascii="Calibri" w:hAnsi="Calibri" w:cs="Calibri"/>
          <w:b/>
          <w:bCs/>
          <w:color w:val="00188F"/>
        </w:rPr>
        <w:t>Período de Indisponibilidade do Plano de Controlo</w:t>
      </w:r>
      <w:r>
        <w:rPr>
          <w:rFonts w:ascii="Calibri" w:hAnsi="Calibri" w:cs="Calibri"/>
        </w:rPr>
        <w:t>” designa o total de minutos acumulados num mês de faturação para um determinado recurso do Gateway de Aplicação para Contentores durante o qual as alterações ao plano de controlo do Gateway de Aplicação para Contentores estão indisponíveis. Um determinado minuto é considerado indisponível se todas as ligações iniciadas pelo Controlador ALB do Gateway de Aplicação para Contentor ao longo do minuto falharem.</w:t>
      </w:r>
    </w:p>
    <w:p w14:paraId="416CAAAE" w14:textId="77777777" w:rsidR="00C60C0B" w:rsidRPr="00420E5B" w:rsidRDefault="00C60C0B" w:rsidP="00C60C0B">
      <w:pPr>
        <w:pStyle w:val="ProductList-Body"/>
        <w:spacing w:after="40"/>
        <w:rPr>
          <w:rFonts w:ascii="Calibri" w:hAnsi="Calibri" w:cs="Calibri"/>
        </w:rPr>
      </w:pPr>
      <w:r>
        <w:rPr>
          <w:rFonts w:ascii="Calibri" w:hAnsi="Calibri" w:cs="Calibri"/>
        </w:rPr>
        <w:t>“</w:t>
      </w:r>
      <w:r>
        <w:rPr>
          <w:rFonts w:ascii="Calibri" w:hAnsi="Calibri" w:cs="Calibri"/>
          <w:b/>
          <w:bCs/>
          <w:color w:val="00188F"/>
        </w:rPr>
        <w:t>Período de Indisponibilidade do Plano de Dados</w:t>
      </w:r>
      <w:r>
        <w:rPr>
          <w:rFonts w:ascii="Calibri" w:hAnsi="Calibri" w:cs="Calibri"/>
        </w:rPr>
        <w:t>” designa o total de minutos acumulados num mês de faturação para uma determinada implementação do Gateway de Aplicação para Contentores durante o qual o plano de dados do Gateway de Aplicação para Contentores está indisponível. Um determinado minuto é considerado indisponível se todas as tentativas de ligação a um front-end do Gateway de Aplicação para Contentores durante esse minuto falharem.</w:t>
      </w:r>
    </w:p>
    <w:p w14:paraId="00DCA5EA" w14:textId="77777777" w:rsidR="00C60C0B" w:rsidRPr="00420E5B" w:rsidRDefault="00C60C0B" w:rsidP="00C60C0B">
      <w:pPr>
        <w:pStyle w:val="ProductList-Body"/>
        <w:spacing w:after="40"/>
        <w:rPr>
          <w:rFonts w:ascii="Calibri" w:hAnsi="Calibri" w:cs="Calibri"/>
        </w:rPr>
      </w:pPr>
      <w:r>
        <w:rPr>
          <w:rFonts w:ascii="Calibri" w:hAnsi="Calibri" w:cs="Calibri"/>
          <w:b/>
          <w:color w:val="00188F"/>
        </w:rPr>
        <w:t>Percentagem de Período de Disponibilidade Mensal</w:t>
      </w:r>
      <w:r w:rsidRPr="00924CFC">
        <w:rPr>
          <w:rFonts w:ascii="Calibri" w:hAnsi="Calibri" w:cs="Calibri"/>
          <w:b/>
          <w:bCs/>
        </w:rPr>
        <w:t>:</w:t>
      </w:r>
      <w:r>
        <w:rPr>
          <w:rFonts w:ascii="Calibri" w:hAnsi="Calibri" w:cs="Calibri"/>
        </w:rPr>
        <w:t xml:space="preserve"> A Percentagem de Período de Disponibilidade Mensal é calculada através da seguinte fórmula:</w:t>
      </w:r>
    </w:p>
    <w:p w14:paraId="2BD5A72C" w14:textId="77777777" w:rsidR="00C60C0B" w:rsidRDefault="00C60C0B" w:rsidP="00C60C0B">
      <w:pPr>
        <w:pStyle w:val="ProductList-Body"/>
      </w:pPr>
    </w:p>
    <w:p w14:paraId="0222BC53" w14:textId="5BD8C97A" w:rsidR="001E0CE1" w:rsidRPr="00566946" w:rsidRDefault="00000000" w:rsidP="00C60C0B">
      <w:pPr>
        <w:pStyle w:val="ProductList-Body"/>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Máximo de Minutos Disponíveis-Período de Indisponibilidade do Plano de Controlo-Período de Indisponibilidade do Plano de Dados</m:t>
              </m:r>
            </m:num>
            <m:den>
              <m:r>
                <m:rPr>
                  <m:nor/>
                </m:rPr>
                <w:rPr>
                  <w:rFonts w:ascii="Cambria Math" w:hAnsi="Cambria Math" w:cs="Tahoma"/>
                  <w:i/>
                  <w:szCs w:val="18"/>
                </w:rPr>
                <m:t>Máximo de Minutos Disponíveis</m:t>
              </m:r>
            </m:den>
          </m:f>
        </m:oMath>
      </m:oMathPara>
    </w:p>
    <w:p w14:paraId="18200C68" w14:textId="5E01B251" w:rsidR="00C60C0B" w:rsidRPr="00420E5B" w:rsidRDefault="00C60C0B" w:rsidP="00C60C0B">
      <w:pPr>
        <w:pStyle w:val="ProductList-Body"/>
        <w:rPr>
          <w:rFonts w:ascii="Calibri" w:hAnsi="Calibri" w:cs="Calibri"/>
        </w:rPr>
      </w:pPr>
      <w:r>
        <w:rPr>
          <w:rFonts w:ascii="Calibri" w:hAnsi="Calibri" w:cs="Calibri"/>
          <w:b/>
          <w:color w:val="00188F"/>
        </w:rPr>
        <w:t>Crédito de Serviço</w:t>
      </w:r>
      <w:r w:rsidRPr="00924CFC">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0C0B" w:rsidRPr="00B44CF9" w14:paraId="13E21EE5" w14:textId="77777777" w:rsidTr="00661DF9">
        <w:trPr>
          <w:tblHeader/>
        </w:trPr>
        <w:tc>
          <w:tcPr>
            <w:tcW w:w="5400" w:type="dxa"/>
            <w:shd w:val="clear" w:color="auto" w:fill="0072C6"/>
          </w:tcPr>
          <w:p w14:paraId="2088BBBD" w14:textId="77777777" w:rsidR="00C60C0B" w:rsidRPr="00420E5B" w:rsidRDefault="00C60C0B" w:rsidP="00661DF9">
            <w:pPr>
              <w:pStyle w:val="ProductList-OfferingBody"/>
              <w:jc w:val="center"/>
              <w:rPr>
                <w:rFonts w:ascii="Calibri" w:hAnsi="Calibri" w:cs="Calibri"/>
                <w:color w:val="FFFFFF" w:themeColor="background1"/>
              </w:rPr>
            </w:pPr>
            <w:r>
              <w:rPr>
                <w:rFonts w:ascii="Calibri" w:hAnsi="Calibri" w:cs="Calibri"/>
                <w:color w:val="FFFFFF" w:themeColor="background1"/>
              </w:rPr>
              <w:t>Percentagem de Período de Disponibilidade</w:t>
            </w:r>
          </w:p>
        </w:tc>
        <w:tc>
          <w:tcPr>
            <w:tcW w:w="5400" w:type="dxa"/>
            <w:shd w:val="clear" w:color="auto" w:fill="0072C6"/>
          </w:tcPr>
          <w:p w14:paraId="3896FFDA" w14:textId="77777777" w:rsidR="00C60C0B" w:rsidRPr="00420E5B" w:rsidRDefault="00C60C0B" w:rsidP="00661DF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C60C0B" w:rsidRPr="00B44CF9" w14:paraId="41EBD30A" w14:textId="77777777" w:rsidTr="00661DF9">
        <w:tc>
          <w:tcPr>
            <w:tcW w:w="5400" w:type="dxa"/>
          </w:tcPr>
          <w:p w14:paraId="64C802B8" w14:textId="77777777" w:rsidR="00C60C0B" w:rsidRPr="00420E5B" w:rsidRDefault="00C60C0B" w:rsidP="00661DF9">
            <w:pPr>
              <w:pStyle w:val="ProductList-OfferingBody"/>
              <w:jc w:val="center"/>
              <w:rPr>
                <w:rFonts w:ascii="Calibri" w:hAnsi="Calibri" w:cs="Calibri"/>
              </w:rPr>
            </w:pPr>
            <w:r>
              <w:rPr>
                <w:rFonts w:ascii="Calibri" w:hAnsi="Calibri" w:cs="Calibri"/>
              </w:rPr>
              <w:t>&lt; 99,95%</w:t>
            </w:r>
          </w:p>
        </w:tc>
        <w:tc>
          <w:tcPr>
            <w:tcW w:w="5400" w:type="dxa"/>
          </w:tcPr>
          <w:p w14:paraId="681D2A47" w14:textId="77777777" w:rsidR="00C60C0B" w:rsidRPr="00420E5B" w:rsidRDefault="00C60C0B" w:rsidP="00661DF9">
            <w:pPr>
              <w:pStyle w:val="ProductList-OfferingBody"/>
              <w:jc w:val="center"/>
              <w:rPr>
                <w:rFonts w:ascii="Calibri" w:hAnsi="Calibri" w:cs="Calibri"/>
              </w:rPr>
            </w:pPr>
            <w:r>
              <w:rPr>
                <w:rFonts w:ascii="Calibri" w:hAnsi="Calibri" w:cs="Calibri"/>
              </w:rPr>
              <w:t>10%</w:t>
            </w:r>
          </w:p>
        </w:tc>
      </w:tr>
      <w:tr w:rsidR="00C60C0B" w:rsidRPr="00B44CF9" w14:paraId="2E39AE48" w14:textId="77777777" w:rsidTr="00661DF9">
        <w:tc>
          <w:tcPr>
            <w:tcW w:w="5400" w:type="dxa"/>
          </w:tcPr>
          <w:p w14:paraId="0F0BFA08" w14:textId="77777777" w:rsidR="00C60C0B" w:rsidRPr="00420E5B" w:rsidRDefault="00C60C0B" w:rsidP="00661DF9">
            <w:pPr>
              <w:pStyle w:val="ProductList-OfferingBody"/>
              <w:jc w:val="center"/>
              <w:rPr>
                <w:rFonts w:ascii="Calibri" w:hAnsi="Calibri" w:cs="Calibri"/>
              </w:rPr>
            </w:pPr>
            <w:r>
              <w:rPr>
                <w:rFonts w:ascii="Calibri" w:hAnsi="Calibri" w:cs="Calibri"/>
              </w:rPr>
              <w:t>&lt; 99%</w:t>
            </w:r>
          </w:p>
        </w:tc>
        <w:tc>
          <w:tcPr>
            <w:tcW w:w="5400" w:type="dxa"/>
          </w:tcPr>
          <w:p w14:paraId="5983BEC0" w14:textId="77777777" w:rsidR="00C60C0B" w:rsidRPr="00420E5B" w:rsidRDefault="00C60C0B" w:rsidP="00661DF9">
            <w:pPr>
              <w:pStyle w:val="ProductList-OfferingBody"/>
              <w:jc w:val="center"/>
              <w:rPr>
                <w:rFonts w:ascii="Calibri" w:hAnsi="Calibri" w:cs="Calibri"/>
              </w:rPr>
            </w:pPr>
            <w:r>
              <w:rPr>
                <w:rFonts w:ascii="Calibri" w:hAnsi="Calibri" w:cs="Calibri"/>
              </w:rPr>
              <w:t>25%</w:t>
            </w:r>
          </w:p>
        </w:tc>
      </w:tr>
    </w:tbl>
    <w:p w14:paraId="6F74610E" w14:textId="77777777" w:rsidR="00C60C0B" w:rsidRPr="00EF7CF9" w:rsidRDefault="00C60C0B" w:rsidP="00C60C0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80C3B83" w14:textId="423BDD66" w:rsidR="004005AF" w:rsidRPr="00EF7CF9" w:rsidRDefault="004005AF" w:rsidP="00F01ED6">
      <w:pPr>
        <w:pStyle w:val="ProductList-Offering2Heading"/>
        <w:tabs>
          <w:tab w:val="clear" w:pos="360"/>
          <w:tab w:val="clear" w:pos="720"/>
          <w:tab w:val="clear" w:pos="1080"/>
        </w:tabs>
        <w:outlineLvl w:val="2"/>
      </w:pPr>
      <w:bookmarkStart w:id="141" w:name="_Toc239176425"/>
      <w:r>
        <w:t>Application Insights</w:t>
      </w:r>
      <w:bookmarkEnd w:id="135"/>
      <w:bookmarkEnd w:id="136"/>
      <w:bookmarkEnd w:id="137"/>
      <w:bookmarkEnd w:id="141"/>
    </w:p>
    <w:bookmarkEnd w:id="138"/>
    <w:p w14:paraId="0854076E" w14:textId="77777777" w:rsidR="004005AF" w:rsidRPr="00EF7CF9" w:rsidRDefault="004005AF" w:rsidP="00F01ED6">
      <w:pPr>
        <w:pStyle w:val="ProductList-Body"/>
      </w:pPr>
      <w:r>
        <w:rPr>
          <w:b/>
          <w:color w:val="00188F"/>
        </w:rPr>
        <w:t>Definições Adicionais</w:t>
      </w:r>
      <w:r w:rsidRPr="00473DD3">
        <w:rPr>
          <w:b/>
          <w:color w:val="00188F"/>
        </w:rPr>
        <w:t>:</w:t>
      </w:r>
    </w:p>
    <w:p w14:paraId="1AADBDBC" w14:textId="7A805C5D" w:rsidR="004005AF" w:rsidRPr="00EF7CF9" w:rsidRDefault="00380305" w:rsidP="00F01ED6">
      <w:pPr>
        <w:spacing w:after="0" w:line="240" w:lineRule="auto"/>
        <w:rPr>
          <w:sz w:val="18"/>
          <w:szCs w:val="18"/>
        </w:rPr>
      </w:pPr>
      <w:r>
        <w:rPr>
          <w:sz w:val="18"/>
        </w:rPr>
        <w:t>“</w:t>
      </w:r>
      <w:r w:rsidR="004005AF">
        <w:rPr>
          <w:b/>
          <w:color w:val="00188F"/>
          <w:sz w:val="18"/>
        </w:rPr>
        <w:t>Recurso do Application Insights</w:t>
      </w:r>
      <w:r>
        <w:rPr>
          <w:sz w:val="18"/>
        </w:rPr>
        <w:t>”</w:t>
      </w:r>
      <w:r w:rsidR="004005AF">
        <w:rPr>
          <w:sz w:val="18"/>
        </w:rPr>
        <w:t xml:space="preserve"> </w:t>
      </w:r>
      <w:r w:rsidR="004005AF">
        <w:rPr>
          <w:sz w:val="18"/>
          <w:szCs w:val="18"/>
        </w:rPr>
        <w:t>designa o contentor no Application Insights que recolhe, processa e armazena os dados para uma chave de instrumentação única.</w:t>
      </w:r>
    </w:p>
    <w:p w14:paraId="1654A6AC" w14:textId="67030E0A" w:rsidR="004005AF" w:rsidRPr="00EF7CF9" w:rsidRDefault="00380305" w:rsidP="00F01ED6">
      <w:pPr>
        <w:spacing w:after="0" w:line="240" w:lineRule="auto"/>
        <w:rPr>
          <w:sz w:val="18"/>
          <w:szCs w:val="18"/>
        </w:rPr>
      </w:pPr>
      <w:r>
        <w:rPr>
          <w:sz w:val="18"/>
        </w:rPr>
        <w:t>“</w:t>
      </w:r>
      <w:r w:rsidR="004005AF">
        <w:rPr>
          <w:b/>
          <w:color w:val="00188F"/>
          <w:sz w:val="18"/>
        </w:rPr>
        <w:t>Máximo de Minutos Disponíveis</w:t>
      </w:r>
      <w:r>
        <w:rPr>
          <w:sz w:val="18"/>
        </w:rPr>
        <w:t>”</w:t>
      </w:r>
      <w:r w:rsidR="004005AF">
        <w:rPr>
          <w:b/>
          <w:color w:val="00188F"/>
          <w:sz w:val="18"/>
        </w:rPr>
        <w:t xml:space="preserve"> </w:t>
      </w:r>
      <w:r w:rsidR="004005AF">
        <w:rPr>
          <w:sz w:val="18"/>
          <w:szCs w:val="18"/>
        </w:rPr>
        <w:t>designa o número total de minutos durante os quais um determinado Recurso do Application Insights esteve implementado pelo Cliente numa subscrição do Microsoft Azure durante um Período Aplicável.</w:t>
      </w:r>
    </w:p>
    <w:p w14:paraId="488AD200" w14:textId="770BDEA3" w:rsidR="004005AF" w:rsidRPr="00EF7CF9" w:rsidRDefault="00380305" w:rsidP="00F01ED6">
      <w:pPr>
        <w:spacing w:after="0" w:line="240" w:lineRule="auto"/>
        <w:rPr>
          <w:sz w:val="18"/>
          <w:szCs w:val="18"/>
        </w:rPr>
      </w:pPr>
      <w:r>
        <w:rPr>
          <w:sz w:val="18"/>
        </w:rPr>
        <w:t>“</w:t>
      </w:r>
      <w:r w:rsidR="004005AF">
        <w:rPr>
          <w:b/>
          <w:color w:val="00188F"/>
          <w:sz w:val="18"/>
        </w:rPr>
        <w:t>Período de Indisponibilidade</w:t>
      </w:r>
      <w:r>
        <w:rPr>
          <w:sz w:val="18"/>
        </w:rPr>
        <w:t>”</w:t>
      </w:r>
      <w:r w:rsidR="004005AF">
        <w:rPr>
          <w:sz w:val="18"/>
          <w:szCs w:val="18"/>
        </w:rPr>
        <w:t xml:space="preserve"> designa o número total de minutos durante o Máximo de Minutos Disponíveis durante os quais os dados num Recurso do Application Insights estão indisponíveis. Um minuto será considerado indisponível para um determinado Recurso do Application Insights se durante esse minuto não se registar qualquer operação de HTTP que devolva um Código de Sucesso.</w:t>
      </w:r>
    </w:p>
    <w:p w14:paraId="77D1985E" w14:textId="417834CB" w:rsidR="004005AF" w:rsidRDefault="004005AF" w:rsidP="00F01ED6">
      <w:pPr>
        <w:pStyle w:val="ProductList-Body"/>
      </w:pPr>
      <w:r>
        <w:rPr>
          <w:b/>
          <w:color w:val="00188F"/>
        </w:rPr>
        <w:t>Percentagem de Disponibilidade para Consulta</w:t>
      </w:r>
      <w:r w:rsidRPr="00473DD3">
        <w:rPr>
          <w:b/>
          <w:color w:val="00188F"/>
        </w:rPr>
        <w:t>:</w:t>
      </w:r>
      <w:r>
        <w:t xml:space="preserve"> de um determinado Recurso do Application Insights num Período Aplicável é calculada como o</w:t>
      </w:r>
      <w:r w:rsidR="00DE302F">
        <w:t> </w:t>
      </w:r>
      <w:r>
        <w:t>Máximo de Minutos Disponíveis menos o Período de Indisponibilidade, a dividir pelo Máximo de Minutos Disponíveis a multiplicar por 100.</w:t>
      </w:r>
    </w:p>
    <w:p w14:paraId="3ECF4E93" w14:textId="2F285CC5" w:rsidR="004005AF" w:rsidRDefault="004005AF" w:rsidP="00F01ED6">
      <w:pPr>
        <w:pStyle w:val="ProductList-Body"/>
      </w:pPr>
      <w:r>
        <w:t>A Percentagem de Disponibilidade para Consulta é calculada utilizando a seguinte fórmula:</w:t>
      </w:r>
    </w:p>
    <w:p w14:paraId="32064421" w14:textId="77777777" w:rsidR="004005AF" w:rsidRPr="00EF7CF9" w:rsidRDefault="004005AF" w:rsidP="00F01ED6">
      <w:pPr>
        <w:pStyle w:val="ProductList-Body"/>
      </w:pPr>
    </w:p>
    <w:p w14:paraId="357080F4" w14:textId="35DE21BF" w:rsidR="004005AF" w:rsidRPr="00EF7CF9" w:rsidRDefault="00000000" w:rsidP="00F01ED6">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80FD7C0" w14:textId="77777777" w:rsidR="004005AF" w:rsidRPr="00EF7CF9" w:rsidRDefault="004005AF" w:rsidP="00F01ED6">
      <w:pPr>
        <w:pStyle w:val="ProductList-Body"/>
      </w:pPr>
      <w:r>
        <w:rPr>
          <w:b/>
          <w:color w:val="00188F"/>
        </w:rPr>
        <w:t>Os seguintes Níveis de Serviço e Créditos de Serviço são aplicáveis à utilização que o Cliente faz do Serviço do Application Insights – SLA de Disponibilidade para Consulta</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F01ED6">
            <w:pPr>
              <w:pStyle w:val="ProductList-OfferingBody"/>
              <w:jc w:val="center"/>
              <w:rPr>
                <w:color w:val="FFFFFF" w:themeColor="background1"/>
              </w:rPr>
            </w:pPr>
            <w:r>
              <w:rPr>
                <w:color w:val="FFFFFF" w:themeColor="background1"/>
              </w:rPr>
              <w:t>Percentagem de Disponibilidade para Consulta</w:t>
            </w:r>
          </w:p>
        </w:tc>
        <w:tc>
          <w:tcPr>
            <w:tcW w:w="5400" w:type="dxa"/>
            <w:shd w:val="clear" w:color="auto" w:fill="0072C6"/>
          </w:tcPr>
          <w:p w14:paraId="42720DC8"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378837A5" w14:textId="77777777" w:rsidTr="00277097">
        <w:trPr>
          <w:trHeight w:val="242"/>
        </w:trPr>
        <w:tc>
          <w:tcPr>
            <w:tcW w:w="5400" w:type="dxa"/>
          </w:tcPr>
          <w:p w14:paraId="6877E7DD" w14:textId="77777777" w:rsidR="004005AF" w:rsidRPr="00EF7CF9" w:rsidRDefault="004005AF" w:rsidP="00F01ED6">
            <w:pPr>
              <w:pStyle w:val="ProductList-OfferingBody"/>
              <w:jc w:val="center"/>
            </w:pPr>
            <w:r>
              <w:t>&lt; 99,9%</w:t>
            </w:r>
          </w:p>
        </w:tc>
        <w:tc>
          <w:tcPr>
            <w:tcW w:w="5400" w:type="dxa"/>
          </w:tcPr>
          <w:p w14:paraId="5B070644" w14:textId="77777777" w:rsidR="004005AF" w:rsidRPr="00EF7CF9" w:rsidRDefault="004005AF" w:rsidP="00F01ED6">
            <w:pPr>
              <w:pStyle w:val="ProductList-OfferingBody"/>
              <w:jc w:val="center"/>
            </w:pPr>
            <w:r>
              <w:t>10%</w:t>
            </w:r>
          </w:p>
        </w:tc>
      </w:tr>
      <w:tr w:rsidR="004005AF" w:rsidRPr="00B44CF9" w14:paraId="4F002BF5" w14:textId="77777777" w:rsidTr="00277097">
        <w:trPr>
          <w:trHeight w:val="249"/>
        </w:trPr>
        <w:tc>
          <w:tcPr>
            <w:tcW w:w="5400" w:type="dxa"/>
          </w:tcPr>
          <w:p w14:paraId="7FCB7FB7" w14:textId="77777777" w:rsidR="004005AF" w:rsidRPr="00EF7CF9" w:rsidRDefault="004005AF" w:rsidP="00F01ED6">
            <w:pPr>
              <w:pStyle w:val="ProductList-OfferingBody"/>
              <w:jc w:val="center"/>
            </w:pPr>
            <w:r>
              <w:t>&lt; 99%</w:t>
            </w:r>
          </w:p>
        </w:tc>
        <w:tc>
          <w:tcPr>
            <w:tcW w:w="5400" w:type="dxa"/>
          </w:tcPr>
          <w:p w14:paraId="3CEF9A53" w14:textId="77777777" w:rsidR="004005AF" w:rsidRPr="00EF7CF9" w:rsidRDefault="004005AF" w:rsidP="00F01ED6">
            <w:pPr>
              <w:pStyle w:val="ProductList-OfferingBody"/>
              <w:jc w:val="center"/>
            </w:pPr>
            <w:r>
              <w:t>25%</w:t>
            </w:r>
          </w:p>
        </w:tc>
      </w:tr>
    </w:tbl>
    <w:bookmarkStart w:id="142" w:name="_Toc52348922"/>
    <w:p w14:paraId="40E5CAA0"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D8257E8" w14:textId="77777777" w:rsidR="002B6211" w:rsidRPr="002B6211" w:rsidRDefault="002B6211" w:rsidP="00485BEC">
      <w:pPr>
        <w:pStyle w:val="ProductList-Offering2Heading"/>
        <w:keepNext/>
        <w:tabs>
          <w:tab w:val="clear" w:pos="360"/>
          <w:tab w:val="clear" w:pos="720"/>
          <w:tab w:val="clear" w:pos="1080"/>
        </w:tabs>
        <w:outlineLvl w:val="2"/>
      </w:pPr>
      <w:bookmarkStart w:id="143" w:name="_Toc239176426"/>
      <w:r>
        <w:lastRenderedPageBreak/>
        <w:t>Azure Arc</w:t>
      </w:r>
      <w:bookmarkEnd w:id="143"/>
    </w:p>
    <w:p w14:paraId="7C733692" w14:textId="77777777" w:rsidR="002B6211" w:rsidRPr="002B6211" w:rsidRDefault="002B6211" w:rsidP="00F01ED6">
      <w:pPr>
        <w:pStyle w:val="ProductList-Body"/>
        <w:rPr>
          <w:b/>
          <w:color w:val="00188F"/>
        </w:rPr>
      </w:pPr>
      <w:r>
        <w:rPr>
          <w:b/>
          <w:color w:val="00188F"/>
        </w:rPr>
        <w:t>Definições Adicionais</w:t>
      </w:r>
    </w:p>
    <w:p w14:paraId="6B017054" w14:textId="06E5730E" w:rsidR="002B6211" w:rsidRPr="000C03EC" w:rsidRDefault="00380305" w:rsidP="00F01ED6">
      <w:pPr>
        <w:pStyle w:val="ProductList-Body"/>
        <w:rPr>
          <w:spacing w:val="-3"/>
        </w:rPr>
      </w:pPr>
      <w:r>
        <w:rPr>
          <w:spacing w:val="-3"/>
        </w:rPr>
        <w:t>“</w:t>
      </w:r>
      <w:r w:rsidR="002B6211" w:rsidRPr="000C03EC">
        <w:rPr>
          <w:b/>
          <w:bCs/>
          <w:color w:val="00188F"/>
          <w:spacing w:val="-3"/>
        </w:rPr>
        <w:t>Máximo de Minutos Disponíveis</w:t>
      </w:r>
      <w:r>
        <w:rPr>
          <w:spacing w:val="-3"/>
        </w:rPr>
        <w:t>”</w:t>
      </w:r>
      <w:r w:rsidR="002B6211" w:rsidRPr="000C03EC">
        <w:rPr>
          <w:spacing w:val="-3"/>
        </w:rPr>
        <w:t xml:space="preserve"> designa o total de minutos acumulados num Período Aplicável no qual pelo menos um recurso do Azure de configuração de atribuição de Kubernetes foi implementado num recurso de Kubernetes ativados para o Azure Arc numa subscrição do Microsoft Azure.</w:t>
      </w:r>
    </w:p>
    <w:p w14:paraId="6177EA62" w14:textId="62A982A1" w:rsidR="002B6211" w:rsidRDefault="00380305" w:rsidP="00F01ED6">
      <w:pPr>
        <w:pStyle w:val="ProductList-Body"/>
      </w:pPr>
      <w:r>
        <w:t>“</w:t>
      </w:r>
      <w:r w:rsidR="002B6211">
        <w:rPr>
          <w:b/>
          <w:bCs/>
          <w:color w:val="00188F"/>
        </w:rPr>
        <w:t>Período de Indisponibilidade</w:t>
      </w:r>
      <w:r>
        <w:t>”</w:t>
      </w:r>
      <w:r w:rsidR="002B6211">
        <w:t xml:space="preserve"> é o total acumulado de Máximo de Minutos Disponíveis num Período Aplicável no qual pelo menos um recurso do Azure de Configuração de Kubernetes foi implementado num recurso de Kubernetes ativado para o Azure Arc, mas as operações da API REST para o recurso do Azure de configuração de Kubernetes estão indisponíveis.</w:t>
      </w:r>
    </w:p>
    <w:p w14:paraId="34BE21C7" w14:textId="07B13173" w:rsidR="002B6211" w:rsidRDefault="00380305" w:rsidP="00F01ED6">
      <w:pPr>
        <w:pStyle w:val="ProductList-Body"/>
      </w:pPr>
      <w:r>
        <w:t>“</w:t>
      </w:r>
      <w:r w:rsidR="002B6211">
        <w:rPr>
          <w:b/>
          <w:bCs/>
          <w:color w:val="00188F"/>
        </w:rPr>
        <w:t>Percentagem de Período de Disponibilidade</w:t>
      </w:r>
      <w:r>
        <w:t>”</w:t>
      </w:r>
      <w:r w:rsidR="002B6211">
        <w:t xml:space="preserve"> A Percentagem de Período de Disponibilidade é calculada utilizando a seguinte fórmula:</w:t>
      </w:r>
    </w:p>
    <w:p w14:paraId="4275B73A" w14:textId="18FEFBB6" w:rsidR="002B6211" w:rsidRPr="00EF7CF9" w:rsidRDefault="00000000" w:rsidP="007E7A39">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6C718AC" w14:textId="77777777" w:rsidR="002B6211" w:rsidRPr="002B6211" w:rsidRDefault="002B6211" w:rsidP="00F01ED6">
      <w:pPr>
        <w:pStyle w:val="ProductList-Body"/>
        <w:keepNext/>
        <w:rPr>
          <w:b/>
          <w:bCs/>
          <w:color w:val="00188F"/>
        </w:rPr>
      </w:pPr>
      <w:r>
        <w:rPr>
          <w:b/>
          <w:bCs/>
          <w:color w:val="00188F"/>
        </w:rPr>
        <w:t>Os seguintes Níveis de Serviço e Créditos de Serviço são aplicáveis à utilização que o Cliente faz do recurso do Azure de configuração de Kubernetes para além dos Kubernetes ativados para Azure Arc:</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C37A494" w14:textId="77777777" w:rsidR="002B6211" w:rsidRPr="00EF7CF9" w:rsidRDefault="002B6211" w:rsidP="00F01ED6">
            <w:pPr>
              <w:pStyle w:val="ProductList-OfferingBody"/>
              <w:jc w:val="center"/>
              <w:rPr>
                <w:color w:val="FFFFFF" w:themeColor="background1"/>
              </w:rPr>
            </w:pPr>
            <w:r>
              <w:rPr>
                <w:color w:val="FFFFFF" w:themeColor="background1"/>
              </w:rPr>
              <w:t>Crédito de Serviço</w:t>
            </w:r>
          </w:p>
        </w:tc>
      </w:tr>
      <w:tr w:rsidR="002B6211" w:rsidRPr="00B44CF9" w14:paraId="2125C7E8" w14:textId="77777777" w:rsidTr="00277097">
        <w:trPr>
          <w:trHeight w:val="242"/>
        </w:trPr>
        <w:tc>
          <w:tcPr>
            <w:tcW w:w="5400" w:type="dxa"/>
          </w:tcPr>
          <w:p w14:paraId="27039D80" w14:textId="77777777" w:rsidR="002B6211" w:rsidRPr="00EF7CF9" w:rsidRDefault="002B6211" w:rsidP="00F01ED6">
            <w:pPr>
              <w:pStyle w:val="ProductList-OfferingBody"/>
              <w:jc w:val="center"/>
            </w:pPr>
            <w:r>
              <w:t>&lt; 99,9%</w:t>
            </w:r>
          </w:p>
        </w:tc>
        <w:tc>
          <w:tcPr>
            <w:tcW w:w="5400" w:type="dxa"/>
          </w:tcPr>
          <w:p w14:paraId="50BDEC79" w14:textId="77777777" w:rsidR="002B6211" w:rsidRPr="00EF7CF9" w:rsidRDefault="002B6211" w:rsidP="00F01ED6">
            <w:pPr>
              <w:pStyle w:val="ProductList-OfferingBody"/>
              <w:jc w:val="center"/>
            </w:pPr>
            <w:r>
              <w:t>10%</w:t>
            </w:r>
          </w:p>
        </w:tc>
      </w:tr>
      <w:tr w:rsidR="002B6211" w:rsidRPr="00B44CF9" w14:paraId="45BC8E2E" w14:textId="77777777" w:rsidTr="00277097">
        <w:trPr>
          <w:trHeight w:val="249"/>
        </w:trPr>
        <w:tc>
          <w:tcPr>
            <w:tcW w:w="5400" w:type="dxa"/>
          </w:tcPr>
          <w:p w14:paraId="4172E2FA" w14:textId="77777777" w:rsidR="002B6211" w:rsidRPr="00EF7CF9" w:rsidRDefault="002B6211" w:rsidP="00F01ED6">
            <w:pPr>
              <w:pStyle w:val="ProductList-OfferingBody"/>
              <w:jc w:val="center"/>
            </w:pPr>
            <w:r>
              <w:t>&lt; 99%</w:t>
            </w:r>
          </w:p>
        </w:tc>
        <w:tc>
          <w:tcPr>
            <w:tcW w:w="5400" w:type="dxa"/>
          </w:tcPr>
          <w:p w14:paraId="6F7A6689" w14:textId="77777777" w:rsidR="002B6211" w:rsidRPr="00EF7CF9" w:rsidRDefault="002B6211" w:rsidP="00F01ED6">
            <w:pPr>
              <w:pStyle w:val="ProductList-OfferingBody"/>
              <w:jc w:val="center"/>
            </w:pPr>
            <w:r>
              <w:t>25%</w:t>
            </w:r>
          </w:p>
        </w:tc>
      </w:tr>
    </w:tbl>
    <w:p w14:paraId="6DD21077"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2F3A8B4" w14:textId="062E33AB" w:rsidR="004005AF" w:rsidRPr="00EF7CF9" w:rsidRDefault="004005AF" w:rsidP="00F01ED6">
      <w:pPr>
        <w:pStyle w:val="ProductList-Offering2Heading"/>
        <w:tabs>
          <w:tab w:val="clear" w:pos="360"/>
          <w:tab w:val="clear" w:pos="720"/>
          <w:tab w:val="clear" w:pos="1080"/>
        </w:tabs>
        <w:outlineLvl w:val="2"/>
      </w:pPr>
      <w:bookmarkStart w:id="144" w:name="_Toc239176427"/>
      <w:r>
        <w:t>Automatização</w:t>
      </w:r>
      <w:bookmarkEnd w:id="139"/>
      <w:bookmarkEnd w:id="142"/>
      <w:bookmarkEnd w:id="144"/>
    </w:p>
    <w:p w14:paraId="289BCC2C" w14:textId="77777777" w:rsidR="004005AF" w:rsidRDefault="004005AF" w:rsidP="00F01ED6">
      <w:pPr>
        <w:pStyle w:val="ProductList-Body"/>
        <w:rPr>
          <w:b/>
          <w:color w:val="00188F"/>
        </w:rPr>
      </w:pPr>
      <w:r>
        <w:rPr>
          <w:b/>
          <w:color w:val="00188F"/>
        </w:rPr>
        <w:t>Serviço de Automatização – Configuração de Estado Pretendido (DSC)</w:t>
      </w:r>
    </w:p>
    <w:p w14:paraId="7BF47219" w14:textId="77777777" w:rsidR="004005AF" w:rsidRPr="00EF7CF9" w:rsidRDefault="004005AF" w:rsidP="00F01ED6">
      <w:pPr>
        <w:pStyle w:val="ProductList-Body"/>
      </w:pPr>
      <w:r>
        <w:rPr>
          <w:b/>
          <w:color w:val="00188F"/>
        </w:rPr>
        <w:t>Definições Adicionais</w:t>
      </w:r>
      <w:r w:rsidRPr="00473DD3">
        <w:rPr>
          <w:b/>
          <w:color w:val="00188F"/>
        </w:rPr>
        <w:t>:</w:t>
      </w:r>
    </w:p>
    <w:p w14:paraId="6BCA192C" w14:textId="2A931139" w:rsidR="004005AF" w:rsidRPr="00EF7CF9" w:rsidRDefault="00380305" w:rsidP="00F01ED6">
      <w:pPr>
        <w:pStyle w:val="ProductList-Body"/>
      </w:pPr>
      <w:r>
        <w:t>“</w:t>
      </w:r>
      <w:r w:rsidR="004005AF">
        <w:rPr>
          <w:b/>
          <w:color w:val="00188F"/>
        </w:rPr>
        <w:t>Minutos de Implementação</w:t>
      </w:r>
      <w:r>
        <w:t>”</w:t>
      </w:r>
      <w:r w:rsidR="004005AF">
        <w:t xml:space="preserve"> designa o número total de minutos durante os quais uma determinada conta de Automatização foi implementada no Microsoft Azure durante um Período Aplicável.</w:t>
      </w:r>
    </w:p>
    <w:p w14:paraId="4334A2FF" w14:textId="6027D650" w:rsidR="004005AF" w:rsidRPr="00EF7CF9" w:rsidRDefault="00380305" w:rsidP="00F01ED6">
      <w:pPr>
        <w:pStyle w:val="ProductList-Body"/>
        <w:spacing w:after="40"/>
      </w:pPr>
      <w:r>
        <w:t>“</w:t>
      </w:r>
      <w:r w:rsidR="004005AF">
        <w:rPr>
          <w:b/>
          <w:color w:val="00188F"/>
        </w:rPr>
        <w:t>Serviço de Agente DSC</w:t>
      </w:r>
      <w:r>
        <w:t>”</w:t>
      </w:r>
      <w:r w:rsidR="004005AF">
        <w:t xml:space="preserve"> é </w:t>
      </w:r>
      <w:r w:rsidR="004005AF">
        <w:rPr>
          <w:shd w:val="clear" w:color="auto" w:fill="FFFFFF"/>
        </w:rPr>
        <w:t>o componente do Serviço de Automatização responsável pela receção e pela resposta aos pedidos de Pull, registo e</w:t>
      </w:r>
      <w:r w:rsidR="00250B1B">
        <w:rPr>
          <w:shd w:val="clear" w:color="auto" w:fill="FFFFFF"/>
        </w:rPr>
        <w:t> </w:t>
      </w:r>
      <w:r w:rsidR="004005AF">
        <w:rPr>
          <w:shd w:val="clear" w:color="auto" w:fill="FFFFFF"/>
        </w:rPr>
        <w:t>relatórios dos nós DSC</w:t>
      </w:r>
      <w:r w:rsidR="004005AF">
        <w:t>.</w:t>
      </w:r>
    </w:p>
    <w:p w14:paraId="555DEDC6" w14:textId="4EA26630" w:rsidR="004005AF" w:rsidRPr="00EF7CF9" w:rsidRDefault="00380305" w:rsidP="00F01ED6">
      <w:pPr>
        <w:pStyle w:val="ProductList-Body"/>
        <w:spacing w:after="40"/>
      </w:pPr>
      <w:r>
        <w:t>“</w:t>
      </w:r>
      <w:r w:rsidR="004005AF">
        <w:rPr>
          <w:b/>
          <w:color w:val="00188F"/>
        </w:rPr>
        <w:t>Máximo de Minutos Disponíveis</w:t>
      </w:r>
      <w:r>
        <w:t>”</w:t>
      </w:r>
      <w:r w:rsidR="004005AF">
        <w:t xml:space="preserve"> designa a soma de todos os Minutos de Implementação em todas as contas de Automatização implementadas numa determinada subscrição do Microsoft Azure durante um Período Aplicável.</w:t>
      </w:r>
    </w:p>
    <w:p w14:paraId="79CDEBD9" w14:textId="77777777" w:rsidR="004005AF" w:rsidRPr="000C03EC" w:rsidRDefault="004005AF" w:rsidP="00F01ED6">
      <w:pPr>
        <w:pStyle w:val="ProductList-Body"/>
        <w:rPr>
          <w:spacing w:val="-2"/>
        </w:rPr>
      </w:pPr>
      <w:r w:rsidRPr="000C03EC">
        <w:rPr>
          <w:b/>
          <w:color w:val="00188F"/>
          <w:spacing w:val="-2"/>
        </w:rPr>
        <w:t>Período de Indisponibilidade</w:t>
      </w:r>
      <w:r w:rsidRPr="00473DD3">
        <w:rPr>
          <w:b/>
          <w:color w:val="00188F"/>
          <w:spacing w:val="-2"/>
        </w:rPr>
        <w:t>:</w:t>
      </w:r>
      <w:r w:rsidRPr="000C03EC">
        <w:rPr>
          <w:spacing w:val="-2"/>
        </w:rPr>
        <w:t xml:space="preserve"> O total acumulado de Minutos de Implementação, em todas as contas de Automatização implementadas numa determinada subscrição do Microsoft Azure, durante o qual o Serviço de Agente DSC está indisponível. Um minuto é considerado indisponível para uma determinado conta de Automatização se todos os pedidos de Pull, registo e relatórios contínuos dos nós DSC associados à conta de Automatização para o Serviço de Agente DSC ao longo do minuto resultarem num Código de Erro ou não devolverem um Código de Êxito no prazo de cinco minutos.</w:t>
      </w:r>
    </w:p>
    <w:p w14:paraId="3B3CD689" w14:textId="17068EA4" w:rsidR="004005AF"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 </w:t>
      </w:r>
    </w:p>
    <w:p w14:paraId="0177F4D5" w14:textId="30D7E292" w:rsidR="004005AF" w:rsidRPr="00EF7CF9" w:rsidRDefault="00000000" w:rsidP="007E7A39">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71F831EB" w14:textId="77777777" w:rsidR="004005AF" w:rsidRPr="00EF7CF9" w:rsidRDefault="004005AF"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E563FF">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9584A12" w14:textId="77777777" w:rsidR="004005AF" w:rsidRPr="00EF7CF9" w:rsidRDefault="004005AF" w:rsidP="00E563FF">
            <w:pPr>
              <w:pStyle w:val="ProductList-OfferingBody"/>
              <w:jc w:val="center"/>
              <w:rPr>
                <w:color w:val="FFFFFF" w:themeColor="background1"/>
              </w:rPr>
            </w:pPr>
            <w:r>
              <w:rPr>
                <w:color w:val="FFFFFF" w:themeColor="background1"/>
              </w:rPr>
              <w:t>Crédito de Serviço</w:t>
            </w:r>
          </w:p>
        </w:tc>
      </w:tr>
      <w:tr w:rsidR="004005AF" w:rsidRPr="00B44CF9" w14:paraId="179D4B6C" w14:textId="77777777" w:rsidTr="00277097">
        <w:tc>
          <w:tcPr>
            <w:tcW w:w="5400" w:type="dxa"/>
          </w:tcPr>
          <w:p w14:paraId="5C269242" w14:textId="77777777" w:rsidR="004005AF" w:rsidRPr="00EF7CF9" w:rsidRDefault="004005AF" w:rsidP="00F01ED6">
            <w:pPr>
              <w:pStyle w:val="ProductList-OfferingBody"/>
              <w:jc w:val="center"/>
            </w:pPr>
            <w:r>
              <w:t>&lt; 99,9%</w:t>
            </w:r>
          </w:p>
        </w:tc>
        <w:tc>
          <w:tcPr>
            <w:tcW w:w="5400" w:type="dxa"/>
          </w:tcPr>
          <w:p w14:paraId="4EC5DC32" w14:textId="77777777" w:rsidR="004005AF" w:rsidRPr="00EF7CF9" w:rsidRDefault="004005AF" w:rsidP="00F01ED6">
            <w:pPr>
              <w:pStyle w:val="ProductList-OfferingBody"/>
              <w:jc w:val="center"/>
            </w:pPr>
            <w:r>
              <w:t>10%</w:t>
            </w:r>
          </w:p>
        </w:tc>
      </w:tr>
      <w:tr w:rsidR="004005AF" w:rsidRPr="00B44CF9" w14:paraId="08B65BB2" w14:textId="77777777" w:rsidTr="00277097">
        <w:tc>
          <w:tcPr>
            <w:tcW w:w="5400" w:type="dxa"/>
          </w:tcPr>
          <w:p w14:paraId="08633F3C" w14:textId="77777777" w:rsidR="004005AF" w:rsidRPr="00EF7CF9" w:rsidRDefault="004005AF" w:rsidP="00F01ED6">
            <w:pPr>
              <w:pStyle w:val="ProductList-OfferingBody"/>
              <w:jc w:val="center"/>
            </w:pPr>
            <w:r>
              <w:t>&lt; 99%</w:t>
            </w:r>
          </w:p>
        </w:tc>
        <w:tc>
          <w:tcPr>
            <w:tcW w:w="5400" w:type="dxa"/>
          </w:tcPr>
          <w:p w14:paraId="627DA1D5" w14:textId="77777777" w:rsidR="004005AF" w:rsidRPr="00EF7CF9" w:rsidRDefault="004005AF" w:rsidP="00F01ED6">
            <w:pPr>
              <w:pStyle w:val="ProductList-OfferingBody"/>
              <w:jc w:val="center"/>
            </w:pPr>
            <w:r>
              <w:t>25%</w:t>
            </w:r>
          </w:p>
        </w:tc>
      </w:tr>
    </w:tbl>
    <w:p w14:paraId="56E8840B" w14:textId="3DC9DA84" w:rsidR="004005AF" w:rsidRDefault="004005AF" w:rsidP="00F01ED6">
      <w:pPr>
        <w:pStyle w:val="ProductList-Body"/>
        <w:tabs>
          <w:tab w:val="clear" w:pos="360"/>
          <w:tab w:val="clear" w:pos="720"/>
          <w:tab w:val="clear" w:pos="1080"/>
        </w:tabs>
        <w:spacing w:before="120" w:after="240"/>
        <w:rPr>
          <w:color w:val="000000" w:themeColor="text1"/>
        </w:rPr>
      </w:pPr>
      <w:bookmarkStart w:id="145" w:name="_Toc457821539"/>
      <w:r>
        <w:rPr>
          <w:b/>
          <w:bCs/>
          <w:color w:val="00188F"/>
        </w:rPr>
        <w:t>Termos Adicionais</w:t>
      </w:r>
      <w:r w:rsidRPr="00473DD3">
        <w:rPr>
          <w:b/>
          <w:bCs/>
          <w:color w:val="00188F"/>
        </w:rPr>
        <w:t>:</w:t>
      </w:r>
      <w:r>
        <w:rPr>
          <w:color w:val="000000" w:themeColor="text1"/>
        </w:rPr>
        <w:t xml:space="preserve"> Os Créditos de Serviço são aplicáveis apenas às taxas atribuíveis à utilização da funcionalidade DSC por parte do Cliente no Serviço de Automatização.</w:t>
      </w:r>
    </w:p>
    <w:p w14:paraId="311E85AB" w14:textId="77777777" w:rsidR="004005AF" w:rsidRPr="00ED4527" w:rsidRDefault="004005AF" w:rsidP="00F01ED6">
      <w:pPr>
        <w:pStyle w:val="ProductList-Body"/>
        <w:tabs>
          <w:tab w:val="clear" w:pos="360"/>
          <w:tab w:val="clear" w:pos="720"/>
          <w:tab w:val="clear" w:pos="1080"/>
        </w:tabs>
        <w:spacing w:before="240"/>
        <w:rPr>
          <w:b/>
          <w:bCs/>
          <w:color w:val="00188F"/>
        </w:rPr>
      </w:pPr>
      <w:r>
        <w:rPr>
          <w:b/>
          <w:bCs/>
          <w:color w:val="00188F"/>
        </w:rPr>
        <w:t>Serviço de Automatização – Automatização de Processos</w:t>
      </w:r>
    </w:p>
    <w:bookmarkEnd w:id="145"/>
    <w:p w14:paraId="026B0EC1" w14:textId="77777777" w:rsidR="004005AF" w:rsidRPr="00EF7CF9" w:rsidRDefault="004005AF" w:rsidP="00F01ED6">
      <w:pPr>
        <w:pStyle w:val="ProductList-Body"/>
      </w:pPr>
      <w:r>
        <w:rPr>
          <w:b/>
          <w:color w:val="00188F"/>
        </w:rPr>
        <w:t>Definições Adicionais</w:t>
      </w:r>
      <w:r w:rsidRPr="00473DD3">
        <w:rPr>
          <w:b/>
          <w:color w:val="00188F"/>
        </w:rPr>
        <w:t>:</w:t>
      </w:r>
    </w:p>
    <w:p w14:paraId="6021A567" w14:textId="54827875" w:rsidR="004005AF" w:rsidRPr="00EF7CF9" w:rsidRDefault="00380305" w:rsidP="00F01ED6">
      <w:pPr>
        <w:pStyle w:val="ProductList-Body"/>
        <w:spacing w:after="40"/>
      </w:pPr>
      <w:r>
        <w:t>“</w:t>
      </w:r>
      <w:r w:rsidR="004005AF">
        <w:rPr>
          <w:b/>
          <w:color w:val="00188F"/>
        </w:rPr>
        <w:t>Tarefas Atrasadas</w:t>
      </w:r>
      <w:r>
        <w:t>”</w:t>
      </w:r>
      <w:r w:rsidR="004005AF">
        <w:t xml:space="preserve"> designa o número total de Tarefas, para uma determinada subscrição do Microsoft Azure, que falham o início no prazo de trinta (30) minutos após as respetivas Horas de Início Planeadas.</w:t>
      </w:r>
    </w:p>
    <w:p w14:paraId="05D34F78" w14:textId="702DBA0B" w:rsidR="004005AF" w:rsidRPr="00EF7CF9" w:rsidRDefault="00380305" w:rsidP="00F01ED6">
      <w:pPr>
        <w:pStyle w:val="ProductList-Body"/>
        <w:spacing w:after="40"/>
      </w:pPr>
      <w:r>
        <w:t>“</w:t>
      </w:r>
      <w:r w:rsidR="004005AF">
        <w:rPr>
          <w:b/>
          <w:color w:val="00188F"/>
        </w:rPr>
        <w:t>Tarefa</w:t>
      </w:r>
      <w:r>
        <w:t>”</w:t>
      </w:r>
      <w:r w:rsidR="004005AF">
        <w:t xml:space="preserve"> designa a execução de um Runbook.</w:t>
      </w:r>
    </w:p>
    <w:p w14:paraId="169C5A0E" w14:textId="005C58ED" w:rsidR="004005AF" w:rsidRPr="00EF7CF9" w:rsidRDefault="00380305" w:rsidP="00F01ED6">
      <w:pPr>
        <w:pStyle w:val="ProductList-Body"/>
        <w:spacing w:after="40"/>
      </w:pPr>
      <w:r>
        <w:t>“</w:t>
      </w:r>
      <w:r w:rsidR="004005AF">
        <w:rPr>
          <w:b/>
          <w:color w:val="00188F"/>
        </w:rPr>
        <w:t>Hora de Início Planeada</w:t>
      </w:r>
      <w:r>
        <w:t>”</w:t>
      </w:r>
      <w:r w:rsidR="004005AF">
        <w:t xml:space="preserve"> é a hora a que uma Tarefa está agendada para iniciar a execução.</w:t>
      </w:r>
    </w:p>
    <w:p w14:paraId="07378C0D" w14:textId="299B28DD" w:rsidR="004005AF" w:rsidRPr="00EF7CF9" w:rsidRDefault="00380305" w:rsidP="00F01ED6">
      <w:pPr>
        <w:pStyle w:val="ProductList-Body"/>
        <w:spacing w:after="40"/>
      </w:pPr>
      <w:r>
        <w:t>“</w:t>
      </w:r>
      <w:r w:rsidR="004005AF">
        <w:rPr>
          <w:b/>
          <w:color w:val="00188F"/>
        </w:rPr>
        <w:t>Runbook</w:t>
      </w:r>
      <w:r>
        <w:t>”</w:t>
      </w:r>
      <w:r w:rsidR="004005AF">
        <w:t xml:space="preserve"> designa um conjunto de ações especificadas pelo Cliente para execução no Microsoft Azure.</w:t>
      </w:r>
    </w:p>
    <w:p w14:paraId="790494B4" w14:textId="3493257B" w:rsidR="004005AF" w:rsidRPr="00EF7CF9" w:rsidRDefault="00380305" w:rsidP="00F01ED6">
      <w:pPr>
        <w:pStyle w:val="ProductList-Body"/>
      </w:pPr>
      <w:r>
        <w:t>“</w:t>
      </w:r>
      <w:r w:rsidR="004005AF">
        <w:rPr>
          <w:b/>
          <w:color w:val="00188F"/>
        </w:rPr>
        <w:t>Total de Tarefas</w:t>
      </w:r>
      <w:r>
        <w:t>”</w:t>
      </w:r>
      <w:r w:rsidR="004005AF">
        <w:t xml:space="preserve"> é o número total de Tarefas agendadas para execução durante um determinado Período Aplicável, para uma determinada subscrição do Microsoft Azure.</w:t>
      </w:r>
    </w:p>
    <w:p w14:paraId="3FC9B042" w14:textId="3927A1A1" w:rsidR="004005AF"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1BA8E08E" w14:textId="487FD9EE" w:rsidR="004005AF" w:rsidRPr="00EF7CF9" w:rsidRDefault="00000000" w:rsidP="00566946">
      <w:pPr>
        <w:pStyle w:val="ListParagraph"/>
        <w:spacing w:before="120" w:after="0" w:line="240" w:lineRule="auto"/>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iCs/>
                  <w:sz w:val="18"/>
                  <w:szCs w:val="18"/>
                </w:rPr>
                <m:t>Total de Tarefas-Tarefas Atrasadas</m:t>
              </m:r>
            </m:num>
            <m:den>
              <m:r>
                <m:rPr>
                  <m:nor/>
                </m:rPr>
                <w:rPr>
                  <w:rFonts w:ascii="Cambria Math" w:hAnsi="Cambria Math" w:cs="Tahoma"/>
                  <w:i/>
                  <w:iCs/>
                  <w:sz w:val="18"/>
                  <w:szCs w:val="18"/>
                </w:rPr>
                <m:t>Total de Tarefas</m:t>
              </m:r>
            </m:den>
          </m:f>
          <m:r>
            <w:rPr>
              <w:rFonts w:ascii="Cambria Math" w:hAnsi="Cambria Math" w:cs="Tahoma"/>
              <w:sz w:val="18"/>
              <w:szCs w:val="18"/>
            </w:rPr>
            <m:t xml:space="preserve"> x 100</m:t>
          </m:r>
        </m:oMath>
      </m:oMathPara>
    </w:p>
    <w:p w14:paraId="38BB555E" w14:textId="77777777" w:rsidR="004005AF" w:rsidRPr="00EF7CF9" w:rsidRDefault="004005AF"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E563FF">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7326CBF" w14:textId="77777777" w:rsidR="004005AF" w:rsidRPr="00EF7CF9" w:rsidRDefault="004005AF" w:rsidP="00E563FF">
            <w:pPr>
              <w:pStyle w:val="ProductList-OfferingBody"/>
              <w:jc w:val="center"/>
              <w:rPr>
                <w:color w:val="FFFFFF" w:themeColor="background1"/>
              </w:rPr>
            </w:pPr>
            <w:r>
              <w:rPr>
                <w:color w:val="FFFFFF" w:themeColor="background1"/>
              </w:rPr>
              <w:t>Crédito de Serviço</w:t>
            </w:r>
          </w:p>
        </w:tc>
      </w:tr>
      <w:tr w:rsidR="004005AF" w:rsidRPr="00B44CF9" w14:paraId="7542E111" w14:textId="77777777" w:rsidTr="00277097">
        <w:tc>
          <w:tcPr>
            <w:tcW w:w="5400" w:type="dxa"/>
          </w:tcPr>
          <w:p w14:paraId="452D26B7" w14:textId="77777777" w:rsidR="004005AF" w:rsidRPr="00EF7CF9" w:rsidRDefault="004005AF" w:rsidP="00F01ED6">
            <w:pPr>
              <w:pStyle w:val="ProductList-OfferingBody"/>
              <w:jc w:val="center"/>
            </w:pPr>
            <w:r>
              <w:t>&lt; 99,9%</w:t>
            </w:r>
          </w:p>
        </w:tc>
        <w:tc>
          <w:tcPr>
            <w:tcW w:w="5400" w:type="dxa"/>
          </w:tcPr>
          <w:p w14:paraId="703325ED" w14:textId="77777777" w:rsidR="004005AF" w:rsidRPr="00EF7CF9" w:rsidRDefault="004005AF" w:rsidP="00F01ED6">
            <w:pPr>
              <w:pStyle w:val="ProductList-OfferingBody"/>
              <w:jc w:val="center"/>
            </w:pPr>
            <w:r>
              <w:t>10%</w:t>
            </w:r>
          </w:p>
        </w:tc>
      </w:tr>
      <w:tr w:rsidR="004005AF" w:rsidRPr="00B44CF9" w14:paraId="2E63E11F" w14:textId="77777777" w:rsidTr="00277097">
        <w:tc>
          <w:tcPr>
            <w:tcW w:w="5400" w:type="dxa"/>
          </w:tcPr>
          <w:p w14:paraId="21C13FA4" w14:textId="77777777" w:rsidR="004005AF" w:rsidRPr="00EF7CF9" w:rsidRDefault="004005AF" w:rsidP="00F01ED6">
            <w:pPr>
              <w:pStyle w:val="ProductList-OfferingBody"/>
              <w:jc w:val="center"/>
            </w:pPr>
            <w:r>
              <w:t>&lt; 99%</w:t>
            </w:r>
          </w:p>
        </w:tc>
        <w:tc>
          <w:tcPr>
            <w:tcW w:w="5400" w:type="dxa"/>
          </w:tcPr>
          <w:p w14:paraId="0DB330CD" w14:textId="77777777" w:rsidR="004005AF" w:rsidRPr="00EF7CF9" w:rsidRDefault="004005AF" w:rsidP="00F01ED6">
            <w:pPr>
              <w:pStyle w:val="ProductList-OfferingBody"/>
              <w:jc w:val="center"/>
            </w:pPr>
            <w:r>
              <w:t>25%</w:t>
            </w:r>
          </w:p>
        </w:tc>
      </w:tr>
    </w:tbl>
    <w:p w14:paraId="48C02207" w14:textId="7B5D1B4E" w:rsidR="004005AF" w:rsidRDefault="004005AF" w:rsidP="00F01ED6">
      <w:pPr>
        <w:pStyle w:val="ProductList-Body"/>
        <w:tabs>
          <w:tab w:val="clear" w:pos="360"/>
          <w:tab w:val="clear" w:pos="720"/>
          <w:tab w:val="clear" w:pos="1080"/>
        </w:tabs>
        <w:spacing w:before="120"/>
      </w:pPr>
      <w:bookmarkStart w:id="146" w:name="_Toc510793660"/>
      <w:bookmarkStart w:id="147" w:name="AzureBotService"/>
      <w:bookmarkStart w:id="148" w:name="_Toc482880958"/>
      <w:bookmarkStart w:id="149" w:name="_Toc457806452"/>
      <w:bookmarkStart w:id="150" w:name="_Toc457821540"/>
      <w:r>
        <w:rPr>
          <w:b/>
          <w:bCs/>
          <w:color w:val="00188F"/>
        </w:rPr>
        <w:t>Termos Adicionais</w:t>
      </w:r>
      <w:r w:rsidRPr="00473DD3">
        <w:rPr>
          <w:b/>
          <w:bCs/>
          <w:color w:val="00188F"/>
        </w:rPr>
        <w:t>:</w:t>
      </w:r>
      <w:r>
        <w:t xml:space="preserve"> Os Créditos de Serviço são aplicáveis apenas às taxas atribuíveis à utilização da funcionalidade Automatização de Processos por parte do Cliente no Serviço de Automatização.</w:t>
      </w:r>
    </w:p>
    <w:bookmarkStart w:id="151" w:name="_Toc52348942"/>
    <w:bookmarkStart w:id="152" w:name="_Toc52348924"/>
    <w:bookmarkEnd w:id="146"/>
    <w:p w14:paraId="15746A50"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135C4F94" w14:textId="77777777" w:rsidR="00DE36E2" w:rsidRPr="00EF7CF9" w:rsidRDefault="00DE36E2" w:rsidP="00F01ED6">
      <w:pPr>
        <w:pStyle w:val="ProductList-Offering2Heading"/>
        <w:tabs>
          <w:tab w:val="clear" w:pos="360"/>
          <w:tab w:val="clear" w:pos="720"/>
          <w:tab w:val="clear" w:pos="1080"/>
        </w:tabs>
        <w:outlineLvl w:val="2"/>
      </w:pPr>
      <w:bookmarkStart w:id="153" w:name="_Toc239176428"/>
      <w:r>
        <w:t>Azure Backup</w:t>
      </w:r>
      <w:bookmarkEnd w:id="151"/>
      <w:bookmarkEnd w:id="153"/>
    </w:p>
    <w:p w14:paraId="57658A5A" w14:textId="77777777" w:rsidR="00DE36E2" w:rsidRPr="00EF7CF9" w:rsidRDefault="00DE36E2" w:rsidP="00F01ED6">
      <w:pPr>
        <w:pStyle w:val="ProductList-Body"/>
      </w:pPr>
      <w:r>
        <w:rPr>
          <w:b/>
          <w:color w:val="00188F"/>
        </w:rPr>
        <w:t>Definições Adicionais</w:t>
      </w:r>
      <w:r w:rsidRPr="00473DD3">
        <w:rPr>
          <w:b/>
          <w:color w:val="00188F"/>
        </w:rPr>
        <w:t>:</w:t>
      </w:r>
    </w:p>
    <w:p w14:paraId="6D798844" w14:textId="46132ECB" w:rsidR="00DE36E2" w:rsidRPr="00EF7CF9" w:rsidRDefault="00380305" w:rsidP="00F01ED6">
      <w:pPr>
        <w:pStyle w:val="ProductList-Body"/>
        <w:spacing w:after="40"/>
      </w:pPr>
      <w:r>
        <w:t>“</w:t>
      </w:r>
      <w:r w:rsidR="00DE36E2">
        <w:rPr>
          <w:b/>
          <w:color w:val="00188F"/>
        </w:rPr>
        <w:t>Cópia de Segurança</w:t>
      </w:r>
      <w:r>
        <w:t>”</w:t>
      </w:r>
      <w:r w:rsidR="00DE36E2">
        <w:t xml:space="preserve"> corresponde ao processo de cópia de dados do computador de um servidor registado para um Cofre de Cópia de Segurança.</w:t>
      </w:r>
    </w:p>
    <w:p w14:paraId="6A6D9648" w14:textId="28657451" w:rsidR="00DE36E2" w:rsidRPr="00EF7CF9" w:rsidRDefault="00380305" w:rsidP="00F01ED6">
      <w:pPr>
        <w:pStyle w:val="ProductList-Body"/>
        <w:spacing w:after="40"/>
      </w:pPr>
      <w:r>
        <w:t>“</w:t>
      </w:r>
      <w:r w:rsidR="00DE36E2">
        <w:rPr>
          <w:b/>
          <w:color w:val="00188F"/>
        </w:rPr>
        <w:t>Agente de Cópia de Segurança</w:t>
      </w:r>
      <w:r>
        <w:t>”</w:t>
      </w:r>
      <w:r w:rsidR="00DE36E2">
        <w:t xml:space="preserve"> designa o software instalado num servidor registado que permite que o servidor registado crie cópias de segurança ou restaure um ou mais Itens Protegidos.</w:t>
      </w:r>
    </w:p>
    <w:p w14:paraId="092B327C" w14:textId="3C780D2C" w:rsidR="00DE36E2" w:rsidRPr="00EF7CF9" w:rsidRDefault="00380305" w:rsidP="00F01ED6">
      <w:pPr>
        <w:pStyle w:val="ProductList-Body"/>
        <w:spacing w:after="40"/>
      </w:pPr>
      <w:r>
        <w:t>“</w:t>
      </w:r>
      <w:r w:rsidR="00DE36E2">
        <w:rPr>
          <w:b/>
          <w:color w:val="00188F"/>
        </w:rPr>
        <w:t>Cofre de Cópia de Segurança</w:t>
      </w:r>
      <w:r>
        <w:t>”</w:t>
      </w:r>
      <w:r w:rsidR="00DE36E2">
        <w:t xml:space="preserve"> designa um contentor onde o Cliente pode registar um ou mais Itens Protegidos para Cópia de Segurança.</w:t>
      </w:r>
    </w:p>
    <w:p w14:paraId="593C68DB" w14:textId="386A0A73" w:rsidR="00DE36E2" w:rsidRPr="00EF7CF9" w:rsidRDefault="00380305" w:rsidP="00F01ED6">
      <w:pPr>
        <w:pStyle w:val="ProductList-Body"/>
        <w:spacing w:after="40"/>
      </w:pPr>
      <w:r>
        <w:t>“</w:t>
      </w:r>
      <w:r w:rsidR="00DE36E2">
        <w:rPr>
          <w:b/>
          <w:color w:val="00188F"/>
        </w:rPr>
        <w:t>Falha</w:t>
      </w:r>
      <w:r>
        <w:t>”</w:t>
      </w:r>
      <w:r w:rsidR="00DE36E2">
        <w:t xml:space="preserve"> significa que o Agente de Cópia de Segurança ou o Serviço não consegue concluir na íntegra uma operação corretamente configurada de</w:t>
      </w:r>
      <w:r w:rsidR="00C07811">
        <w:t> </w:t>
      </w:r>
      <w:r w:rsidR="00DE36E2">
        <w:t>Cópia de Segurança ou Recuperação devido à indisponibilidade do Serviço de Cópia de Segurança.</w:t>
      </w:r>
    </w:p>
    <w:p w14:paraId="7D8F8108" w14:textId="7BBC99F8" w:rsidR="00DE36E2" w:rsidRPr="00EF7CF9" w:rsidRDefault="00380305" w:rsidP="00F01ED6">
      <w:pPr>
        <w:pStyle w:val="ProductList-Body"/>
        <w:spacing w:after="40"/>
      </w:pPr>
      <w:r>
        <w:t>“</w:t>
      </w:r>
      <w:r w:rsidR="00DE36E2">
        <w:rPr>
          <w:b/>
          <w:color w:val="00188F"/>
        </w:rPr>
        <w:t>Item Protegido</w:t>
      </w:r>
      <w:r>
        <w:t>”</w:t>
      </w:r>
      <w:r w:rsidR="00DE36E2">
        <w:t xml:space="preserve"> designa uma coleção de dados, tais como volume, base de dados ou máquina virtual cuja Cópia de Segurança foi agendada para</w:t>
      </w:r>
      <w:r w:rsidR="00600D36">
        <w:t> </w:t>
      </w:r>
      <w:r w:rsidR="00DE36E2">
        <w:t>o</w:t>
      </w:r>
      <w:r w:rsidR="000C03EC">
        <w:t> </w:t>
      </w:r>
      <w:r w:rsidR="00DE36E2">
        <w:t>Serviço de Cópia de Segurança para que seja enumerada como um Item Protegido no separador Itens Protegidos na secção Serviços de</w:t>
      </w:r>
      <w:r w:rsidR="00600D36">
        <w:t> </w:t>
      </w:r>
      <w:r w:rsidR="00DE36E2">
        <w:t>Recuperação do Portal de Gestão.</w:t>
      </w:r>
    </w:p>
    <w:p w14:paraId="05560A31" w14:textId="4E0A064F" w:rsidR="00DE36E2" w:rsidRPr="000C03EC" w:rsidRDefault="00380305" w:rsidP="00F01ED6">
      <w:pPr>
        <w:pStyle w:val="ProductList-Body"/>
        <w:jc w:val="both"/>
        <w:rPr>
          <w:spacing w:val="-4"/>
        </w:rPr>
      </w:pPr>
      <w:r>
        <w:rPr>
          <w:spacing w:val="-4"/>
        </w:rPr>
        <w:t>“</w:t>
      </w:r>
      <w:r w:rsidR="00DE36E2" w:rsidRPr="000C03EC">
        <w:rPr>
          <w:b/>
          <w:color w:val="00188F"/>
          <w:spacing w:val="-4"/>
        </w:rPr>
        <w:t>Recuperação</w:t>
      </w:r>
      <w:r>
        <w:rPr>
          <w:spacing w:val="-4"/>
        </w:rPr>
        <w:t>”</w:t>
      </w:r>
      <w:r w:rsidR="00DE36E2" w:rsidRPr="000C03EC">
        <w:rPr>
          <w:spacing w:val="-4"/>
        </w:rPr>
        <w:t xml:space="preserve"> ou </w:t>
      </w:r>
      <w:r>
        <w:rPr>
          <w:spacing w:val="-4"/>
        </w:rPr>
        <w:t>“</w:t>
      </w:r>
      <w:r w:rsidR="00DE36E2" w:rsidRPr="000C03EC">
        <w:rPr>
          <w:b/>
          <w:color w:val="00188F"/>
          <w:spacing w:val="-4"/>
        </w:rPr>
        <w:t>Restauro</w:t>
      </w:r>
      <w:r>
        <w:rPr>
          <w:spacing w:val="-4"/>
        </w:rPr>
        <w:t>”</w:t>
      </w:r>
      <w:r w:rsidR="00DE36E2" w:rsidRPr="000C03EC">
        <w:rPr>
          <w:spacing w:val="-4"/>
        </w:rPr>
        <w:t xml:space="preserve"> corresponde ao processo de restauro de dados do computador de um Cofre de Cópia de Segurança para um servidor registado.</w:t>
      </w:r>
    </w:p>
    <w:p w14:paraId="19753180" w14:textId="36061E88" w:rsidR="00DE36E2" w:rsidRPr="00ED4527" w:rsidRDefault="00EE6E3C" w:rsidP="00F01ED6">
      <w:pPr>
        <w:pStyle w:val="ProductList-Body"/>
        <w:spacing w:before="120"/>
        <w:rPr>
          <w:b/>
          <w:bCs/>
          <w:color w:val="00188F"/>
        </w:rPr>
      </w:pPr>
      <w:r>
        <w:rPr>
          <w:b/>
          <w:bCs/>
          <w:color w:val="00188F"/>
        </w:rPr>
        <w:t>Cálculo do Período de Disponibilidade e Níveis de Serviço para o Serviço de Cópia de Segurança</w:t>
      </w:r>
    </w:p>
    <w:p w14:paraId="3FF8AC21" w14:textId="77777777" w:rsidR="00DE36E2" w:rsidRDefault="00DE36E2" w:rsidP="00F01ED6">
      <w:pPr>
        <w:pStyle w:val="ProductList-Body"/>
        <w:rPr>
          <w:b/>
          <w:color w:val="00188F"/>
        </w:rPr>
      </w:pPr>
      <w:r>
        <w:rPr>
          <w:b/>
          <w:color w:val="00188F"/>
        </w:rPr>
        <w:t>Definições Adicionais:</w:t>
      </w:r>
    </w:p>
    <w:p w14:paraId="41F04368" w14:textId="1E6E1A0A" w:rsidR="00DE36E2" w:rsidRPr="00EF7CF9" w:rsidRDefault="00380305" w:rsidP="00F01ED6">
      <w:pPr>
        <w:pStyle w:val="ProductList-Body"/>
        <w:spacing w:after="40"/>
      </w:pPr>
      <w:r>
        <w:t>“</w:t>
      </w:r>
      <w:r w:rsidR="00DE36E2">
        <w:rPr>
          <w:b/>
          <w:color w:val="00188F"/>
        </w:rPr>
        <w:t>Minutos de Implementação</w:t>
      </w:r>
      <w:r>
        <w:t>”</w:t>
      </w:r>
      <w:r w:rsidR="00DE36E2">
        <w:t xml:space="preserve"> designa o número total de minutos no qual a Cópia de Segurança de um determinado Item Protegido foi agendada para um Cofre de Cópia de Segurança.</w:t>
      </w:r>
    </w:p>
    <w:p w14:paraId="3956C952" w14:textId="408AA7F3" w:rsidR="00DE36E2" w:rsidRPr="00EF7CF9" w:rsidRDefault="00380305" w:rsidP="00F01ED6">
      <w:pPr>
        <w:pStyle w:val="ProductList-Body"/>
        <w:spacing w:after="40"/>
      </w:pPr>
      <w:r>
        <w:t>“</w:t>
      </w:r>
      <w:r w:rsidR="00DE36E2">
        <w:rPr>
          <w:b/>
          <w:color w:val="00188F"/>
        </w:rPr>
        <w:t>Máximo de Minutos Disponíveis</w:t>
      </w:r>
      <w:r>
        <w:t>”</w:t>
      </w:r>
      <w:r w:rsidR="00DE36E2">
        <w:t xml:space="preserve"> designa a soma de todos os Minutos de Implementação em todos os Itens Protegidos numa determinada subscrição do Microsoft Azure durante um Período Aplicável.</w:t>
      </w:r>
    </w:p>
    <w:p w14:paraId="51760EC7" w14:textId="1AC33506" w:rsidR="00DE36E2" w:rsidRPr="00EF7CF9" w:rsidRDefault="00DE36E2" w:rsidP="00F01ED6">
      <w:pPr>
        <w:pStyle w:val="ProductList-Body"/>
      </w:pPr>
      <w:r>
        <w:rPr>
          <w:b/>
          <w:color w:val="00188F"/>
        </w:rPr>
        <w:t>Período de Indisponibilidade</w:t>
      </w:r>
      <w:r w:rsidRPr="00473DD3">
        <w:rPr>
          <w:b/>
          <w:color w:val="00188F"/>
        </w:rPr>
        <w:t>:</w:t>
      </w:r>
      <w:r>
        <w:t xml:space="preserve"> O total de Minutos de Implementação acumulados, em todos os Itens Protegidos para Cópia de Segurança pelo Cliente numa determinada subscrição do Microsoft Azure, no qual o Serviço de Cópia de Segurança está indisponível para o Item Protegido. O</w:t>
      </w:r>
      <w:r w:rsidR="0015785C">
        <w:t> </w:t>
      </w:r>
      <w:r>
        <w:t>Serviço de Cópia de Segurança é considerado indisponível para um determinado Item Protegido desde a primeira Falha na Cópia de Segurança ou</w:t>
      </w:r>
      <w:r w:rsidR="0015785C">
        <w:t> </w:t>
      </w:r>
      <w:r>
        <w:t>no Restauro do Item Protegido até à inicialização de uma Cópia de Segurança ou Restauro bem-sucedido de um Item Protegido, desde que as</w:t>
      </w:r>
      <w:r w:rsidR="0015785C">
        <w:t> </w:t>
      </w:r>
      <w:r>
        <w:t>repetições sejam tentadas continuamente com a frequência mínima de uma vez de trinta em trinta minutos.</w:t>
      </w:r>
    </w:p>
    <w:p w14:paraId="3921C6C7" w14:textId="5F46CF8F" w:rsidR="00DE36E2"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5414B8CA" w14:textId="2BB5D390" w:rsidR="00DE36E2" w:rsidRPr="00EF7CF9" w:rsidRDefault="00000000" w:rsidP="00566946">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A0202D6" w14:textId="77777777" w:rsidR="00DE36E2" w:rsidRPr="00EF7CF9" w:rsidRDefault="00DE36E2"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A0DDAAF" w14:textId="77777777" w:rsidR="00DE36E2" w:rsidRPr="00EF7CF9" w:rsidRDefault="00DE36E2" w:rsidP="00F01ED6">
            <w:pPr>
              <w:pStyle w:val="ProductList-OfferingBody"/>
              <w:jc w:val="center"/>
              <w:rPr>
                <w:color w:val="FFFFFF" w:themeColor="background1"/>
              </w:rPr>
            </w:pPr>
            <w:r>
              <w:rPr>
                <w:color w:val="FFFFFF" w:themeColor="background1"/>
              </w:rPr>
              <w:t>Crédito de Serviço</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F01ED6">
            <w:pPr>
              <w:pStyle w:val="ProductList-OfferingBody"/>
              <w:jc w:val="center"/>
            </w:pPr>
            <w:r>
              <w:t>&lt; 99,9%</w:t>
            </w:r>
          </w:p>
        </w:tc>
        <w:tc>
          <w:tcPr>
            <w:tcW w:w="5400" w:type="dxa"/>
            <w:tcBorders>
              <w:bottom w:val="single" w:sz="4" w:space="0" w:color="000000" w:themeColor="text1"/>
            </w:tcBorders>
          </w:tcPr>
          <w:p w14:paraId="5A64336C" w14:textId="77777777" w:rsidR="00DE36E2" w:rsidRPr="00EF7CF9" w:rsidRDefault="00DE36E2" w:rsidP="00F01ED6">
            <w:pPr>
              <w:pStyle w:val="ProductList-OfferingBody"/>
              <w:jc w:val="center"/>
            </w:pPr>
            <w:r>
              <w:t>10%</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F01ED6">
            <w:pPr>
              <w:pStyle w:val="ProductList-OfferingBody"/>
              <w:jc w:val="center"/>
            </w:pPr>
            <w:r>
              <w:t>&lt; 99%</w:t>
            </w:r>
          </w:p>
        </w:tc>
        <w:tc>
          <w:tcPr>
            <w:tcW w:w="5400" w:type="dxa"/>
            <w:tcBorders>
              <w:bottom w:val="single" w:sz="4" w:space="0" w:color="auto"/>
            </w:tcBorders>
          </w:tcPr>
          <w:p w14:paraId="32881A58" w14:textId="77777777" w:rsidR="00DE36E2" w:rsidRPr="00EF7CF9" w:rsidRDefault="00DE36E2" w:rsidP="00F01ED6">
            <w:pPr>
              <w:pStyle w:val="ProductList-OfferingBody"/>
              <w:keepNext/>
              <w:jc w:val="center"/>
            </w:pPr>
            <w:r>
              <w:t>25%</w:t>
            </w:r>
          </w:p>
        </w:tc>
      </w:tr>
    </w:tbl>
    <w:p w14:paraId="01E01A72" w14:textId="77777777" w:rsidR="00173870" w:rsidRPr="00EF7CF9" w:rsidRDefault="00173870" w:rsidP="001738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664F23B" w14:textId="77777777" w:rsidR="00250244" w:rsidRPr="00250244" w:rsidRDefault="00250244" w:rsidP="00F01ED6">
      <w:pPr>
        <w:pStyle w:val="ProductList-Offering2Heading"/>
        <w:keepNext/>
        <w:tabs>
          <w:tab w:val="clear" w:pos="360"/>
          <w:tab w:val="clear" w:pos="720"/>
          <w:tab w:val="clear" w:pos="1080"/>
        </w:tabs>
        <w:outlineLvl w:val="2"/>
      </w:pPr>
      <w:bookmarkStart w:id="154" w:name="_Toc239176429"/>
      <w:r>
        <w:t>Azure Bastion</w:t>
      </w:r>
      <w:bookmarkEnd w:id="154"/>
    </w:p>
    <w:p w14:paraId="0D5D41DC" w14:textId="5882362B" w:rsidR="00250244" w:rsidRPr="00250244" w:rsidRDefault="00250244" w:rsidP="00F01ED6">
      <w:pPr>
        <w:pStyle w:val="ProductList-Body"/>
        <w:rPr>
          <w:b/>
          <w:bCs/>
          <w:color w:val="00188F"/>
          <w:szCs w:val="18"/>
        </w:rPr>
      </w:pPr>
      <w:r>
        <w:rPr>
          <w:b/>
          <w:bCs/>
          <w:color w:val="00188F"/>
          <w:szCs w:val="18"/>
        </w:rPr>
        <w:t>Definições Adicionais</w:t>
      </w:r>
    </w:p>
    <w:p w14:paraId="4DB44C5E" w14:textId="1551F503" w:rsidR="00250244" w:rsidRPr="00250244" w:rsidRDefault="00EE6E3C" w:rsidP="00F01ED6">
      <w:pPr>
        <w:pStyle w:val="ProductList-Body"/>
        <w:rPr>
          <w:b/>
          <w:bCs/>
          <w:color w:val="00188F"/>
          <w:szCs w:val="18"/>
        </w:rPr>
      </w:pPr>
      <w:r>
        <w:rPr>
          <w:b/>
          <w:bCs/>
          <w:color w:val="00188F"/>
          <w:szCs w:val="18"/>
        </w:rPr>
        <w:t>Cálculo do Período de Disponibilidade</w:t>
      </w:r>
    </w:p>
    <w:p w14:paraId="18E29BE0" w14:textId="570DA8F9" w:rsidR="00250244" w:rsidRPr="00250244" w:rsidRDefault="00380305" w:rsidP="00F01ED6">
      <w:pPr>
        <w:pStyle w:val="ProductList-Body"/>
        <w:rPr>
          <w:szCs w:val="18"/>
        </w:rPr>
      </w:pPr>
      <w:r>
        <w:rPr>
          <w:szCs w:val="18"/>
        </w:rPr>
        <w:t>“</w:t>
      </w:r>
      <w:r w:rsidR="00250244">
        <w:rPr>
          <w:b/>
          <w:bCs/>
          <w:color w:val="00188F"/>
          <w:szCs w:val="18"/>
        </w:rPr>
        <w:t>Máximo de Minutos Disponíveis</w:t>
      </w:r>
      <w:r>
        <w:rPr>
          <w:szCs w:val="18"/>
        </w:rPr>
        <w:t>”</w:t>
      </w:r>
      <w:r w:rsidR="00250244">
        <w:rPr>
          <w:szCs w:val="18"/>
        </w:rPr>
        <w:t xml:space="preserve"> designa o total de minutos acumulados durante um Período Aplicável durante o qual um determinado cluster do Azure Bastion tenha sido implementado numa subscrição do Microsoft Azure.</w:t>
      </w:r>
    </w:p>
    <w:p w14:paraId="5620F057" w14:textId="576C63C2" w:rsidR="00250244" w:rsidRPr="00250244" w:rsidRDefault="00380305" w:rsidP="00F01ED6">
      <w:pPr>
        <w:pStyle w:val="ProductList-Body"/>
        <w:rPr>
          <w:szCs w:val="18"/>
        </w:rPr>
      </w:pPr>
      <w:r>
        <w:rPr>
          <w:szCs w:val="18"/>
        </w:rPr>
        <w:t>“</w:t>
      </w:r>
      <w:r w:rsidR="00250244">
        <w:rPr>
          <w:b/>
          <w:bCs/>
          <w:color w:val="00188F"/>
          <w:szCs w:val="18"/>
        </w:rPr>
        <w:t>Período de Indisponibilidade</w:t>
      </w:r>
      <w:r>
        <w:rPr>
          <w:szCs w:val="18"/>
        </w:rPr>
        <w:t>”</w:t>
      </w:r>
      <w:r w:rsidR="00250244">
        <w:rPr>
          <w:szCs w:val="18"/>
        </w:rPr>
        <w:t xml:space="preserve"> designa o total acumulado de Máximo de Minutos Disponíveis durante o qual um Azure Bastion está indisponível. Considera-se que um minuto está indisponível se todas as tentativas de ligação ao Azure Bastion durante esse minuto falharem.</w:t>
      </w:r>
    </w:p>
    <w:p w14:paraId="4AEDBD7A" w14:textId="15F028B8" w:rsidR="00250244" w:rsidRPr="00250244" w:rsidRDefault="00250244" w:rsidP="00F01ED6">
      <w:pPr>
        <w:pStyle w:val="ProductList-Body"/>
        <w:rPr>
          <w:szCs w:val="18"/>
        </w:rPr>
      </w:pPr>
      <w:r>
        <w:lastRenderedPageBreak/>
        <w:t xml:space="preserve">A </w:t>
      </w:r>
      <w:r w:rsidR="00380305">
        <w:rPr>
          <w:szCs w:val="18"/>
        </w:rPr>
        <w:t>“</w:t>
      </w:r>
      <w:r>
        <w:rPr>
          <w:b/>
          <w:bCs/>
          <w:color w:val="00188F"/>
          <w:szCs w:val="18"/>
        </w:rPr>
        <w:t>Percentagem de Período de Disponibilidade</w:t>
      </w:r>
      <w:r w:rsidR="00380305">
        <w:rPr>
          <w:szCs w:val="18"/>
        </w:rPr>
        <w:t>”</w:t>
      </w:r>
      <w:r>
        <w:rPr>
          <w:szCs w:val="18"/>
        </w:rPr>
        <w:t xml:space="preserve"> para um determinado Azure Bastion é calculada como o Máximo de Minutos Disponíveis menos o</w:t>
      </w:r>
      <w:r w:rsidR="00730C28">
        <w:rPr>
          <w:szCs w:val="18"/>
        </w:rPr>
        <w:t> </w:t>
      </w:r>
      <w:r>
        <w:rPr>
          <w:szCs w:val="18"/>
        </w:rPr>
        <w:t>Período de Indisponibilidade a dividir pelo Máximo de Minutos Disponíveis num Período Aplicável para uma determinada subscrição do Microsoft Azure. A Percentagem de Período de Disponibilidade é representada pela seguinte fórmula:</w:t>
      </w:r>
    </w:p>
    <w:p w14:paraId="65632BC7" w14:textId="77777777" w:rsidR="00250244" w:rsidRPr="00391FE2" w:rsidRDefault="00250244" w:rsidP="00F01ED6">
      <w:pPr>
        <w:pStyle w:val="ProductList-Body"/>
        <w:rPr>
          <w:sz w:val="12"/>
          <w:szCs w:val="12"/>
        </w:rPr>
      </w:pPr>
    </w:p>
    <w:p w14:paraId="28936B34" w14:textId="55A15F32" w:rsidR="00250244" w:rsidRPr="00EF7CF9" w:rsidRDefault="00000000" w:rsidP="00F01ED6">
      <w:pPr>
        <w:pStyle w:val="ListParagraph"/>
        <w:spacing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58593AE" w14:textId="77777777" w:rsidR="00250244" w:rsidRPr="00250244" w:rsidRDefault="00250244" w:rsidP="00F01ED6">
      <w:pPr>
        <w:pStyle w:val="ProductList-Body"/>
        <w:keepNext/>
        <w:rPr>
          <w:b/>
          <w:bCs/>
          <w:color w:val="00188F"/>
          <w:szCs w:val="18"/>
        </w:rPr>
      </w:pPr>
      <w:r>
        <w:rPr>
          <w:b/>
          <w:bCs/>
          <w:color w:val="00188F"/>
          <w:szCs w:val="18"/>
        </w:rPr>
        <w:t>Os seguintes Níveis de Serviço e Créditos de Serviço são aplicáveis à utilização de cada Azure Bastion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2B9090F" w14:textId="77777777" w:rsidR="00250244" w:rsidRPr="00EF7CF9" w:rsidRDefault="00250244" w:rsidP="00F01ED6">
            <w:pPr>
              <w:pStyle w:val="ProductList-OfferingBody"/>
              <w:jc w:val="center"/>
              <w:rPr>
                <w:color w:val="FFFFFF" w:themeColor="background1"/>
              </w:rPr>
            </w:pPr>
            <w:r>
              <w:rPr>
                <w:color w:val="FFFFFF" w:themeColor="background1"/>
              </w:rPr>
              <w:t>Crédito de Serviço</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F01ED6">
            <w:pPr>
              <w:pStyle w:val="ProductList-OfferingBody"/>
              <w:jc w:val="center"/>
            </w:pPr>
            <w:r>
              <w:t>&lt; 99,95%</w:t>
            </w:r>
          </w:p>
        </w:tc>
        <w:tc>
          <w:tcPr>
            <w:tcW w:w="5400" w:type="dxa"/>
            <w:tcBorders>
              <w:bottom w:val="single" w:sz="4" w:space="0" w:color="000000" w:themeColor="text1"/>
            </w:tcBorders>
          </w:tcPr>
          <w:p w14:paraId="566411D6" w14:textId="77777777" w:rsidR="00250244" w:rsidRPr="00EF7CF9" w:rsidRDefault="00250244" w:rsidP="00F01ED6">
            <w:pPr>
              <w:pStyle w:val="ProductList-OfferingBody"/>
              <w:jc w:val="center"/>
            </w:pPr>
            <w:r>
              <w:t>10%</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F01ED6">
            <w:pPr>
              <w:pStyle w:val="ProductList-OfferingBody"/>
              <w:jc w:val="center"/>
            </w:pPr>
            <w:r>
              <w:t>&lt; 99%</w:t>
            </w:r>
          </w:p>
        </w:tc>
        <w:tc>
          <w:tcPr>
            <w:tcW w:w="5400" w:type="dxa"/>
            <w:tcBorders>
              <w:bottom w:val="single" w:sz="4" w:space="0" w:color="auto"/>
            </w:tcBorders>
          </w:tcPr>
          <w:p w14:paraId="07002431" w14:textId="77777777" w:rsidR="00250244" w:rsidRPr="00EF7CF9" w:rsidRDefault="00250244" w:rsidP="00F01ED6">
            <w:pPr>
              <w:pStyle w:val="ProductList-OfferingBody"/>
              <w:keepNext/>
              <w:jc w:val="center"/>
            </w:pPr>
            <w:r>
              <w:t>25%</w:t>
            </w:r>
          </w:p>
        </w:tc>
      </w:tr>
    </w:tbl>
    <w:bookmarkStart w:id="155" w:name="_Toc52348941"/>
    <w:p w14:paraId="2765E070"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361CDC7" w14:textId="3E84EC69" w:rsidR="00EF0466" w:rsidRPr="00EF7CF9" w:rsidRDefault="00EF0466" w:rsidP="00F01ED6">
      <w:pPr>
        <w:pStyle w:val="ProductList-Offering2Heading"/>
        <w:keepNext/>
        <w:tabs>
          <w:tab w:val="clear" w:pos="360"/>
          <w:tab w:val="clear" w:pos="720"/>
          <w:tab w:val="clear" w:pos="1080"/>
        </w:tabs>
        <w:outlineLvl w:val="2"/>
      </w:pPr>
      <w:bookmarkStart w:id="156" w:name="_Toc239176430"/>
      <w:r>
        <w:t>Batch</w:t>
      </w:r>
      <w:bookmarkEnd w:id="155"/>
      <w:bookmarkEnd w:id="156"/>
    </w:p>
    <w:p w14:paraId="7A200489" w14:textId="77777777" w:rsidR="00EF0466" w:rsidRPr="00EF7CF9" w:rsidRDefault="00EF0466" w:rsidP="00F01ED6">
      <w:pPr>
        <w:pStyle w:val="ProductList-Body"/>
        <w:keepNext/>
        <w:rPr>
          <w:b/>
          <w:color w:val="00188F"/>
        </w:rPr>
      </w:pPr>
      <w:r>
        <w:rPr>
          <w:b/>
          <w:color w:val="00188F"/>
        </w:rPr>
        <w:t>Definições Adicionais</w:t>
      </w:r>
      <w:r w:rsidRPr="00473DD3">
        <w:rPr>
          <w:b/>
          <w:color w:val="00188F"/>
        </w:rPr>
        <w:t>:</w:t>
      </w:r>
    </w:p>
    <w:p w14:paraId="395AF348" w14:textId="4699FAAB" w:rsidR="00EF0466" w:rsidRPr="00EF7CF9" w:rsidRDefault="00380305" w:rsidP="00F01ED6">
      <w:pPr>
        <w:pStyle w:val="ProductList-Body"/>
        <w:spacing w:after="40"/>
      </w:pPr>
      <w:r>
        <w:t>“</w:t>
      </w:r>
      <w:r w:rsidR="00EF0466">
        <w:rPr>
          <w:b/>
          <w:color w:val="00188F"/>
        </w:rPr>
        <w:t>Taxa Média de Erros</w:t>
      </w:r>
      <w:r>
        <w:t>”</w:t>
      </w:r>
      <w:r w:rsidR="00EF0466">
        <w:t xml:space="preserve"> para um Período Aplicável designa a soma das Taxas de Erros para cada hora no Período Aplicável de faturação a dividir pelo número total de horas no Período Aplicável.</w:t>
      </w:r>
    </w:p>
    <w:p w14:paraId="7133E034" w14:textId="41B4634F" w:rsidR="00EF0466" w:rsidRPr="00EF7CF9" w:rsidRDefault="00380305" w:rsidP="00F01ED6">
      <w:pPr>
        <w:pStyle w:val="ProductList-Body"/>
      </w:pPr>
      <w:r>
        <w:t>“</w:t>
      </w:r>
      <w:r w:rsidR="00EF0466">
        <w:rPr>
          <w:b/>
          <w:color w:val="00188F"/>
        </w:rPr>
        <w:t>Taxa de Erros</w:t>
      </w:r>
      <w:r>
        <w:t>”</w:t>
      </w:r>
      <w:r w:rsidR="00EF0466">
        <w:t xml:space="preserve"> designa o número total de Pedidos com Falha a dividir pelo Total de Pedidos durante um determinado intervalo de uma hora. Se o</w:t>
      </w:r>
      <w:r w:rsidR="000D5A78">
        <w:t> </w:t>
      </w:r>
      <w:r w:rsidR="00EF0466">
        <w:t>Total de Pedidos num determinado intervalo de uma hora for zero, a Taxa de Erros para esse intervalo é de 0%.</w:t>
      </w:r>
    </w:p>
    <w:p w14:paraId="6E2D1CEE" w14:textId="368B501E" w:rsidR="00EF0466" w:rsidRPr="00EF7CF9" w:rsidRDefault="00380305" w:rsidP="00F01ED6">
      <w:pPr>
        <w:pStyle w:val="ProductList-Body"/>
        <w:spacing w:after="40"/>
      </w:pPr>
      <w:r>
        <w:t>“</w:t>
      </w:r>
      <w:r w:rsidR="00EF0466">
        <w:rPr>
          <w:b/>
          <w:color w:val="00188F"/>
        </w:rPr>
        <w:t>Pedidos Excluídos</w:t>
      </w:r>
      <w:r>
        <w:t>”</w:t>
      </w:r>
      <w:r w:rsidR="00EF0466">
        <w:t xml:space="preserve"> são pedidos que resultam num código de estado HTTP 4xx, que não um código de estado HTTP 408.</w:t>
      </w:r>
    </w:p>
    <w:p w14:paraId="53BBC1FB" w14:textId="366197A6" w:rsidR="00EF0466" w:rsidRPr="00EF7CF9" w:rsidRDefault="00380305" w:rsidP="00F01ED6">
      <w:pPr>
        <w:pStyle w:val="ProductList-Body"/>
        <w:spacing w:after="40"/>
      </w:pPr>
      <w:r>
        <w:t>“</w:t>
      </w:r>
      <w:r w:rsidR="00EF0466">
        <w:rPr>
          <w:b/>
          <w:color w:val="00188F"/>
        </w:rPr>
        <w:t>Pedidos com Falha</w:t>
      </w:r>
      <w:r>
        <w:t>”</w:t>
      </w:r>
      <w:r w:rsidR="00EF0466">
        <w:t xml:space="preserve"> é o conjunto de todos os pedidos no Total de Pedidos que devolvem um Código de Erro ou um código de estado HTTP 408 ou</w:t>
      </w:r>
      <w:r w:rsidR="0021725E">
        <w:t> </w:t>
      </w:r>
      <w:r w:rsidR="00EF0466">
        <w:t>uma falha em devolver um Código de Êxito num prazo de 5 segundos.</w:t>
      </w:r>
    </w:p>
    <w:p w14:paraId="650DAD32" w14:textId="0B7BA439" w:rsidR="00EF0466" w:rsidRPr="000C03EC" w:rsidRDefault="00380305" w:rsidP="00F01ED6">
      <w:pPr>
        <w:pStyle w:val="ProductList-Body"/>
        <w:spacing w:after="40"/>
        <w:rPr>
          <w:spacing w:val="-3"/>
        </w:rPr>
      </w:pPr>
      <w:r>
        <w:rPr>
          <w:spacing w:val="-3"/>
        </w:rPr>
        <w:t>“</w:t>
      </w:r>
      <w:r w:rsidR="00EF0466" w:rsidRPr="000C03EC">
        <w:rPr>
          <w:b/>
          <w:color w:val="00188F"/>
          <w:spacing w:val="-3"/>
        </w:rPr>
        <w:t>Total de Pedidos</w:t>
      </w:r>
      <w:r>
        <w:rPr>
          <w:spacing w:val="-3"/>
        </w:rPr>
        <w:t>”</w:t>
      </w:r>
      <w:r w:rsidR="00EF0466" w:rsidRPr="000C03EC">
        <w:rPr>
          <w:spacing w:val="-3"/>
        </w:rPr>
        <w:t xml:space="preserve"> designa o número total de pedidos de API REST autenticados, que não Pedidos Excluídos, para executar operações relativamente a</w:t>
      </w:r>
      <w:r w:rsidR="000C03EC">
        <w:rPr>
          <w:spacing w:val="-3"/>
        </w:rPr>
        <w:t> </w:t>
      </w:r>
      <w:r w:rsidR="00EF0466" w:rsidRPr="000C03EC">
        <w:rPr>
          <w:spacing w:val="-3"/>
        </w:rPr>
        <w:t>contas Batch tentados num intervalo de uma hora, no âmbito de uma determinada subscrição do Azure e durante um Período Aplicável.</w:t>
      </w:r>
    </w:p>
    <w:p w14:paraId="7EAB2ED8" w14:textId="411BF165" w:rsidR="00EF0466" w:rsidRDefault="00AC48A7" w:rsidP="00F01ED6">
      <w:pPr>
        <w:pStyle w:val="ProductList-Body"/>
      </w:pPr>
      <w:r>
        <w:rPr>
          <w:b/>
          <w:color w:val="00188F"/>
        </w:rPr>
        <w:t>Percentagem de Período de Disponibilidade</w:t>
      </w:r>
      <w:r w:rsidRPr="00473DD3">
        <w:rPr>
          <w:b/>
          <w:color w:val="00188F"/>
        </w:rPr>
        <w:t>:</w:t>
      </w:r>
      <w:r>
        <w:t xml:space="preserve"> para o Serviço Batch é calculada ao subtrair de 100% a Taxa Média de Erros para uma determinada subscrição do Microsoft Azure num Período Aplicável. A </w:t>
      </w:r>
      <w:r w:rsidR="00380305">
        <w:t>“</w:t>
      </w:r>
      <w:r>
        <w:t>Taxa Média de Erros</w:t>
      </w:r>
      <w:r w:rsidR="00380305">
        <w:t>”</w:t>
      </w:r>
      <w:r>
        <w:t xml:space="preserve"> para um Período Aplicável designa a soma das Taxas de Erros para cada hora no Período Aplicável a dividir pelo número total de horas no Período Aplicável. </w:t>
      </w:r>
    </w:p>
    <w:p w14:paraId="083113DA" w14:textId="1E983909" w:rsidR="00EF0466" w:rsidRPr="00EF7CF9" w:rsidRDefault="00AC48A7" w:rsidP="00F01ED6">
      <w:pPr>
        <w:pStyle w:val="ProductList-Body"/>
      </w:pPr>
      <w:r>
        <w:t>A Percentagem de Período de Disponibilidade é representada pela seguinte fórmula:</w:t>
      </w:r>
    </w:p>
    <w:p w14:paraId="0BEE3720" w14:textId="5C960296" w:rsidR="00EF0466" w:rsidRPr="00EF7CF9" w:rsidRDefault="000C03EC" w:rsidP="00566946">
      <w:pPr>
        <w:pStyle w:val="ListParagraph"/>
        <w:spacing w:before="120" w:after="0" w:line="240" w:lineRule="auto"/>
        <w:rPr>
          <w:rFonts w:ascii="Cambria Math" w:hAnsi="Cambria Math" w:cs="Tahoma"/>
          <w:i/>
          <w:sz w:val="12"/>
          <w:szCs w:val="12"/>
        </w:rPr>
      </w:pPr>
      <m:oMathPara>
        <m:oMath>
          <m:r>
            <m:rPr>
              <m:nor/>
            </m:rPr>
            <w:rPr>
              <w:rFonts w:ascii="Cambria Math" w:hAnsi="Cambria Math" w:cs="Tahoma"/>
              <w:i/>
              <w:sz w:val="18"/>
              <w:szCs w:val="18"/>
            </w:rPr>
            <m:t xml:space="preserve">% de Período de Disponibilidade = 100% – Taxa Média de Erros </m:t>
          </m:r>
        </m:oMath>
      </m:oMathPara>
    </w:p>
    <w:p w14:paraId="4CC590BB" w14:textId="77777777" w:rsidR="00EF0466" w:rsidRPr="00EF7CF9" w:rsidRDefault="00EF046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A7D8845" w14:textId="77777777" w:rsidR="00EF0466" w:rsidRPr="00EF7CF9" w:rsidRDefault="00EF0466" w:rsidP="00F01ED6">
            <w:pPr>
              <w:pStyle w:val="ProductList-OfferingBody"/>
              <w:jc w:val="center"/>
              <w:rPr>
                <w:color w:val="FFFFFF" w:themeColor="background1"/>
              </w:rPr>
            </w:pPr>
            <w:r>
              <w:rPr>
                <w:color w:val="FFFFFF" w:themeColor="background1"/>
              </w:rPr>
              <w:t>Crédito de Serviço</w:t>
            </w:r>
          </w:p>
        </w:tc>
      </w:tr>
      <w:tr w:rsidR="00EF0466" w:rsidRPr="00B44CF9" w14:paraId="784DC36D" w14:textId="77777777" w:rsidTr="00277097">
        <w:tc>
          <w:tcPr>
            <w:tcW w:w="5400" w:type="dxa"/>
          </w:tcPr>
          <w:p w14:paraId="53AB855C" w14:textId="77777777" w:rsidR="00EF0466" w:rsidRPr="00EF7CF9" w:rsidRDefault="00EF0466" w:rsidP="00F01ED6">
            <w:pPr>
              <w:pStyle w:val="ProductList-OfferingBody"/>
              <w:jc w:val="center"/>
            </w:pPr>
            <w:r>
              <w:t>&lt; 99,9%</w:t>
            </w:r>
          </w:p>
        </w:tc>
        <w:tc>
          <w:tcPr>
            <w:tcW w:w="5400" w:type="dxa"/>
          </w:tcPr>
          <w:p w14:paraId="762804D1" w14:textId="77777777" w:rsidR="00EF0466" w:rsidRPr="00EF7CF9" w:rsidRDefault="00EF0466" w:rsidP="00F01ED6">
            <w:pPr>
              <w:pStyle w:val="ProductList-OfferingBody"/>
              <w:jc w:val="center"/>
            </w:pPr>
            <w:r>
              <w:t>10%</w:t>
            </w:r>
          </w:p>
        </w:tc>
      </w:tr>
      <w:tr w:rsidR="00EF0466" w:rsidRPr="00B44CF9" w14:paraId="433CE4B5" w14:textId="77777777" w:rsidTr="00277097">
        <w:tc>
          <w:tcPr>
            <w:tcW w:w="5400" w:type="dxa"/>
          </w:tcPr>
          <w:p w14:paraId="5A4F3664" w14:textId="77777777" w:rsidR="00EF0466" w:rsidRPr="00EF7CF9" w:rsidRDefault="00EF0466" w:rsidP="00F01ED6">
            <w:pPr>
              <w:pStyle w:val="ProductList-OfferingBody"/>
              <w:jc w:val="center"/>
            </w:pPr>
            <w:r>
              <w:t>&lt; 99%</w:t>
            </w:r>
          </w:p>
        </w:tc>
        <w:tc>
          <w:tcPr>
            <w:tcW w:w="5400" w:type="dxa"/>
          </w:tcPr>
          <w:p w14:paraId="2BE675AB" w14:textId="77777777" w:rsidR="00EF0466" w:rsidRPr="00EF7CF9" w:rsidRDefault="00EF0466" w:rsidP="00F01ED6">
            <w:pPr>
              <w:pStyle w:val="ProductList-OfferingBody"/>
              <w:jc w:val="center"/>
            </w:pPr>
            <w:r>
              <w:t>25%</w:t>
            </w:r>
          </w:p>
        </w:tc>
      </w:tr>
    </w:tbl>
    <w:bookmarkStart w:id="157" w:name="_Toc457821542"/>
    <w:bookmarkStart w:id="158" w:name="_Toc52348943"/>
    <w:p w14:paraId="48D9E671"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DDD5416" w14:textId="77777777" w:rsidR="00EE07E3" w:rsidRPr="00EF7CF9" w:rsidRDefault="00EE07E3" w:rsidP="00F01ED6">
      <w:pPr>
        <w:pStyle w:val="ProductList-Offering2Heading"/>
        <w:keepNext/>
        <w:tabs>
          <w:tab w:val="clear" w:pos="360"/>
          <w:tab w:val="clear" w:pos="720"/>
          <w:tab w:val="clear" w:pos="1080"/>
        </w:tabs>
        <w:outlineLvl w:val="2"/>
      </w:pPr>
      <w:bookmarkStart w:id="159" w:name="_Toc239176431"/>
      <w:r>
        <w:t>Serviços BizTalk</w:t>
      </w:r>
      <w:bookmarkEnd w:id="157"/>
      <w:bookmarkEnd w:id="158"/>
      <w:bookmarkEnd w:id="159"/>
    </w:p>
    <w:p w14:paraId="1EEF97B3" w14:textId="77777777" w:rsidR="00EE07E3" w:rsidRPr="00EF7CF9" w:rsidRDefault="00EE07E3" w:rsidP="00F01ED6">
      <w:pPr>
        <w:pStyle w:val="ProductList-Body"/>
        <w:keepNext/>
        <w:rPr>
          <w:b/>
          <w:color w:val="00188F"/>
        </w:rPr>
      </w:pPr>
      <w:r>
        <w:rPr>
          <w:b/>
          <w:color w:val="00188F"/>
        </w:rPr>
        <w:t>Definições Adicionais</w:t>
      </w:r>
      <w:r w:rsidRPr="00473DD3">
        <w:rPr>
          <w:b/>
          <w:color w:val="00188F"/>
        </w:rPr>
        <w:t>:</w:t>
      </w:r>
    </w:p>
    <w:p w14:paraId="689B8158" w14:textId="3D091B09" w:rsidR="00EE07E3" w:rsidRPr="00EF7CF9" w:rsidRDefault="00380305" w:rsidP="00F01ED6">
      <w:pPr>
        <w:pStyle w:val="ProductList-Body"/>
        <w:spacing w:after="40"/>
      </w:pPr>
      <w:r>
        <w:t>“</w:t>
      </w:r>
      <w:r w:rsidR="00EE07E3">
        <w:rPr>
          <w:b/>
          <w:color w:val="00188F"/>
        </w:rPr>
        <w:t>Ambiente de Serviço BizTalk</w:t>
      </w:r>
      <w:r>
        <w:t>”</w:t>
      </w:r>
      <w:r w:rsidR="00EE07E3">
        <w:t xml:space="preserve"> designa uma implementação dos Serviços BizTalk criados pelo Cliente, tal como representado no Portal de Gestão, para o qual o Cliente pode enviar pedidos de mensagens de runtime.</w:t>
      </w:r>
    </w:p>
    <w:p w14:paraId="30BE0C93" w14:textId="1C2E63B7" w:rsidR="00EE07E3" w:rsidRPr="00EF7CF9" w:rsidRDefault="00380305" w:rsidP="00F01ED6">
      <w:pPr>
        <w:pStyle w:val="ProductList-Body"/>
        <w:spacing w:after="40"/>
      </w:pPr>
      <w:r>
        <w:t>“</w:t>
      </w:r>
      <w:r w:rsidR="00EE07E3">
        <w:rPr>
          <w:b/>
          <w:color w:val="00188F"/>
        </w:rPr>
        <w:t>Minutos de Implementação</w:t>
      </w:r>
      <w:r>
        <w:t>”</w:t>
      </w:r>
      <w:r w:rsidR="00EE07E3">
        <w:t xml:space="preserve"> designa o número total de minutos durante os quais um determinado Ambiente de Serviço BizTalk foi implementado no Microsoft Azure durante um Período Aplicável.</w:t>
      </w:r>
    </w:p>
    <w:p w14:paraId="05F523B2" w14:textId="6DA5E29F" w:rsidR="00EE07E3" w:rsidRPr="00EF7CF9" w:rsidRDefault="00380305" w:rsidP="00F01ED6">
      <w:pPr>
        <w:pStyle w:val="ProductList-Body"/>
        <w:spacing w:after="40"/>
      </w:pPr>
      <w:r>
        <w:t>“</w:t>
      </w:r>
      <w:r w:rsidR="00EE07E3">
        <w:rPr>
          <w:b/>
          <w:color w:val="00188F"/>
        </w:rPr>
        <w:t>Máximo de Minutos Disponíveis</w:t>
      </w:r>
      <w:r>
        <w:t>”</w:t>
      </w:r>
      <w:r w:rsidR="00EE07E3">
        <w:t xml:space="preserve"> designa a soma de todos os Minutos de Implementação em todos os Ambientes de Serviço BizTalk implementados pelo Cliente numa determinada subscrição do Microsoft Azure durante um Período Aplicável.</w:t>
      </w:r>
    </w:p>
    <w:p w14:paraId="2867114C" w14:textId="22980F7C" w:rsidR="00EE07E3" w:rsidRPr="00EF7CF9" w:rsidRDefault="00380305" w:rsidP="00F01ED6">
      <w:pPr>
        <w:pStyle w:val="ProductList-Body"/>
      </w:pPr>
      <w:r>
        <w:t>“</w:t>
      </w:r>
      <w:r w:rsidR="00EE07E3">
        <w:rPr>
          <w:b/>
          <w:color w:val="00188F"/>
        </w:rPr>
        <w:t>Conta de Armazenamento de Monitorização</w:t>
      </w:r>
      <w:r>
        <w:t>”</w:t>
      </w:r>
      <w:r w:rsidR="00EE07E3">
        <w:t xml:space="preserve"> designa a conta de Armazenamento do Azure utilizada pelos Serviços BizTalk para armazenar informações de monitorização relacionadas com a execução dos Serviços BizTalk.</w:t>
      </w:r>
    </w:p>
    <w:p w14:paraId="150F5BD7" w14:textId="13DCA8FC" w:rsidR="00EE07E3" w:rsidRPr="00EF7CF9" w:rsidRDefault="00EE07E3" w:rsidP="00F01ED6">
      <w:pPr>
        <w:pStyle w:val="ProductList-Body"/>
      </w:pPr>
      <w:r>
        <w:rPr>
          <w:b/>
          <w:color w:val="00188F"/>
        </w:rPr>
        <w:t>Período de Indisponibilidade</w:t>
      </w:r>
      <w:r w:rsidRPr="00473DD3">
        <w:rPr>
          <w:b/>
          <w:color w:val="00188F"/>
        </w:rPr>
        <w:t>:</w:t>
      </w:r>
      <w:r>
        <w:t xml:space="preserve"> O total de Minutos de Implementação acumulados, em todos os Ambientes de Serviço BizTalk implementados pelo Cliente numa determinada subscrição do Microsoft Azure, no qual o Ambiente de Serviço BizTalk está indisponível. Um minuto é considerado indisponível para um determinado Ambiente de Serviço BizTalk quando não existe nenhuma conectividade entre o Ambiente de Serviço BizTalk do</w:t>
      </w:r>
      <w:r w:rsidR="00A445EB">
        <w:t> </w:t>
      </w:r>
      <w:r>
        <w:t>Cliente e o gateway de Internet da Microsoft.</w:t>
      </w:r>
    </w:p>
    <w:p w14:paraId="094308AC" w14:textId="6B9E9816" w:rsidR="00EE07E3"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 </w:t>
      </w:r>
    </w:p>
    <w:p w14:paraId="684C104E" w14:textId="1BACD55D" w:rsidR="00EE07E3" w:rsidRPr="00EF7CF9" w:rsidRDefault="00000000" w:rsidP="00566946">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91A6EB5" w14:textId="77777777" w:rsidR="00EE07E3" w:rsidRPr="00EF7CF9" w:rsidRDefault="00EE07E3"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F01ED6">
            <w:pPr>
              <w:pStyle w:val="ProductList-OfferingBody"/>
              <w:jc w:val="center"/>
              <w:rPr>
                <w:color w:val="FFFFFF" w:themeColor="background1"/>
              </w:rPr>
            </w:pPr>
            <w:r>
              <w:rPr>
                <w:color w:val="FFFFFF" w:themeColor="background1"/>
              </w:rPr>
              <w:lastRenderedPageBreak/>
              <w:t>Percentagem de Período de Disponibilidade</w:t>
            </w:r>
          </w:p>
        </w:tc>
        <w:tc>
          <w:tcPr>
            <w:tcW w:w="5400" w:type="dxa"/>
            <w:shd w:val="clear" w:color="auto" w:fill="0072C6"/>
          </w:tcPr>
          <w:p w14:paraId="6008E93F" w14:textId="77777777" w:rsidR="00EE07E3" w:rsidRPr="00EF7CF9" w:rsidRDefault="00EE07E3" w:rsidP="00F01ED6">
            <w:pPr>
              <w:pStyle w:val="ProductList-OfferingBody"/>
              <w:jc w:val="center"/>
              <w:rPr>
                <w:color w:val="FFFFFF" w:themeColor="background1"/>
              </w:rPr>
            </w:pPr>
            <w:r>
              <w:rPr>
                <w:color w:val="FFFFFF" w:themeColor="background1"/>
              </w:rPr>
              <w:t>Crédito de Serviço</w:t>
            </w:r>
          </w:p>
        </w:tc>
      </w:tr>
      <w:tr w:rsidR="00EE07E3" w:rsidRPr="00B44CF9" w14:paraId="2A4110F7" w14:textId="77777777" w:rsidTr="00277097">
        <w:tc>
          <w:tcPr>
            <w:tcW w:w="5400" w:type="dxa"/>
          </w:tcPr>
          <w:p w14:paraId="15668B8B" w14:textId="77777777" w:rsidR="00EE07E3" w:rsidRPr="00EF7CF9" w:rsidRDefault="00EE07E3" w:rsidP="00F01ED6">
            <w:pPr>
              <w:pStyle w:val="ProductList-OfferingBody"/>
              <w:jc w:val="center"/>
            </w:pPr>
            <w:r>
              <w:t>&lt; 99,9%</w:t>
            </w:r>
          </w:p>
        </w:tc>
        <w:tc>
          <w:tcPr>
            <w:tcW w:w="5400" w:type="dxa"/>
          </w:tcPr>
          <w:p w14:paraId="1A041908" w14:textId="77777777" w:rsidR="00EE07E3" w:rsidRPr="00EF7CF9" w:rsidRDefault="00EE07E3" w:rsidP="00F01ED6">
            <w:pPr>
              <w:pStyle w:val="ProductList-OfferingBody"/>
              <w:jc w:val="center"/>
            </w:pPr>
            <w:r>
              <w:t>10%</w:t>
            </w:r>
          </w:p>
        </w:tc>
      </w:tr>
      <w:tr w:rsidR="00EE07E3" w:rsidRPr="00B44CF9" w14:paraId="6D76EEE9" w14:textId="77777777" w:rsidTr="00277097">
        <w:tc>
          <w:tcPr>
            <w:tcW w:w="5400" w:type="dxa"/>
          </w:tcPr>
          <w:p w14:paraId="1D348B08" w14:textId="77777777" w:rsidR="00EE07E3" w:rsidRPr="00EF7CF9" w:rsidRDefault="00EE07E3" w:rsidP="00F01ED6">
            <w:pPr>
              <w:pStyle w:val="ProductList-OfferingBody"/>
              <w:jc w:val="center"/>
            </w:pPr>
            <w:r>
              <w:t>&lt; 99%</w:t>
            </w:r>
          </w:p>
        </w:tc>
        <w:tc>
          <w:tcPr>
            <w:tcW w:w="5400" w:type="dxa"/>
          </w:tcPr>
          <w:p w14:paraId="03C66756" w14:textId="77777777" w:rsidR="00EE07E3" w:rsidRPr="00EF7CF9" w:rsidRDefault="00EE07E3" w:rsidP="00F01ED6">
            <w:pPr>
              <w:pStyle w:val="ProductList-OfferingBody"/>
              <w:jc w:val="center"/>
            </w:pPr>
            <w:r>
              <w:t>25%</w:t>
            </w:r>
          </w:p>
        </w:tc>
      </w:tr>
    </w:tbl>
    <w:p w14:paraId="06B841FB" w14:textId="77777777" w:rsidR="00EE07E3" w:rsidRPr="00EF7CF9" w:rsidRDefault="00EE07E3" w:rsidP="00F01ED6">
      <w:pPr>
        <w:pStyle w:val="ProductList-Body"/>
      </w:pPr>
    </w:p>
    <w:p w14:paraId="65C7EBDC" w14:textId="4889E5B3" w:rsidR="00EE07E3" w:rsidRPr="00EF7CF9" w:rsidRDefault="00EE07E3" w:rsidP="00F01ED6">
      <w:pPr>
        <w:pStyle w:val="ProductList-Body"/>
      </w:pPr>
      <w:r>
        <w:rPr>
          <w:b/>
          <w:color w:val="00188F"/>
        </w:rPr>
        <w:t>Exceções de Nível de Serviço</w:t>
      </w:r>
      <w:r w:rsidRPr="00473DD3">
        <w:rPr>
          <w:b/>
          <w:color w:val="00188F"/>
        </w:rPr>
        <w:t>:</w:t>
      </w:r>
      <w:r>
        <w:t xml:space="preserve"> Os Níveis de Serviço e Créditos de Serviço são aplicáveis à utilização que o Cliente faz das camadas Basic, Standard e</w:t>
      </w:r>
      <w:r w:rsidR="000C03EC">
        <w:t> </w:t>
      </w:r>
      <w:r>
        <w:t>Premium dos Serviços BizTalk. A camada Developer dos Serviços BizTalk do Microsoft Azure não é abrangida por este SLA.</w:t>
      </w:r>
    </w:p>
    <w:p w14:paraId="41B0412C" w14:textId="77777777" w:rsidR="00EE07E3" w:rsidRPr="00EF7CF9" w:rsidRDefault="00EE07E3" w:rsidP="00F01ED6">
      <w:pPr>
        <w:pStyle w:val="ProductList-Body"/>
      </w:pPr>
    </w:p>
    <w:p w14:paraId="21C0FE31" w14:textId="18D36707" w:rsidR="00EE07E3" w:rsidRPr="00EF7CF9" w:rsidRDefault="00EE07E3" w:rsidP="00F01ED6">
      <w:pPr>
        <w:pStyle w:val="ProductList-Body"/>
      </w:pPr>
      <w:r>
        <w:rPr>
          <w:b/>
          <w:color w:val="00188F"/>
        </w:rPr>
        <w:t>Termos Adicionais</w:t>
      </w:r>
      <w:r w:rsidRPr="00473DD3">
        <w:rPr>
          <w:b/>
          <w:color w:val="00188F"/>
        </w:rPr>
        <w:t>:</w:t>
      </w:r>
      <w:r>
        <w:t xml:space="preserve"> Ao submeter uma reclamação, o Cliente deve assegurar que os dados de monitorização completos são mantidos na Conta de</w:t>
      </w:r>
      <w:r w:rsidR="00911DE6">
        <w:t> </w:t>
      </w:r>
      <w:r>
        <w:t>Armazenamento de Monitorização e são disponibilizados à Microsoft.</w:t>
      </w:r>
    </w:p>
    <w:p w14:paraId="7B878C8C"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2D0FD56" w14:textId="58C7C03A" w:rsidR="004005AF" w:rsidRPr="00EF7CF9" w:rsidRDefault="004005AF" w:rsidP="00F01ED6">
      <w:pPr>
        <w:pStyle w:val="ProductList-Offering2Heading"/>
        <w:keepNext/>
        <w:tabs>
          <w:tab w:val="clear" w:pos="360"/>
          <w:tab w:val="clear" w:pos="720"/>
          <w:tab w:val="clear" w:pos="1080"/>
        </w:tabs>
        <w:outlineLvl w:val="2"/>
      </w:pPr>
      <w:bookmarkStart w:id="160" w:name="_Toc239176432"/>
      <w:r>
        <w:t>Azure Bot Service</w:t>
      </w:r>
      <w:bookmarkEnd w:id="152"/>
      <w:bookmarkEnd w:id="160"/>
    </w:p>
    <w:bookmarkEnd w:id="147"/>
    <w:p w14:paraId="3693B18C" w14:textId="77777777" w:rsidR="004005AF" w:rsidRPr="00EF7CF9" w:rsidRDefault="004005AF" w:rsidP="00F01ED6">
      <w:pPr>
        <w:pStyle w:val="ProductList-Body"/>
      </w:pPr>
      <w:r>
        <w:rPr>
          <w:b/>
          <w:color w:val="00188F"/>
        </w:rPr>
        <w:t>Definições Adicionais</w:t>
      </w:r>
      <w:r w:rsidRPr="00473DD3">
        <w:rPr>
          <w:b/>
          <w:color w:val="00188F"/>
        </w:rPr>
        <w:t>:</w:t>
      </w:r>
    </w:p>
    <w:p w14:paraId="5B0F1183" w14:textId="0CA33336" w:rsidR="004005AF" w:rsidRPr="00EF7CF9" w:rsidRDefault="00380305" w:rsidP="00F01ED6">
      <w:pPr>
        <w:pStyle w:val="ProductList-Body"/>
        <w:spacing w:after="40"/>
      </w:pPr>
      <w:r>
        <w:t>“</w:t>
      </w:r>
      <w:r w:rsidR="004005AF">
        <w:rPr>
          <w:b/>
          <w:color w:val="00188F"/>
        </w:rPr>
        <w:t>Canal Premium do Azure Bot Service</w:t>
      </w:r>
      <w:r>
        <w:t>”</w:t>
      </w:r>
      <w:r w:rsidR="004005AF">
        <w:t xml:space="preserve"> designa um canal de Enquadramento de Bots na categoria premium.</w:t>
      </w:r>
    </w:p>
    <w:p w14:paraId="6C1FBDA2" w14:textId="25126028" w:rsidR="004005AF" w:rsidRPr="00EF7CF9" w:rsidRDefault="00380305" w:rsidP="00F01ED6">
      <w:pPr>
        <w:pStyle w:val="ProductList-Body"/>
        <w:spacing w:after="40"/>
      </w:pPr>
      <w:r>
        <w:t>“</w:t>
      </w:r>
      <w:r w:rsidR="004005AF">
        <w:rPr>
          <w:b/>
          <w:color w:val="00188F"/>
        </w:rPr>
        <w:t>Bot</w:t>
      </w:r>
      <w:r>
        <w:t>”</w:t>
      </w:r>
      <w:r w:rsidR="004005AF">
        <w:t xml:space="preserve"> é a aplicação conversacional com interface para a Internet do programador que está registada e configurada para enviar e receber mensagens do Azure Bot Service.</w:t>
      </w:r>
    </w:p>
    <w:p w14:paraId="18BAD109" w14:textId="0521861B" w:rsidR="004005AF" w:rsidRPr="00EF7CF9" w:rsidRDefault="00380305" w:rsidP="00F01ED6">
      <w:pPr>
        <w:pStyle w:val="ProductList-Body"/>
        <w:spacing w:after="40"/>
      </w:pPr>
      <w:r>
        <w:t>“</w:t>
      </w:r>
      <w:r w:rsidR="004005AF">
        <w:rPr>
          <w:b/>
          <w:color w:val="00188F"/>
        </w:rPr>
        <w:t>Bot Framework</w:t>
      </w:r>
      <w:r>
        <w:t>”</w:t>
      </w:r>
      <w:r w:rsidR="004005AF">
        <w:rPr>
          <w:b/>
        </w:rPr>
        <w:t xml:space="preserve"> </w:t>
      </w:r>
      <w:r w:rsidR="004005AF">
        <w:t>é uma plataforma para criar, ligar, testar e desenvolver bots poderosos e inteligentes.</w:t>
      </w:r>
    </w:p>
    <w:p w14:paraId="51F2105F" w14:textId="6F9B160F" w:rsidR="004005AF" w:rsidRPr="00EF7CF9" w:rsidRDefault="00380305" w:rsidP="00F01ED6">
      <w:pPr>
        <w:pStyle w:val="ProductList-Body"/>
        <w:spacing w:after="40"/>
      </w:pPr>
      <w:r>
        <w:t>“</w:t>
      </w:r>
      <w:r w:rsidR="004005AF">
        <w:rPr>
          <w:b/>
          <w:color w:val="00188F"/>
        </w:rPr>
        <w:t>Cliente</w:t>
      </w:r>
      <w:r>
        <w:t>”</w:t>
      </w:r>
      <w:r w:rsidR="004005AF">
        <w:t xml:space="preserve"> é a parte destinada ao utilizador final de um Bot</w:t>
      </w:r>
      <w:r w:rsidR="004005AF">
        <w:rPr>
          <w:rStyle w:val="CommentReference"/>
          <w:sz w:val="18"/>
          <w:szCs w:val="18"/>
        </w:rPr>
        <w:t>.</w:t>
      </w:r>
    </w:p>
    <w:p w14:paraId="4E6AFF00" w14:textId="5A0C4B43" w:rsidR="004005AF" w:rsidRPr="000C03EC" w:rsidRDefault="00380305" w:rsidP="00F01ED6">
      <w:pPr>
        <w:pStyle w:val="ProductList-Body"/>
        <w:spacing w:after="40"/>
        <w:rPr>
          <w:spacing w:val="-3"/>
        </w:rPr>
      </w:pPr>
      <w:r>
        <w:rPr>
          <w:spacing w:val="-3"/>
        </w:rPr>
        <w:t>“</w:t>
      </w:r>
      <w:r w:rsidR="004005AF" w:rsidRPr="000C03EC">
        <w:rPr>
          <w:b/>
          <w:color w:val="00188F"/>
          <w:spacing w:val="-3"/>
        </w:rPr>
        <w:t>Ponto Final de API de Canais Premium</w:t>
      </w:r>
      <w:r>
        <w:rPr>
          <w:spacing w:val="-3"/>
        </w:rPr>
        <w:t>”</w:t>
      </w:r>
      <w:r w:rsidR="004005AF" w:rsidRPr="000C03EC">
        <w:rPr>
          <w:b/>
          <w:spacing w:val="-3"/>
        </w:rPr>
        <w:t xml:space="preserve"> </w:t>
      </w:r>
      <w:r w:rsidR="004005AF" w:rsidRPr="000C03EC">
        <w:rPr>
          <w:spacing w:val="-3"/>
        </w:rPr>
        <w:t>designa um ponto final de API REST de Enquadramento de Bots para os Canais Premium do Azure Bot Service</w:t>
      </w:r>
    </w:p>
    <w:p w14:paraId="2B77F191" w14:textId="3C907779" w:rsidR="004005AF" w:rsidRDefault="00EE6E3C" w:rsidP="00F01ED6">
      <w:pPr>
        <w:pStyle w:val="ProductList-Body"/>
        <w:spacing w:before="120"/>
      </w:pPr>
      <w:r>
        <w:rPr>
          <w:b/>
          <w:color w:val="00188F"/>
        </w:rPr>
        <w:t>Cálculo do Período de Disponibilidade e Níveis de Serviço para os Canais Premium do Azure Bot Services</w:t>
      </w:r>
      <w:r w:rsidRPr="00473DD3">
        <w:rPr>
          <w:b/>
          <w:color w:val="00188F"/>
        </w:rPr>
        <w:t>:</w:t>
      </w:r>
    </w:p>
    <w:p w14:paraId="337B1E38" w14:textId="238CE7B9" w:rsidR="004005AF" w:rsidRPr="00EF7CF9" w:rsidRDefault="00380305" w:rsidP="00F01ED6">
      <w:pPr>
        <w:pStyle w:val="ProductList-Body"/>
        <w:spacing w:after="40"/>
      </w:pPr>
      <w:r>
        <w:t>“</w:t>
      </w:r>
      <w:r w:rsidR="004005AF">
        <w:rPr>
          <w:b/>
          <w:color w:val="00188F"/>
        </w:rPr>
        <w:t>Total de Pedidos de API</w:t>
      </w:r>
      <w:r>
        <w:t>”</w:t>
      </w:r>
      <w:r w:rsidR="004005AF">
        <w:rPr>
          <w:b/>
        </w:rPr>
        <w:t xml:space="preserve"> </w:t>
      </w:r>
      <w:r w:rsidR="004005AF">
        <w:t>é o número total de pedidos feitos pelo Bot ou pelo Cliente ao Ponto Final de API do Canal Premium numa determinada subscrição do Microsoft Azure durante um Período Aplicável.</w:t>
      </w:r>
    </w:p>
    <w:p w14:paraId="15431C51" w14:textId="4170C036" w:rsidR="004005AF" w:rsidRPr="00EF7CF9" w:rsidRDefault="00380305" w:rsidP="00F01ED6">
      <w:pPr>
        <w:pStyle w:val="ProductList-Body"/>
        <w:spacing w:after="40"/>
        <w:rPr>
          <w:b/>
          <w:color w:val="00188F"/>
        </w:rPr>
      </w:pPr>
      <w:r>
        <w:t>“</w:t>
      </w:r>
      <w:r w:rsidR="004005AF">
        <w:rPr>
          <w:b/>
          <w:color w:val="00188F"/>
        </w:rPr>
        <w:t>Pedidos de API com Falha</w:t>
      </w:r>
      <w:r>
        <w:t>”</w:t>
      </w:r>
      <w:r w:rsidR="004005AF">
        <w:t xml:space="preserve"> designa o número total de pedidos no Total de Pedidos de API que devolvem um Código de Erro ou não respondem em 2 minutos. </w:t>
      </w:r>
    </w:p>
    <w:p w14:paraId="4AA21E53" w14:textId="2CC94D36" w:rsidR="004005AF" w:rsidRPr="00EF7CF9" w:rsidRDefault="00380305" w:rsidP="00F01ED6">
      <w:pPr>
        <w:pStyle w:val="ProductList-Body"/>
        <w:spacing w:after="40"/>
        <w:rPr>
          <w:lang w:eastAsia="zh-TW"/>
        </w:rPr>
      </w:pPr>
      <w:r>
        <w:t>“</w:t>
      </w:r>
      <w:r w:rsidR="004005AF">
        <w:rPr>
          <w:b/>
          <w:color w:val="00188F"/>
        </w:rPr>
        <w:t>Percentagem de Período de Disponibilidade</w:t>
      </w:r>
      <w:r>
        <w:t>”</w:t>
      </w:r>
      <w:r w:rsidR="004005AF">
        <w:t xml:space="preserve"> é calculada como o Total de Pedidos de API menos os Pedidos de API com Falha a dividir pelo Total de Pedidos de API multiplicado por 100.</w:t>
      </w:r>
    </w:p>
    <w:p w14:paraId="6131C33A" w14:textId="453EBD0A" w:rsidR="004005AF" w:rsidRPr="006F3CBD" w:rsidRDefault="00AC48A7" w:rsidP="00F01ED6">
      <w:pPr>
        <w:pStyle w:val="ProductList-Body"/>
      </w:pPr>
      <w:r>
        <w:rPr>
          <w:b/>
          <w:color w:val="00188F"/>
        </w:rPr>
        <w:t>Percentagem de Período de Disponibilidade</w:t>
      </w:r>
      <w:r w:rsidRPr="00473DD3">
        <w:rPr>
          <w:b/>
          <w:color w:val="00188F"/>
        </w:rPr>
        <w:t>:</w:t>
      </w:r>
      <w:r>
        <w:rPr>
          <w:b/>
          <w:color w:val="00188F"/>
        </w:rPr>
        <w:t xml:space="preserve"> </w:t>
      </w:r>
      <w:r>
        <w:t xml:space="preserve">A Percentagem de Período de Disponibilidade é calculada através da seguinte fórmula: </w:t>
      </w:r>
    </w:p>
    <w:p w14:paraId="30178757" w14:textId="01857468" w:rsidR="004005AF" w:rsidRPr="00EF7CF9" w:rsidRDefault="00000000" w:rsidP="00DD1742">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Pedidos da API-Pedidos da API com Falha</m:t>
              </m:r>
            </m:num>
            <m:den>
              <m:r>
                <m:rPr>
                  <m:nor/>
                </m:rPr>
                <w:rPr>
                  <w:rFonts w:ascii="Cambria Math" w:hAnsi="Cambria Math" w:cs="Tahoma"/>
                  <w:i/>
                  <w:sz w:val="18"/>
                  <w:szCs w:val="18"/>
                </w:rPr>
                <m:t>Total de Pedidos da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F01ED6">
      <w:pPr>
        <w:spacing w:line="240" w:lineRule="auto"/>
        <w:rPr>
          <w:rFonts w:eastAsiaTheme="minorEastAsia"/>
          <w:sz w:val="18"/>
          <w:szCs w:val="18"/>
          <w:lang w:eastAsia="zh-TW"/>
        </w:rPr>
      </w:pPr>
      <w:r>
        <w:rPr>
          <w:rFonts w:eastAsiaTheme="minorEastAsia"/>
          <w:sz w:val="18"/>
          <w:szCs w:val="18"/>
        </w:rPr>
        <w:t>Os seguintes Níveis de Serviço e Créditos de Serviço são aplicáveis à utilização que o Cliente faz dos Canais Premium do Azure Bot Service.</w:t>
      </w:r>
    </w:p>
    <w:p w14:paraId="25AEB956" w14:textId="77777777" w:rsidR="004005AF" w:rsidRPr="00EF7CF9" w:rsidRDefault="004005AF" w:rsidP="00F01ED6">
      <w:pPr>
        <w:pStyle w:val="ProductList-Body"/>
      </w:pPr>
      <w:r>
        <w:rPr>
          <w:b/>
          <w:color w:val="00188F"/>
        </w:rPr>
        <w:t>Níveis de Serviço e Créditos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08109B5"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13BA8188" w14:textId="77777777" w:rsidTr="00277097">
        <w:trPr>
          <w:trHeight w:val="242"/>
        </w:trPr>
        <w:tc>
          <w:tcPr>
            <w:tcW w:w="5400" w:type="dxa"/>
          </w:tcPr>
          <w:p w14:paraId="276900D5" w14:textId="77777777" w:rsidR="004005AF" w:rsidRPr="00EF7CF9" w:rsidRDefault="004005AF" w:rsidP="00F01ED6">
            <w:pPr>
              <w:pStyle w:val="ProductList-OfferingBody"/>
              <w:jc w:val="center"/>
            </w:pPr>
            <w:r>
              <w:t>&lt; 99,9%</w:t>
            </w:r>
          </w:p>
        </w:tc>
        <w:tc>
          <w:tcPr>
            <w:tcW w:w="5400" w:type="dxa"/>
          </w:tcPr>
          <w:p w14:paraId="0251B5DD" w14:textId="77777777" w:rsidR="004005AF" w:rsidRPr="00EF7CF9" w:rsidRDefault="004005AF" w:rsidP="00F01ED6">
            <w:pPr>
              <w:pStyle w:val="ProductList-OfferingBody"/>
              <w:jc w:val="center"/>
            </w:pPr>
            <w:r>
              <w:t>10%</w:t>
            </w:r>
          </w:p>
        </w:tc>
      </w:tr>
      <w:tr w:rsidR="004005AF" w:rsidRPr="00B44CF9" w14:paraId="2315DB39" w14:textId="77777777" w:rsidTr="00277097">
        <w:trPr>
          <w:trHeight w:val="249"/>
        </w:trPr>
        <w:tc>
          <w:tcPr>
            <w:tcW w:w="5400" w:type="dxa"/>
          </w:tcPr>
          <w:p w14:paraId="7507F242" w14:textId="77777777" w:rsidR="004005AF" w:rsidRPr="00EF7CF9" w:rsidRDefault="004005AF" w:rsidP="00F01ED6">
            <w:pPr>
              <w:pStyle w:val="ProductList-OfferingBody"/>
              <w:jc w:val="center"/>
            </w:pPr>
            <w:r>
              <w:t>&lt; 99%</w:t>
            </w:r>
          </w:p>
        </w:tc>
        <w:tc>
          <w:tcPr>
            <w:tcW w:w="5400" w:type="dxa"/>
          </w:tcPr>
          <w:p w14:paraId="4CE5B321" w14:textId="77777777" w:rsidR="004005AF" w:rsidRPr="00EF7CF9" w:rsidRDefault="004005AF" w:rsidP="00F01ED6">
            <w:pPr>
              <w:pStyle w:val="ProductList-OfferingBody"/>
              <w:jc w:val="center"/>
            </w:pPr>
            <w:r>
              <w:t>25%</w:t>
            </w:r>
          </w:p>
        </w:tc>
      </w:tr>
    </w:tbl>
    <w:bookmarkStart w:id="161" w:name="_Toc457821543"/>
    <w:bookmarkStart w:id="162" w:name="_Toc52348944"/>
    <w:bookmarkStart w:id="163" w:name="_Toc513395508"/>
    <w:bookmarkStart w:id="164" w:name="_Toc52348925"/>
    <w:bookmarkStart w:id="165" w:name="_Hlk513540036"/>
    <w:p w14:paraId="7A3ACAC2"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69CFF11" w14:textId="77777777" w:rsidR="0004685C" w:rsidRPr="00EF7CF9" w:rsidRDefault="0004685C" w:rsidP="00583D89">
      <w:pPr>
        <w:pStyle w:val="ProductList-Offering2Heading"/>
        <w:keepNext/>
        <w:keepLines/>
        <w:tabs>
          <w:tab w:val="clear" w:pos="360"/>
          <w:tab w:val="clear" w:pos="720"/>
          <w:tab w:val="clear" w:pos="1080"/>
        </w:tabs>
        <w:outlineLvl w:val="2"/>
      </w:pPr>
      <w:bookmarkStart w:id="166" w:name="_Toc239176433"/>
      <w:r>
        <w:t xml:space="preserve">Cache do Azure </w:t>
      </w:r>
      <w:bookmarkEnd w:id="161"/>
      <w:bookmarkEnd w:id="162"/>
      <w:r>
        <w:t>para Redis</w:t>
      </w:r>
      <w:bookmarkEnd w:id="166"/>
    </w:p>
    <w:p w14:paraId="2FF228B6" w14:textId="77777777" w:rsidR="0004685C" w:rsidRPr="00EF7CF9" w:rsidRDefault="0004685C" w:rsidP="00583D89">
      <w:pPr>
        <w:pStyle w:val="ProductList-Body"/>
        <w:keepNext/>
        <w:keepLines/>
        <w:rPr>
          <w:b/>
          <w:color w:val="00188F"/>
        </w:rPr>
      </w:pPr>
      <w:r>
        <w:rPr>
          <w:b/>
          <w:color w:val="00188F"/>
        </w:rPr>
        <w:t>Definições Adicionais</w:t>
      </w:r>
      <w:r w:rsidRPr="00473DD3">
        <w:rPr>
          <w:b/>
          <w:color w:val="00188F"/>
        </w:rPr>
        <w:t>:</w:t>
      </w:r>
    </w:p>
    <w:p w14:paraId="7810996B" w14:textId="64AEFA62" w:rsidR="0004685C" w:rsidRPr="00EF7CF9" w:rsidRDefault="00380305" w:rsidP="00F01ED6">
      <w:pPr>
        <w:pStyle w:val="ProductList-Body"/>
        <w:spacing w:after="40"/>
      </w:pPr>
      <w:r>
        <w:t>“</w:t>
      </w:r>
      <w:r w:rsidR="0004685C">
        <w:rPr>
          <w:b/>
          <w:color w:val="00188F"/>
        </w:rPr>
        <w:t>Cache</w:t>
      </w:r>
      <w:r>
        <w:t>”</w:t>
      </w:r>
      <w:r w:rsidR="0004685C">
        <w:t xml:space="preserve"> designa uma implementação do Serviço de Cache criado pelo Cliente, para que os respetivos Pontos Finais da Cache sejam enumerados no</w:t>
      </w:r>
      <w:r w:rsidR="0051452A">
        <w:t> </w:t>
      </w:r>
      <w:r w:rsidR="0004685C">
        <w:t>separador Cache no Portal de Gestão.</w:t>
      </w:r>
    </w:p>
    <w:p w14:paraId="2FDA8CC4" w14:textId="15C98EB6" w:rsidR="0004685C" w:rsidRPr="00EF7CF9" w:rsidRDefault="00380305" w:rsidP="00F01ED6">
      <w:pPr>
        <w:pStyle w:val="ProductList-Body"/>
        <w:spacing w:after="40"/>
      </w:pPr>
      <w:r>
        <w:t>“</w:t>
      </w:r>
      <w:r w:rsidR="0004685C">
        <w:rPr>
          <w:b/>
          <w:color w:val="00188F"/>
        </w:rPr>
        <w:t>Pontos Finais da Cache</w:t>
      </w:r>
      <w:r>
        <w:t>”</w:t>
      </w:r>
      <w:r w:rsidR="0004685C">
        <w:t xml:space="preserve"> designa os pontos finais através dos quais uma Cache pode ser acedida.</w:t>
      </w:r>
    </w:p>
    <w:p w14:paraId="6E570E72" w14:textId="3F39648E" w:rsidR="0004685C" w:rsidRPr="003D7974" w:rsidRDefault="00380305" w:rsidP="00F01ED6">
      <w:pPr>
        <w:pStyle w:val="ProductList-Body"/>
        <w:spacing w:after="40"/>
        <w:rPr>
          <w:color w:val="000000" w:themeColor="text1"/>
          <w:spacing w:val="-2"/>
        </w:rPr>
      </w:pPr>
      <w:r>
        <w:rPr>
          <w:color w:val="000000" w:themeColor="text1"/>
          <w:spacing w:val="-2"/>
        </w:rPr>
        <w:t>“</w:t>
      </w:r>
      <w:r w:rsidR="0004685C" w:rsidRPr="003D7974">
        <w:rPr>
          <w:b/>
          <w:bCs/>
          <w:color w:val="00188F"/>
          <w:spacing w:val="-2"/>
        </w:rPr>
        <w:t>Zona de Disponibilidade</w:t>
      </w:r>
      <w:r>
        <w:rPr>
          <w:color w:val="000000" w:themeColor="text1"/>
          <w:spacing w:val="-2"/>
        </w:rPr>
        <w:t>”</w:t>
      </w:r>
      <w:r w:rsidR="0004685C" w:rsidRPr="003D7974">
        <w:rPr>
          <w:color w:val="000000" w:themeColor="text1"/>
          <w:spacing w:val="-2"/>
        </w:rPr>
        <w:t xml:space="preserve"> designa uma área isolada de falhas numa região do Azure que providencia alimentação, refrigeração e rede redundantes.</w:t>
      </w:r>
    </w:p>
    <w:p w14:paraId="1CD2240D" w14:textId="43E3874B" w:rsidR="0004685C" w:rsidRPr="00ED4527" w:rsidRDefault="00EE6E3C" w:rsidP="00F01ED6">
      <w:pPr>
        <w:pStyle w:val="ProductList-Body"/>
        <w:spacing w:before="240" w:after="40"/>
        <w:rPr>
          <w:b/>
          <w:bCs/>
          <w:color w:val="00188F"/>
        </w:rPr>
      </w:pPr>
      <w:r>
        <w:rPr>
          <w:b/>
          <w:bCs/>
          <w:color w:val="00188F"/>
        </w:rPr>
        <w:t>Cálculo do Período de Disponibilidade e Níveis de Serviço para o Serviço da Cache</w:t>
      </w:r>
    </w:p>
    <w:p w14:paraId="44BDCB48" w14:textId="4B802D1B" w:rsidR="0004685C" w:rsidRPr="00EF7CF9" w:rsidRDefault="00380305" w:rsidP="00D44BDA">
      <w:pPr>
        <w:pStyle w:val="ProductList-Body"/>
      </w:pPr>
      <w:r>
        <w:t>“</w:t>
      </w:r>
      <w:r w:rsidR="0004685C">
        <w:rPr>
          <w:b/>
          <w:color w:val="00188F"/>
        </w:rPr>
        <w:t>Minutos de Implementação</w:t>
      </w:r>
      <w:r>
        <w:t>”</w:t>
      </w:r>
      <w:r w:rsidR="0004685C">
        <w:t xml:space="preserve"> designa o número total de minutos durante os quais uma determinada Cache foi implementada no Microsoft Azure durante um Período Aplicável.</w:t>
      </w:r>
    </w:p>
    <w:p w14:paraId="402C6AB7" w14:textId="62880B09" w:rsidR="0004685C" w:rsidRPr="00EF7CF9" w:rsidRDefault="00380305" w:rsidP="00D44BDA">
      <w:pPr>
        <w:pStyle w:val="ProductList-Body"/>
      </w:pPr>
      <w:r>
        <w:t>“</w:t>
      </w:r>
      <w:r w:rsidR="0004685C">
        <w:rPr>
          <w:b/>
          <w:color w:val="00188F"/>
        </w:rPr>
        <w:t>Máximo de Minutos Disponíveis</w:t>
      </w:r>
      <w:r>
        <w:t>”</w:t>
      </w:r>
      <w:r w:rsidR="0004685C">
        <w:t xml:space="preserve"> designa a soma de todos os Minutos de Implementação em todas as Caches implementadas pelo Cliente numa determinada subscrição do Microsoft Azure durante um Período Aplicável.</w:t>
      </w:r>
    </w:p>
    <w:p w14:paraId="0306B4FE" w14:textId="77777777" w:rsidR="0004685C" w:rsidRPr="003D7974" w:rsidRDefault="0004685C" w:rsidP="00F01ED6">
      <w:pPr>
        <w:pStyle w:val="ProductList-Body"/>
        <w:rPr>
          <w:spacing w:val="-2"/>
        </w:rPr>
      </w:pPr>
      <w:r w:rsidRPr="003D7974">
        <w:rPr>
          <w:b/>
          <w:color w:val="00188F"/>
          <w:spacing w:val="-2"/>
        </w:rPr>
        <w:lastRenderedPageBreak/>
        <w:t>Período de Indisponibilidade</w:t>
      </w:r>
      <w:r w:rsidRPr="00473DD3">
        <w:rPr>
          <w:b/>
          <w:color w:val="00188F"/>
          <w:spacing w:val="-2"/>
        </w:rPr>
        <w:t>:</w:t>
      </w:r>
      <w:r w:rsidRPr="003D7974">
        <w:rPr>
          <w:spacing w:val="-2"/>
        </w:rPr>
        <w:t xml:space="preserve"> Total de Minutos de Implementação acumulados, em todas as Caches implementadas pelo Cliente numa determinada subscrição do Microsoft Azure, no qual a Cache está indisponível. Um minuto é considerado indisponível para uma determinada Cache quando não existe nenhuma conectividade no minuto entre um ou mais Pontos Finais da Cache associados à Cache e gateway de Internet da Microsoft.</w:t>
      </w:r>
    </w:p>
    <w:p w14:paraId="335A24D4" w14:textId="45DAE971" w:rsidR="0004685C"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527C77E4" w14:textId="2EB0031D" w:rsidR="0004685C" w:rsidRPr="00EF7CF9" w:rsidRDefault="00000000" w:rsidP="00D44BD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C1042BE" w14:textId="77777777" w:rsidR="0004685C" w:rsidRPr="00EF7CF9" w:rsidRDefault="0004685C" w:rsidP="00F01ED6">
      <w:pPr>
        <w:pStyle w:val="ProductList-Body"/>
      </w:pPr>
      <w:r w:rsidRPr="001B020C">
        <w:rPr>
          <w:b/>
          <w:color w:val="00188F"/>
        </w:rPr>
        <w:t>Os Níveis de Serviço e os Créditos de Serviço aplicáveis à utilização que o Cliente faz do Serviço de Cache variam consoante as condições e a camada de implementação do Serviço de Cache.</w:t>
      </w:r>
      <w:r>
        <w:rPr>
          <w:b/>
          <w:color w:val="00188F"/>
        </w:rPr>
        <w:t xml:space="preserve"> </w:t>
      </w:r>
      <w:r>
        <w:t>Salvo disposição em contrário prevista supra, os Níveis de Serviço e Créditos de Serviço são aplicáveis à utilização que o Cliente faz do Serviço de Cache, que inclui o Serviço Gerido de Cache do Azure para as camadas the Standard, Premium, Enterprise e Enterprise Flash do Serviço de Cache do Azure para Redis. A camada Basic da Cache do Azure Cache for Redis não é abrangida por este SLA.</w:t>
      </w:r>
    </w:p>
    <w:p w14:paraId="66DD2F7D" w14:textId="77777777" w:rsidR="0004685C" w:rsidRPr="00EF7CF9" w:rsidRDefault="0004685C" w:rsidP="00F01ED6">
      <w:pPr>
        <w:pStyle w:val="ProductList-Body"/>
        <w:spacing w:before="120"/>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965EA41" w14:textId="77777777" w:rsidR="0004685C" w:rsidRPr="00EF7CF9" w:rsidRDefault="0004685C" w:rsidP="00F01ED6">
            <w:pPr>
              <w:pStyle w:val="ProductList-OfferingBody"/>
              <w:jc w:val="center"/>
              <w:rPr>
                <w:color w:val="FFFFFF" w:themeColor="background1"/>
              </w:rPr>
            </w:pPr>
            <w:r>
              <w:rPr>
                <w:color w:val="FFFFFF" w:themeColor="background1"/>
              </w:rPr>
              <w:t>Crédito de Serviço</w:t>
            </w:r>
          </w:p>
        </w:tc>
      </w:tr>
      <w:tr w:rsidR="0004685C" w:rsidRPr="00B44CF9" w14:paraId="18EDDD48" w14:textId="77777777" w:rsidTr="00D76F8C">
        <w:trPr>
          <w:tblHeader/>
        </w:trPr>
        <w:tc>
          <w:tcPr>
            <w:tcW w:w="5400" w:type="dxa"/>
          </w:tcPr>
          <w:p w14:paraId="40C3317A" w14:textId="77777777" w:rsidR="0004685C" w:rsidRPr="00EF7CF9" w:rsidRDefault="0004685C" w:rsidP="00F01ED6">
            <w:pPr>
              <w:pStyle w:val="ProductList-OfferingBody"/>
              <w:jc w:val="center"/>
            </w:pPr>
            <w:r>
              <w:t>&lt; 99,9%</w:t>
            </w:r>
          </w:p>
        </w:tc>
        <w:tc>
          <w:tcPr>
            <w:tcW w:w="5400" w:type="dxa"/>
          </w:tcPr>
          <w:p w14:paraId="1B4DF648" w14:textId="77777777" w:rsidR="0004685C" w:rsidRPr="00EF7CF9" w:rsidRDefault="0004685C" w:rsidP="00F01ED6">
            <w:pPr>
              <w:pStyle w:val="ProductList-OfferingBody"/>
              <w:jc w:val="center"/>
            </w:pPr>
            <w:r>
              <w:t>10%</w:t>
            </w:r>
          </w:p>
        </w:tc>
      </w:tr>
      <w:tr w:rsidR="0004685C" w:rsidRPr="00B44CF9" w14:paraId="0D7DFA4E" w14:textId="77777777" w:rsidTr="00D76F8C">
        <w:trPr>
          <w:tblHeader/>
        </w:trPr>
        <w:tc>
          <w:tcPr>
            <w:tcW w:w="5400" w:type="dxa"/>
          </w:tcPr>
          <w:p w14:paraId="784EE4AD" w14:textId="77777777" w:rsidR="0004685C" w:rsidRPr="00EF7CF9" w:rsidRDefault="0004685C" w:rsidP="00F01ED6">
            <w:pPr>
              <w:pStyle w:val="ProductList-OfferingBody"/>
              <w:jc w:val="center"/>
            </w:pPr>
            <w:r>
              <w:t>&lt; 99%</w:t>
            </w:r>
          </w:p>
        </w:tc>
        <w:tc>
          <w:tcPr>
            <w:tcW w:w="5400" w:type="dxa"/>
          </w:tcPr>
          <w:p w14:paraId="05A7B2AB" w14:textId="77777777" w:rsidR="0004685C" w:rsidRPr="00EF7CF9" w:rsidRDefault="0004685C" w:rsidP="00F01ED6">
            <w:pPr>
              <w:pStyle w:val="ProductList-OfferingBody"/>
              <w:jc w:val="center"/>
            </w:pPr>
            <w:r>
              <w:t>25%</w:t>
            </w:r>
          </w:p>
        </w:tc>
      </w:tr>
    </w:tbl>
    <w:p w14:paraId="34F82DF2" w14:textId="77777777" w:rsidR="0004685C" w:rsidRPr="001B020C" w:rsidRDefault="0004685C" w:rsidP="00F01ED6">
      <w:pPr>
        <w:pStyle w:val="ProductList-Body"/>
        <w:rPr>
          <w:sz w:val="12"/>
          <w:szCs w:val="12"/>
        </w:rPr>
      </w:pPr>
    </w:p>
    <w:p w14:paraId="30076BD1" w14:textId="355065C9" w:rsidR="0004685C" w:rsidRPr="00EF7CF9" w:rsidRDefault="0004685C" w:rsidP="00F01ED6">
      <w:pPr>
        <w:pStyle w:val="ProductList-Body"/>
      </w:pPr>
      <w:r>
        <w:rPr>
          <w:b/>
          <w:color w:val="00188F"/>
        </w:rPr>
        <w:t>Para qualquer Cache da camada Enterprise ou Enterprise Flash implementada em três ou mais Zonas de Disponibilidade na mesma região do</w:t>
      </w:r>
      <w:r w:rsidR="00A64E2A">
        <w:rPr>
          <w:b/>
          <w:color w:val="00188F"/>
        </w:rPr>
        <w:t> </w:t>
      </w:r>
      <w:r>
        <w:rPr>
          <w:b/>
          <w:color w:val="00188F"/>
        </w:rPr>
        <w:t>Azure, os seguintes Níveis de Serviço e Créditos de Serviço são aplicáveis à utilização do Serviço de Cache por parte do Cliente</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933E360" w14:textId="77777777" w:rsidR="0004685C" w:rsidRPr="00EF7CF9" w:rsidRDefault="0004685C" w:rsidP="00F01ED6">
            <w:pPr>
              <w:pStyle w:val="ProductList-OfferingBody"/>
              <w:jc w:val="center"/>
              <w:rPr>
                <w:color w:val="FFFFFF" w:themeColor="background1"/>
              </w:rPr>
            </w:pPr>
            <w:r>
              <w:rPr>
                <w:color w:val="FFFFFF" w:themeColor="background1"/>
              </w:rPr>
              <w:t>Crédito de Serviço</w:t>
            </w:r>
          </w:p>
        </w:tc>
      </w:tr>
      <w:tr w:rsidR="0004685C" w:rsidRPr="00B44CF9" w14:paraId="3979DA8B" w14:textId="77777777" w:rsidTr="00277097">
        <w:tc>
          <w:tcPr>
            <w:tcW w:w="5400" w:type="dxa"/>
          </w:tcPr>
          <w:p w14:paraId="60191564" w14:textId="77777777" w:rsidR="0004685C" w:rsidRPr="00EF7CF9" w:rsidRDefault="0004685C" w:rsidP="00F01ED6">
            <w:pPr>
              <w:pStyle w:val="ProductList-OfferingBody"/>
              <w:jc w:val="center"/>
            </w:pPr>
            <w:r>
              <w:t>&lt; 99,99%</w:t>
            </w:r>
          </w:p>
        </w:tc>
        <w:tc>
          <w:tcPr>
            <w:tcW w:w="5400" w:type="dxa"/>
          </w:tcPr>
          <w:p w14:paraId="3D567957" w14:textId="77777777" w:rsidR="0004685C" w:rsidRPr="00EF7CF9" w:rsidRDefault="0004685C" w:rsidP="00F01ED6">
            <w:pPr>
              <w:pStyle w:val="ProductList-OfferingBody"/>
              <w:jc w:val="center"/>
            </w:pPr>
            <w:r>
              <w:t>10%</w:t>
            </w:r>
          </w:p>
        </w:tc>
      </w:tr>
      <w:tr w:rsidR="0004685C" w:rsidRPr="00B44CF9" w14:paraId="40F64B81" w14:textId="77777777" w:rsidTr="00277097">
        <w:tc>
          <w:tcPr>
            <w:tcW w:w="5400" w:type="dxa"/>
          </w:tcPr>
          <w:p w14:paraId="12C1DB78" w14:textId="77777777" w:rsidR="0004685C" w:rsidRPr="00EF7CF9" w:rsidRDefault="0004685C" w:rsidP="00F01ED6">
            <w:pPr>
              <w:pStyle w:val="ProductList-OfferingBody"/>
              <w:jc w:val="center"/>
            </w:pPr>
            <w:r>
              <w:t>&lt; 99%</w:t>
            </w:r>
          </w:p>
        </w:tc>
        <w:tc>
          <w:tcPr>
            <w:tcW w:w="5400" w:type="dxa"/>
          </w:tcPr>
          <w:p w14:paraId="320D3D52" w14:textId="77777777" w:rsidR="0004685C" w:rsidRPr="00EF7CF9" w:rsidRDefault="0004685C" w:rsidP="00F01ED6">
            <w:pPr>
              <w:pStyle w:val="ProductList-OfferingBody"/>
              <w:jc w:val="center"/>
            </w:pPr>
            <w:r>
              <w:t>25%</w:t>
            </w:r>
          </w:p>
        </w:tc>
      </w:tr>
    </w:tbl>
    <w:p w14:paraId="43BB701A" w14:textId="77777777" w:rsidR="0004685C" w:rsidRPr="001B020C" w:rsidRDefault="0004685C" w:rsidP="00F01ED6">
      <w:pPr>
        <w:pStyle w:val="ProductList-Body"/>
        <w:rPr>
          <w:sz w:val="12"/>
          <w:szCs w:val="12"/>
        </w:rPr>
      </w:pPr>
    </w:p>
    <w:p w14:paraId="08C85FED" w14:textId="77777777" w:rsidR="0004685C" w:rsidRPr="00EF7CF9" w:rsidRDefault="0004685C" w:rsidP="00F01ED6">
      <w:pPr>
        <w:pStyle w:val="ProductList-Body"/>
      </w:pPr>
      <w:r>
        <w:rPr>
          <w:b/>
          <w:color w:val="00188F"/>
        </w:rPr>
        <w:t>Para qualquer Cache da camada Enterprise e Enterprise Flash implementada (1) em pelo menos três regiões do Azure e três ou mais Zonas de Disponibilidade em cada uma destas regiões, e (2) com a georreplicação ativa ativada para todas as instâncias da Cache quando a funcionalidade de georreplicação ativa está ativada e geralmente disponível (ou seja, sem estar em pré-visualização), os seguintes Níveis de Serviço e Créditos de Serviço são aplicáveis à utilização do Serviço de Cache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B71069A" w14:textId="77777777" w:rsidR="0004685C" w:rsidRPr="00EF7CF9" w:rsidRDefault="0004685C" w:rsidP="00F01ED6">
            <w:pPr>
              <w:pStyle w:val="ProductList-OfferingBody"/>
              <w:jc w:val="center"/>
              <w:rPr>
                <w:color w:val="FFFFFF" w:themeColor="background1"/>
              </w:rPr>
            </w:pPr>
            <w:r>
              <w:rPr>
                <w:color w:val="FFFFFF" w:themeColor="background1"/>
              </w:rPr>
              <w:t>Crédito de Serviço</w:t>
            </w:r>
          </w:p>
        </w:tc>
      </w:tr>
      <w:tr w:rsidR="0004685C" w:rsidRPr="00B44CF9" w14:paraId="4F2056B6" w14:textId="77777777" w:rsidTr="00277097">
        <w:tc>
          <w:tcPr>
            <w:tcW w:w="5400" w:type="dxa"/>
          </w:tcPr>
          <w:p w14:paraId="079111A8" w14:textId="77777777" w:rsidR="0004685C" w:rsidRPr="00EF7CF9" w:rsidRDefault="0004685C" w:rsidP="00F01ED6">
            <w:pPr>
              <w:pStyle w:val="ProductList-OfferingBody"/>
              <w:jc w:val="center"/>
            </w:pPr>
            <w:r>
              <w:t>&lt; 99,999%</w:t>
            </w:r>
          </w:p>
        </w:tc>
        <w:tc>
          <w:tcPr>
            <w:tcW w:w="5400" w:type="dxa"/>
          </w:tcPr>
          <w:p w14:paraId="635F03C4" w14:textId="77777777" w:rsidR="0004685C" w:rsidRPr="00EF7CF9" w:rsidRDefault="0004685C" w:rsidP="00F01ED6">
            <w:pPr>
              <w:pStyle w:val="ProductList-OfferingBody"/>
              <w:jc w:val="center"/>
            </w:pPr>
            <w:r>
              <w:t>10%</w:t>
            </w:r>
          </w:p>
        </w:tc>
      </w:tr>
      <w:tr w:rsidR="0004685C" w:rsidRPr="00B44CF9" w14:paraId="42F045DD" w14:textId="77777777" w:rsidTr="00277097">
        <w:tc>
          <w:tcPr>
            <w:tcW w:w="5400" w:type="dxa"/>
          </w:tcPr>
          <w:p w14:paraId="26AB5C29" w14:textId="77777777" w:rsidR="0004685C" w:rsidRPr="00EF7CF9" w:rsidRDefault="0004685C" w:rsidP="00F01ED6">
            <w:pPr>
              <w:pStyle w:val="ProductList-OfferingBody"/>
              <w:jc w:val="center"/>
            </w:pPr>
            <w:r>
              <w:t>&lt; 99%</w:t>
            </w:r>
          </w:p>
        </w:tc>
        <w:tc>
          <w:tcPr>
            <w:tcW w:w="5400" w:type="dxa"/>
          </w:tcPr>
          <w:p w14:paraId="16FB54C8" w14:textId="77777777" w:rsidR="0004685C" w:rsidRPr="00EF7CF9" w:rsidRDefault="0004685C" w:rsidP="00F01ED6">
            <w:pPr>
              <w:pStyle w:val="ProductList-OfferingBody"/>
              <w:jc w:val="center"/>
            </w:pPr>
            <w:r>
              <w:t>25%</w:t>
            </w:r>
          </w:p>
        </w:tc>
      </w:tr>
    </w:tbl>
    <w:bookmarkStart w:id="167" w:name="_Toc52348946"/>
    <w:p w14:paraId="21560E3B"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08BAA5A" w14:textId="77777777" w:rsidR="009C2216" w:rsidRPr="00FC1992" w:rsidRDefault="009C2216" w:rsidP="009C2216">
      <w:pPr>
        <w:pStyle w:val="ProductList-Offering2Heading"/>
        <w:keepNext/>
        <w:tabs>
          <w:tab w:val="clear" w:pos="360"/>
          <w:tab w:val="clear" w:pos="720"/>
          <w:tab w:val="clear" w:pos="1080"/>
        </w:tabs>
        <w:outlineLvl w:val="2"/>
        <w:rPr>
          <w:rFonts w:ascii="Calibri Light" w:hAnsi="Calibri Light" w:cs="Calibri Light"/>
        </w:rPr>
      </w:pPr>
      <w:bookmarkStart w:id="168" w:name="_Toc230011385"/>
      <w:bookmarkStart w:id="169" w:name="_Toc239176434"/>
      <w:r>
        <w:rPr>
          <w:rFonts w:ascii="Calibri Light" w:hAnsi="Calibri Light" w:cs="Calibri Light"/>
        </w:rPr>
        <w:t>Blocos de Capacidade</w:t>
      </w:r>
      <w:bookmarkEnd w:id="168"/>
      <w:bookmarkEnd w:id="169"/>
    </w:p>
    <w:p w14:paraId="1913228A"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Definições Adicionais</w:t>
      </w:r>
      <w:r w:rsidRPr="006974AB">
        <w:rPr>
          <w:rFonts w:ascii="Calibri" w:eastAsia="Calibri" w:hAnsi="Calibri" w:cs="Arial"/>
          <w:b/>
          <w:color w:val="00188F"/>
          <w:sz w:val="18"/>
        </w:rPr>
        <w:t>:</w:t>
      </w:r>
    </w:p>
    <w:p w14:paraId="0E20D038"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Bloco de Capacidade</w:t>
      </w:r>
      <w:r>
        <w:rPr>
          <w:rFonts w:ascii="Calibri" w:eastAsia="Calibri" w:hAnsi="Calibri" w:cs="Arial"/>
          <w:sz w:val="18"/>
        </w:rPr>
        <w:t xml:space="preserve"> designa uma reserva da capacidade de computação para uma duração especificada numa região do Azure. </w:t>
      </w:r>
    </w:p>
    <w:p w14:paraId="1BE09DC8"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Capacidade Disponível</w:t>
      </w:r>
      <w:r>
        <w:rPr>
          <w:rFonts w:ascii="Calibri" w:eastAsia="Calibri" w:hAnsi="Calibri" w:cs="Arial"/>
          <w:sz w:val="18"/>
        </w:rPr>
        <w:t xml:space="preserve"> designa a parte do Bloco de Capacidade que foi aprovisionada com êxito e é utilizável pelo Cliente. </w:t>
      </w:r>
    </w:p>
    <w:p w14:paraId="1311C64B"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Capacidade Total</w:t>
      </w:r>
      <w:r>
        <w:rPr>
          <w:rFonts w:ascii="Calibri" w:eastAsia="Calibri" w:hAnsi="Calibri" w:cs="Arial"/>
          <w:sz w:val="18"/>
        </w:rPr>
        <w:t xml:space="preserve"> designa as unidades de capacidade total especificadas na reserva do Bloco de Capacidade. </w:t>
      </w:r>
    </w:p>
    <w:p w14:paraId="2BF0ED69"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Período Aplicável</w:t>
      </w:r>
      <w:r>
        <w:rPr>
          <w:rFonts w:ascii="Calibri" w:eastAsia="Calibri" w:hAnsi="Calibri" w:cs="Arial"/>
          <w:sz w:val="18"/>
        </w:rPr>
        <w:t xml:space="preserve"> designa a duração total da reserva do Bloco de Capacidade. </w:t>
      </w:r>
    </w:p>
    <w:p w14:paraId="54D09788"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sidRPr="00D40378">
        <w:rPr>
          <w:rFonts w:ascii="Calibri" w:eastAsia="Calibri" w:hAnsi="Calibri" w:cs="Arial"/>
          <w:sz w:val="18"/>
        </w:rPr>
        <w:t xml:space="preserve">A </w:t>
      </w:r>
      <w:r>
        <w:rPr>
          <w:rFonts w:ascii="Calibri" w:eastAsia="Calibri" w:hAnsi="Calibri" w:cs="Arial"/>
          <w:b/>
          <w:color w:val="00188F"/>
          <w:sz w:val="18"/>
        </w:rPr>
        <w:t>Disponibilidade de Capacidade</w:t>
      </w:r>
      <w:r>
        <w:rPr>
          <w:rFonts w:ascii="Calibri" w:eastAsia="Calibri" w:hAnsi="Calibri" w:cs="Arial"/>
          <w:sz w:val="18"/>
        </w:rPr>
        <w:t xml:space="preserve"> é calculada como a percentagem da Capacidade Total que corresponde à Capacidade Disponível durante o Período Aplicável. </w:t>
      </w:r>
    </w:p>
    <w:p w14:paraId="615213B2"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Tempo de Inatividade da Capacidade</w:t>
      </w:r>
      <w:r>
        <w:rPr>
          <w:rFonts w:ascii="Calibri" w:eastAsia="Calibri" w:hAnsi="Calibri" w:cs="Arial"/>
          <w:sz w:val="18"/>
        </w:rPr>
        <w:t xml:space="preserve"> designa qualquer período durante o qual qualquer parte da Capacidade Total não esteja disponível para aprovisionamento ou utilização pelo Cliente. </w:t>
      </w:r>
    </w:p>
    <w:p w14:paraId="24CA84F5"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Aprovisionamento</w:t>
      </w:r>
      <w:r>
        <w:rPr>
          <w:rFonts w:ascii="Calibri" w:eastAsia="Calibri" w:hAnsi="Calibri" w:cs="Arial"/>
          <w:sz w:val="18"/>
        </w:rPr>
        <w:t xml:space="preserve"> designa a alocação com êxito de capacidade, de modo a que o Cliente consiga implementar e operar os recursos.</w:t>
      </w:r>
    </w:p>
    <w:p w14:paraId="085B770F" w14:textId="77777777" w:rsidR="009C2216"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Cálculo do Tempo de Atividade</w:t>
      </w:r>
      <w:r w:rsidRPr="00D40378">
        <w:rPr>
          <w:rFonts w:ascii="Calibri" w:eastAsia="Calibri" w:hAnsi="Calibri" w:cs="Arial"/>
          <w:b/>
          <w:bCs/>
          <w:sz w:val="18"/>
        </w:rPr>
        <w:t>:</w:t>
      </w:r>
      <w:r>
        <w:rPr>
          <w:rFonts w:ascii="Calibri" w:eastAsia="Calibri" w:hAnsi="Calibri" w:cs="Arial"/>
          <w:sz w:val="18"/>
        </w:rPr>
        <w:t xml:space="preserve"> </w:t>
      </w:r>
    </w:p>
    <w:p w14:paraId="37F33BF0" w14:textId="77777777" w:rsidR="009C2216"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Capacidade Máxima Disponível</w:t>
      </w:r>
      <w:r>
        <w:rPr>
          <w:rFonts w:ascii="Calibri" w:eastAsia="Calibri" w:hAnsi="Calibri" w:cs="Arial"/>
          <w:sz w:val="18"/>
        </w:rPr>
        <w:t xml:space="preserve"> é o total de unidades de capacidade incluídas no Bloco de Capacidade durante o Período Aplicável. </w:t>
      </w:r>
    </w:p>
    <w:p w14:paraId="094F3697" w14:textId="77777777" w:rsidR="009C2216"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Tempo de Inatividade da Capacidade</w:t>
      </w:r>
      <w:r>
        <w:rPr>
          <w:rFonts w:ascii="Calibri" w:eastAsia="Calibri" w:hAnsi="Calibri" w:cs="Arial"/>
          <w:sz w:val="18"/>
        </w:rPr>
        <w:t xml:space="preserve"> é o total de unidades de capacidade acumuladas que fazem parte da Capacidade Máxima Disponível, mas que não constituem Capacidade Disponível durante o Período Aplicável.</w:t>
      </w:r>
    </w:p>
    <w:p w14:paraId="3EEDEE83" w14:textId="77777777" w:rsidR="009C2216" w:rsidRDefault="009C2216" w:rsidP="009C2216">
      <w:pPr>
        <w:tabs>
          <w:tab w:val="left" w:pos="360"/>
          <w:tab w:val="left" w:pos="720"/>
          <w:tab w:val="left" w:pos="1080"/>
        </w:tabs>
        <w:spacing w:after="0" w:line="240" w:lineRule="auto"/>
        <w:rPr>
          <w:rFonts w:ascii="Calibri" w:eastAsia="Calibri" w:hAnsi="Calibri" w:cs="Arial"/>
          <w:sz w:val="18"/>
        </w:rPr>
      </w:pPr>
      <w:r w:rsidRPr="00D40378">
        <w:rPr>
          <w:rFonts w:ascii="Calibri" w:eastAsia="Calibri" w:hAnsi="Calibri" w:cs="Arial"/>
          <w:sz w:val="18"/>
        </w:rPr>
        <w:t xml:space="preserve">A </w:t>
      </w:r>
      <w:r>
        <w:rPr>
          <w:rFonts w:ascii="Calibri" w:eastAsia="Calibri" w:hAnsi="Calibri" w:cs="Arial"/>
          <w:b/>
          <w:color w:val="00188F"/>
          <w:sz w:val="18"/>
        </w:rPr>
        <w:t>Disponibilidade da Capacidade</w:t>
      </w:r>
      <w:r>
        <w:rPr>
          <w:rFonts w:ascii="Calibri" w:eastAsia="Calibri" w:hAnsi="Calibri" w:cs="Arial"/>
          <w:sz w:val="18"/>
        </w:rPr>
        <w:t xml:space="preserve"> é calculada ao subtrair o Tempo de Inatividade da Capacidade Máxima Disponível e ao dividir pela Capacidade Máxima Disponível durante o Período Aplicável. </w:t>
      </w:r>
    </w:p>
    <w:p w14:paraId="48E3DF25"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Percentagem de Tempo de Atividade para um determinado Inquilino Ativo num Período Aplicável é calculada através da seguinte fórmula:</w:t>
      </w:r>
    </w:p>
    <w:p w14:paraId="68F47A30" w14:textId="77777777" w:rsidR="009C2216" w:rsidRPr="004577B2" w:rsidRDefault="00000000" w:rsidP="009C2216">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Capacidade Máxima Disponível - Tempo de Inatividade da Capacidade </m:t>
              </m:r>
            </m:num>
            <m:den>
              <m:r>
                <w:rPr>
                  <w:rFonts w:ascii="Cambria Math" w:eastAsia="Calibri" w:hAnsi="Cambria Math" w:cs="Calibri"/>
                  <w:sz w:val="18"/>
                  <w:szCs w:val="18"/>
                </w:rPr>
                <m:t>Capacidade Máxima Disponível</m:t>
              </m:r>
            </m:den>
          </m:f>
          <m:r>
            <w:rPr>
              <w:rFonts w:ascii="Cambria Math" w:eastAsia="Calibri" w:hAnsi="Cambria Math" w:cs="Calibri"/>
              <w:sz w:val="18"/>
              <w:szCs w:val="18"/>
            </w:rPr>
            <m:t xml:space="preserve"> x 100</m:t>
          </m:r>
        </m:oMath>
      </m:oMathPara>
    </w:p>
    <w:p w14:paraId="060064EC" w14:textId="77777777" w:rsidR="009C2216"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Crédito de Serviço</w:t>
      </w:r>
      <w:r w:rsidRPr="006974AB">
        <w:rPr>
          <w:rFonts w:ascii="Calibri" w:eastAsia="Calibri" w:hAnsi="Calibri" w:cs="Arial"/>
          <w:b/>
          <w:color w:val="00188F"/>
          <w:sz w:val="18"/>
        </w:rPr>
        <w:t>:</w:t>
      </w:r>
    </w:p>
    <w:p w14:paraId="582C7146" w14:textId="77777777" w:rsidR="009C2216"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Os seguintes Níveis de Serviço e Créditos de Serviço são aplicáveis à utilização que o Cliente faz dos Blocos de Capacidade: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2216" w14:paraId="449DD64D" w14:textId="77777777" w:rsidTr="00E1735E">
        <w:trPr>
          <w:trHeight w:val="245"/>
          <w:tblHeader/>
        </w:trPr>
        <w:tc>
          <w:tcPr>
            <w:tcW w:w="5400" w:type="dxa"/>
            <w:shd w:val="clear" w:color="auto" w:fill="0072C6"/>
          </w:tcPr>
          <w:p w14:paraId="3C026578" w14:textId="77777777" w:rsidR="009C2216" w:rsidRPr="00ED1027" w:rsidRDefault="009C2216"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Percentagem de Tempo de Atividade</w:t>
            </w:r>
          </w:p>
        </w:tc>
        <w:tc>
          <w:tcPr>
            <w:tcW w:w="5400" w:type="dxa"/>
            <w:shd w:val="clear" w:color="auto" w:fill="0072C6"/>
          </w:tcPr>
          <w:p w14:paraId="42FB7AAB" w14:textId="77777777" w:rsidR="009C2216" w:rsidRPr="00ED1027" w:rsidRDefault="009C2216"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9C2216" w14:paraId="5F7FA376" w14:textId="77777777" w:rsidTr="00E1735E">
        <w:trPr>
          <w:trHeight w:val="245"/>
          <w:tblHeader/>
        </w:trPr>
        <w:tc>
          <w:tcPr>
            <w:tcW w:w="5400" w:type="dxa"/>
          </w:tcPr>
          <w:p w14:paraId="76331C30" w14:textId="77777777" w:rsidR="009C2216" w:rsidRPr="00ED1027" w:rsidRDefault="009C2216" w:rsidP="00E1735E">
            <w:pPr>
              <w:pStyle w:val="ProductList-OfferingBody"/>
              <w:jc w:val="center"/>
              <w:rPr>
                <w:rFonts w:ascii="Calibri" w:hAnsi="Calibri" w:cs="Calibri"/>
                <w:szCs w:val="16"/>
              </w:rPr>
            </w:pPr>
            <w:r>
              <w:rPr>
                <w:rFonts w:ascii="Calibri" w:hAnsi="Calibri" w:cs="Calibri"/>
                <w:szCs w:val="16"/>
              </w:rPr>
              <w:t>&lt; 99,9%</w:t>
            </w:r>
          </w:p>
        </w:tc>
        <w:tc>
          <w:tcPr>
            <w:tcW w:w="5400" w:type="dxa"/>
          </w:tcPr>
          <w:p w14:paraId="21CD63F0" w14:textId="77777777" w:rsidR="009C2216" w:rsidRPr="00ED1027" w:rsidRDefault="009C2216" w:rsidP="00E1735E">
            <w:pPr>
              <w:pStyle w:val="ProductList-OfferingBody"/>
              <w:jc w:val="center"/>
              <w:rPr>
                <w:rFonts w:ascii="Calibri" w:hAnsi="Calibri" w:cs="Calibri"/>
                <w:szCs w:val="16"/>
              </w:rPr>
            </w:pPr>
            <w:r>
              <w:rPr>
                <w:rFonts w:ascii="Calibri" w:hAnsi="Calibri" w:cs="Calibri"/>
                <w:szCs w:val="16"/>
              </w:rPr>
              <w:t>10%</w:t>
            </w:r>
          </w:p>
        </w:tc>
      </w:tr>
      <w:tr w:rsidR="009C2216" w14:paraId="703DB8C9" w14:textId="77777777" w:rsidTr="00E1735E">
        <w:trPr>
          <w:trHeight w:val="245"/>
          <w:tblHeader/>
        </w:trPr>
        <w:tc>
          <w:tcPr>
            <w:tcW w:w="5400" w:type="dxa"/>
          </w:tcPr>
          <w:p w14:paraId="3EAEC554" w14:textId="77777777" w:rsidR="009C2216" w:rsidRPr="00ED1027" w:rsidRDefault="009C2216" w:rsidP="00E1735E">
            <w:pPr>
              <w:pStyle w:val="ProductList-OfferingBody"/>
              <w:jc w:val="center"/>
              <w:rPr>
                <w:rFonts w:ascii="Calibri" w:hAnsi="Calibri" w:cs="Calibri"/>
                <w:szCs w:val="16"/>
              </w:rPr>
            </w:pPr>
            <w:r>
              <w:rPr>
                <w:rFonts w:ascii="Calibri" w:hAnsi="Calibri" w:cs="Calibri"/>
                <w:szCs w:val="16"/>
              </w:rPr>
              <w:t>&lt; 99%</w:t>
            </w:r>
          </w:p>
        </w:tc>
        <w:tc>
          <w:tcPr>
            <w:tcW w:w="5400" w:type="dxa"/>
          </w:tcPr>
          <w:p w14:paraId="51D4EABA" w14:textId="77777777" w:rsidR="009C2216" w:rsidRPr="00ED1027" w:rsidRDefault="009C2216" w:rsidP="00E1735E">
            <w:pPr>
              <w:pStyle w:val="ProductList-OfferingBody"/>
              <w:jc w:val="center"/>
              <w:rPr>
                <w:rFonts w:ascii="Calibri" w:hAnsi="Calibri" w:cs="Calibri"/>
                <w:szCs w:val="16"/>
              </w:rPr>
            </w:pPr>
            <w:r>
              <w:rPr>
                <w:rFonts w:ascii="Calibri" w:hAnsi="Calibri" w:cs="Calibri"/>
                <w:szCs w:val="16"/>
              </w:rPr>
              <w:t>25%</w:t>
            </w:r>
          </w:p>
        </w:tc>
      </w:tr>
      <w:tr w:rsidR="009C2216" w14:paraId="31EAD56D" w14:textId="77777777" w:rsidTr="00E1735E">
        <w:trPr>
          <w:trHeight w:val="245"/>
          <w:tblHeader/>
        </w:trPr>
        <w:tc>
          <w:tcPr>
            <w:tcW w:w="5400" w:type="dxa"/>
          </w:tcPr>
          <w:p w14:paraId="0AE6E159" w14:textId="77777777" w:rsidR="009C2216" w:rsidRPr="00ED1027" w:rsidRDefault="009C2216" w:rsidP="00E1735E">
            <w:pPr>
              <w:pStyle w:val="ProductList-OfferingBody"/>
              <w:jc w:val="center"/>
              <w:rPr>
                <w:rFonts w:ascii="Calibri" w:hAnsi="Calibri" w:cs="Calibri"/>
                <w:szCs w:val="16"/>
              </w:rPr>
            </w:pPr>
            <w:r>
              <w:rPr>
                <w:rFonts w:ascii="Calibri" w:hAnsi="Calibri" w:cs="Calibri"/>
                <w:szCs w:val="16"/>
              </w:rPr>
              <w:t>&lt; 50%</w:t>
            </w:r>
          </w:p>
        </w:tc>
        <w:tc>
          <w:tcPr>
            <w:tcW w:w="5400" w:type="dxa"/>
          </w:tcPr>
          <w:p w14:paraId="565FBD37" w14:textId="77777777" w:rsidR="009C2216" w:rsidRPr="00ED1027" w:rsidRDefault="009C2216" w:rsidP="00E1735E">
            <w:pPr>
              <w:pStyle w:val="ProductList-OfferingBody"/>
              <w:jc w:val="center"/>
              <w:rPr>
                <w:rFonts w:ascii="Calibri" w:hAnsi="Calibri" w:cs="Calibri"/>
                <w:szCs w:val="16"/>
              </w:rPr>
            </w:pPr>
            <w:r>
              <w:rPr>
                <w:rFonts w:ascii="Calibri" w:hAnsi="Calibri" w:cs="Calibri"/>
                <w:szCs w:val="16"/>
              </w:rPr>
              <w:t>100%</w:t>
            </w:r>
          </w:p>
        </w:tc>
      </w:tr>
    </w:tbl>
    <w:p w14:paraId="190A8666" w14:textId="77777777" w:rsidR="009C2216" w:rsidRDefault="009C2216" w:rsidP="009C2216">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Aplicabilidade do SLA</w:t>
      </w:r>
      <w:r w:rsidRPr="006974AB">
        <w:rPr>
          <w:rFonts w:ascii="Calibri" w:eastAsia="Calibri" w:hAnsi="Calibri" w:cs="Arial"/>
          <w:b/>
          <w:color w:val="00188F"/>
          <w:sz w:val="18"/>
        </w:rPr>
        <w:t>:</w:t>
      </w:r>
    </w:p>
    <w:p w14:paraId="43D2BBB0" w14:textId="77777777" w:rsidR="009C2216" w:rsidRDefault="009C2216" w:rsidP="009C2216">
      <w:pPr>
        <w:spacing w:after="120" w:line="240" w:lineRule="auto"/>
        <w:rPr>
          <w:rFonts w:ascii="Calibri" w:eastAsia="Calibri" w:hAnsi="Calibri" w:cs="Arial"/>
          <w:sz w:val="18"/>
        </w:rPr>
      </w:pPr>
      <w:r>
        <w:rPr>
          <w:rFonts w:ascii="Calibri" w:eastAsia="Calibri" w:hAnsi="Calibri" w:cs="Arial"/>
          <w:sz w:val="18"/>
        </w:rPr>
        <w:t>Este SLA aplica-se exclusivamente a falhas ao Aprovisionar ou disponibilizar a capacidade reservada dentro de um Bloco de Capacidade durante o Período Aplicável. Este SLA aplica-se exclusivamente à disponibilidade da capacidade para aprovisionamento e não se aplica após a implementação com êxito dos recursos através desta capacidade. </w:t>
      </w:r>
    </w:p>
    <w:p w14:paraId="06773777"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Interação com o SLA de Máquina Virtual </w:t>
      </w:r>
    </w:p>
    <w:p w14:paraId="2697929E"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Assim que a capacidade tiver sido Aprovisionada com êxito e o Cliente tiver implementado as Máquinas Virtuais, o SLA de Máquina Virtual será aplicável a estes recursos implementados. </w:t>
      </w:r>
    </w:p>
    <w:p w14:paraId="1FE08EB1" w14:textId="77777777" w:rsidR="009C2216" w:rsidRPr="00D40378" w:rsidRDefault="009C2216" w:rsidP="009C2216">
      <w:pPr>
        <w:tabs>
          <w:tab w:val="left" w:pos="360"/>
          <w:tab w:val="left" w:pos="720"/>
          <w:tab w:val="left" w:pos="1080"/>
        </w:tabs>
        <w:spacing w:after="80" w:line="240" w:lineRule="auto"/>
        <w:rPr>
          <w:rFonts w:ascii="Calibri" w:eastAsia="Calibri" w:hAnsi="Calibri" w:cs="Arial"/>
          <w:sz w:val="18"/>
          <w:lang w:val="en-US"/>
        </w:rPr>
      </w:pPr>
      <w:r>
        <w:rPr>
          <w:rFonts w:ascii="Calibri" w:eastAsia="Calibri" w:hAnsi="Calibri" w:cs="Arial"/>
          <w:sz w:val="18"/>
        </w:rPr>
        <w:t>Em caso de conflito entre este SLA e o SLA de Máquina Virtual, prevalecerá o SLA de Máquina Virtual após a implementação com êxito. </w:t>
      </w:r>
      <w:hyperlink r:id="rId21" w:tgtFrame="_blank" w:history="1">
        <w:r w:rsidRPr="00D40378">
          <w:rPr>
            <w:rFonts w:ascii="Calibri" w:eastAsia="Calibri" w:hAnsi="Calibri" w:cs="Arial"/>
            <w:sz w:val="18"/>
            <w:lang w:val="en-US"/>
          </w:rPr>
          <w:t>https://microsoft-my.sharepoint.com/personal/rghosalkar_microsoft_com/Documents/Recordings/SLA discussion - Capacity Blocks-20260501_113805-Meeting Recording.mp4</w:t>
        </w:r>
      </w:hyperlink>
      <w:r w:rsidRPr="00D40378">
        <w:rPr>
          <w:rFonts w:ascii="Calibri" w:eastAsia="Calibri" w:hAnsi="Calibri" w:cs="Arial"/>
          <w:sz w:val="18"/>
          <w:lang w:val="en-US"/>
        </w:rPr>
        <w:t>  </w:t>
      </w:r>
    </w:p>
    <w:p w14:paraId="04CEE73C"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Exclusões </w:t>
      </w:r>
    </w:p>
    <w:p w14:paraId="10898E7D"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Este SLA não se aplica a: </w:t>
      </w:r>
    </w:p>
    <w:p w14:paraId="082C12E7"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Falhas atribuíveis à configuração, ao software ou à utilização por parte do Cliente. </w:t>
      </w:r>
    </w:p>
    <w:p w14:paraId="1DDDD1F5"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Falhas que ocorrem após o Aprovisionamento quando os recursos já foram implementados com êxito. </w:t>
      </w:r>
    </w:p>
    <w:p w14:paraId="61CC53A8" w14:textId="77777777" w:rsidR="009C2216" w:rsidRPr="00707270" w:rsidRDefault="009C2216" w:rsidP="009C2216">
      <w:pPr>
        <w:tabs>
          <w:tab w:val="left" w:pos="360"/>
          <w:tab w:val="left" w:pos="720"/>
          <w:tab w:val="left" w:pos="1080"/>
        </w:tabs>
        <w:spacing w:after="80" w:line="240" w:lineRule="auto"/>
        <w:rPr>
          <w:rFonts w:ascii="Calibri" w:eastAsia="Calibri" w:hAnsi="Calibri" w:cs="Arial"/>
          <w:sz w:val="18"/>
        </w:rPr>
      </w:pPr>
      <w:r>
        <w:rPr>
          <w:rFonts w:ascii="Calibri" w:eastAsia="Calibri" w:hAnsi="Calibri" w:cs="Arial"/>
          <w:sz w:val="18"/>
        </w:rPr>
        <w:t>Problemas de hardware ou infraestrutura que não impeçam o Aprovisionamento de capacidade em conformidade com o comportamento do SLA de Máquina Virtual aplicável.  </w:t>
      </w:r>
    </w:p>
    <w:p w14:paraId="76B241F3"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Condições de Crédito de Serviço </w:t>
      </w:r>
    </w:p>
    <w:p w14:paraId="2F98F307"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Os Créditos de Serviço são o ressarcimento exclusivo e único do Cliente em caso de incumprimento dos Níveis de Serviço descritos no presente SLA. </w:t>
      </w:r>
    </w:p>
    <w:p w14:paraId="19B00ED0" w14:textId="77777777" w:rsidR="009C2216" w:rsidRPr="00F50A4A" w:rsidRDefault="009C2216" w:rsidP="009C2216">
      <w:pPr>
        <w:tabs>
          <w:tab w:val="left" w:pos="360"/>
          <w:tab w:val="left" w:pos="720"/>
          <w:tab w:val="left" w:pos="1080"/>
        </w:tabs>
        <w:spacing w:after="80" w:line="240" w:lineRule="auto"/>
        <w:rPr>
          <w:rFonts w:ascii="Calibri" w:eastAsia="Calibri" w:hAnsi="Calibri" w:cs="Arial"/>
          <w:sz w:val="18"/>
        </w:rPr>
      </w:pPr>
      <w:r>
        <w:rPr>
          <w:rFonts w:ascii="Calibri" w:eastAsia="Calibri" w:hAnsi="Calibri" w:cs="Arial"/>
          <w:sz w:val="18"/>
        </w:rPr>
        <w:t>O Cliente deve apresentar qualquer ação para Créditos de Serviço em conformidade com as ações de SLA dos Serviços Online da Microsoft e dentro do prazo previsto para a apresentação do pedido. </w:t>
      </w:r>
    </w:p>
    <w:p w14:paraId="12350F0B"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Notas sobre a Aplicabilidade da Plataforma </w:t>
      </w:r>
    </w:p>
    <w:p w14:paraId="188EC56E" w14:textId="77777777" w:rsidR="009C2216" w:rsidRPr="00F50A4A"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Disponibilidade da Capacidade pode variar consoante a arquitetura da plataforma subjacente, incluindo cenários onde a capacidade é aprovisionada em unidades ou configurações fixas. </w:t>
      </w:r>
    </w:p>
    <w:p w14:paraId="3838DBC9" w14:textId="77777777" w:rsidR="009C2216" w:rsidRDefault="009C2216" w:rsidP="009C221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Para as plataformas onde os SLAs de Máquina Virtual diferem (incluindo determinadas plataformas baseadas em GPU), o Nível de Serviço aplicável pode corresponder às características do SLA de Máquina Virtual em questão.  </w:t>
      </w:r>
    </w:p>
    <w:p w14:paraId="1BE7DDEF" w14:textId="77777777" w:rsidR="009C2216" w:rsidRPr="00EF7CF9" w:rsidRDefault="009C2216" w:rsidP="009C22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574B749" w14:textId="058D1758" w:rsidR="001C6B3E" w:rsidRPr="0075676C" w:rsidRDefault="001C6B3E" w:rsidP="001C6B3E">
      <w:pPr>
        <w:pStyle w:val="ProductList-Offering2Heading"/>
        <w:keepNext/>
        <w:tabs>
          <w:tab w:val="clear" w:pos="360"/>
          <w:tab w:val="clear" w:pos="720"/>
          <w:tab w:val="clear" w:pos="1080"/>
        </w:tabs>
        <w:outlineLvl w:val="2"/>
      </w:pPr>
      <w:bookmarkStart w:id="170" w:name="_Toc239176435"/>
      <w:r w:rsidRPr="0075676C">
        <w:t>Azure Managed Redis</w:t>
      </w:r>
      <w:bookmarkEnd w:id="170"/>
    </w:p>
    <w:p w14:paraId="49A84B21" w14:textId="77777777" w:rsidR="001C6B3E" w:rsidRPr="00C63E56" w:rsidRDefault="001C6B3E" w:rsidP="001C6B3E">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Definições Adicionais</w:t>
      </w:r>
      <w:r w:rsidRPr="00944399">
        <w:rPr>
          <w:rStyle w:val="normaltextrun"/>
          <w:rFonts w:ascii="Calibri" w:eastAsiaTheme="majorEastAsia" w:hAnsi="Calibri" w:cs="Calibri"/>
          <w:b/>
          <w:color w:val="00188F"/>
          <w:sz w:val="18"/>
          <w:szCs w:val="18"/>
        </w:rPr>
        <w:t>:</w:t>
      </w:r>
    </w:p>
    <w:p w14:paraId="58571923" w14:textId="77777777" w:rsidR="001C6B3E" w:rsidRPr="00C63E56" w:rsidRDefault="001C6B3E" w:rsidP="001C6B3E">
      <w:pPr>
        <w:pStyle w:val="paragraph"/>
        <w:spacing w:before="0" w:beforeAutospacing="0" w:after="0" w:afterAutospacing="0"/>
        <w:textAlignment w:val="baseline"/>
        <w:rPr>
          <w:rFonts w:ascii="Calibri" w:hAnsi="Calibri" w:cs="Calibri"/>
          <w:sz w:val="18"/>
          <w:szCs w:val="18"/>
        </w:rPr>
      </w:pPr>
      <w:r w:rsidRPr="00466D15">
        <w:rPr>
          <w:sz w:val="18"/>
          <w:szCs w:val="18"/>
        </w:rPr>
        <w:t>A</w:t>
      </w:r>
      <w:r>
        <w:t xml:space="preserve">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instância Azure Managed Redis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é uma implementação do Serviço Azure Managed Redis, de modo que os seus pontos finais de leitura/escrita são enumerados no Portal de Gestão.</w:t>
      </w:r>
    </w:p>
    <w:p w14:paraId="206C3FFD" w14:textId="77777777" w:rsidR="001C6B3E" w:rsidRPr="00C63E56"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“Pontos finais do Azure Managed Redis”</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designa os pontos finais através dos quais se pode aceder ao Azure Managed Redis.</w:t>
      </w:r>
    </w:p>
    <w:p w14:paraId="73DF9271" w14:textId="77777777" w:rsidR="001C6B3E" w:rsidRPr="00C63E56"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Elevada Disponibilidade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no contexto do Azure Managed Redis significa que a instância do Azure Managed Redis foi implementada numa configuração de elevada disponibilidade com extensões primárias e de réplicas em dois ou mais nós.</w:t>
      </w:r>
    </w:p>
    <w:p w14:paraId="6301E878" w14:textId="77777777" w:rsidR="001C6B3E" w:rsidRPr="00C63E56"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“Georreplicação Ativa”</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designa a ativação de um grupo de georreplicação com várias instâncias do Azure Managed Redis distribuídas geograficamente para sincronizar os dados numa configuração ativa-ativa.</w:t>
      </w:r>
    </w:p>
    <w:p w14:paraId="5B402154" w14:textId="77777777" w:rsidR="001C6B3E" w:rsidRPr="00C63E56"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Zona de Disponibilidade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é uma área isolada de falhas numa região do Azure que fornece energia, refrigeração e rede redundantes.</w:t>
      </w:r>
    </w:p>
    <w:p w14:paraId="464B7645" w14:textId="77777777" w:rsidR="001C6B3E" w:rsidRPr="00C63E56"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Redundância de Zonas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designa uma instância do Azure Managed Redis implementada com elevada disponibilidade em que as extensões primárias e de réplica são distribuídas em duas ou mais zonas de disponibilidade.</w:t>
      </w:r>
    </w:p>
    <w:p w14:paraId="58051E57" w14:textId="77777777" w:rsidR="001C6B3E" w:rsidRPr="00C63E56" w:rsidRDefault="001C6B3E" w:rsidP="001C6B3E">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Cálculo do Período de Disponibilidade e Níveis de Serviço para o Serviço Azure Managed Redis Sem Georreplicação Ativa</w:t>
      </w:r>
    </w:p>
    <w:p w14:paraId="5769D150" w14:textId="77777777" w:rsidR="001C6B3E" w:rsidRPr="00C63E56"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“Máximo de Minutos Disponíveis”</w:t>
      </w:r>
      <w:r>
        <w:rPr>
          <w:rStyle w:val="normaltextrun"/>
          <w:rFonts w:ascii="Calibri" w:eastAsiaTheme="majorEastAsia" w:hAnsi="Calibri" w:cs="Calibri"/>
          <w:sz w:val="18"/>
          <w:szCs w:val="18"/>
        </w:rPr>
        <w:t xml:space="preserve"> designa o número total de minutos para uma determinada instância do Azure Managed Redis implementada pelo Cliente numa subscrição do Microsoft Azure durante um Período Aplicável.</w:t>
      </w:r>
    </w:p>
    <w:p w14:paraId="118FBE83" w14:textId="77777777" w:rsidR="001C6B3E" w:rsidRPr="00C63E56"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“Período de Indisponibilidade”</w:t>
      </w:r>
      <w:r>
        <w:rPr>
          <w:rStyle w:val="normaltextrun"/>
          <w:rFonts w:ascii="Calibri" w:eastAsiaTheme="majorEastAsia" w:hAnsi="Calibri" w:cs="Calibri"/>
          <w:sz w:val="18"/>
          <w:szCs w:val="18"/>
        </w:rPr>
        <w:t xml:space="preserve"> designa o número total de minutos durante Máximo de Minutos Disponíveis durante os quais a instância do Azure Managed Redis está indisponível. Um minuto é considerado indisponível para uma determinada instância do Azure Managed Redis quando não existe qualquer conectividade ao longo do minuto entre todos os Pontos Finais do Azure Managed Redis associados à instância do Azure Managed Redis e o gateway de Internet da Microsoft, e o Cliente não iniciou quaisquer funcionalidades do produto ou ações de gestão que estejam documentadas para produzir indisponibilidade temporária.</w:t>
      </w:r>
    </w:p>
    <w:p w14:paraId="528C4FE7" w14:textId="77777777" w:rsidR="001C6B3E" w:rsidRPr="00C63E56" w:rsidRDefault="001C6B3E" w:rsidP="001C6B3E">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Percentagem de Período de Disponibilidade</w:t>
      </w:r>
      <w:r w:rsidRPr="00944399">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A Percentagem de Período de Disponibilidade é calculada através da seguinte fórmula:</w:t>
      </w:r>
    </w:p>
    <w:p w14:paraId="6BE2201D" w14:textId="77777777" w:rsidR="001C6B3E" w:rsidRPr="001E28FB" w:rsidRDefault="00000000" w:rsidP="001C6B3E">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F6F883" w14:textId="77777777" w:rsidR="001C6B3E" w:rsidRDefault="001C6B3E" w:rsidP="001C6B3E">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Os seguintes Níveis de Serviço e Créditos de serviço são aplicáveis à utilização que o Cliente faz das camadas Otimizada para Memória, Equilibrada, Otimizada para Computação, Otimizada para a Memória Flash do Azure Managed Redis configuradas em modo de Elevada Disponibilidade sem utilizar a Redundância Entre Zonas: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6B3E" w:rsidRPr="00EF7CF9" w14:paraId="6F35CEAE" w14:textId="77777777" w:rsidTr="0078028E">
        <w:trPr>
          <w:trHeight w:val="245"/>
          <w:tblHeader/>
        </w:trPr>
        <w:tc>
          <w:tcPr>
            <w:tcW w:w="5400" w:type="dxa"/>
            <w:shd w:val="clear" w:color="auto" w:fill="0072C6"/>
          </w:tcPr>
          <w:p w14:paraId="09A89CB9" w14:textId="77777777" w:rsidR="001C6B3E" w:rsidRPr="00E75915" w:rsidRDefault="001C6B3E"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24912499" w14:textId="77777777" w:rsidR="001C6B3E" w:rsidRPr="00E75915" w:rsidRDefault="001C6B3E"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1C6B3E" w:rsidRPr="00EF7CF9" w14:paraId="4EFDA250" w14:textId="77777777" w:rsidTr="0078028E">
        <w:trPr>
          <w:trHeight w:val="245"/>
        </w:trPr>
        <w:tc>
          <w:tcPr>
            <w:tcW w:w="5400" w:type="dxa"/>
          </w:tcPr>
          <w:p w14:paraId="7E46E5E3" w14:textId="77777777" w:rsidR="001C6B3E" w:rsidRPr="00E75915" w:rsidRDefault="001C6B3E" w:rsidP="0078028E">
            <w:pPr>
              <w:pStyle w:val="ProductList-OfferingBody"/>
              <w:jc w:val="center"/>
              <w:rPr>
                <w:rFonts w:ascii="Calibri" w:hAnsi="Calibri" w:cs="Calibri"/>
                <w:szCs w:val="16"/>
              </w:rPr>
            </w:pPr>
            <w:r>
              <w:rPr>
                <w:rFonts w:ascii="Calibri" w:hAnsi="Calibri" w:cs="Calibri"/>
                <w:szCs w:val="16"/>
              </w:rPr>
              <w:t>&lt; 99,9%</w:t>
            </w:r>
          </w:p>
        </w:tc>
        <w:tc>
          <w:tcPr>
            <w:tcW w:w="5400" w:type="dxa"/>
          </w:tcPr>
          <w:p w14:paraId="00EE3F43" w14:textId="77777777" w:rsidR="001C6B3E" w:rsidRPr="00E75915" w:rsidRDefault="001C6B3E" w:rsidP="0078028E">
            <w:pPr>
              <w:pStyle w:val="ProductList-OfferingBody"/>
              <w:jc w:val="center"/>
              <w:rPr>
                <w:rFonts w:ascii="Calibri" w:hAnsi="Calibri" w:cs="Calibri"/>
                <w:szCs w:val="16"/>
              </w:rPr>
            </w:pPr>
            <w:r>
              <w:rPr>
                <w:rFonts w:ascii="Calibri" w:hAnsi="Calibri" w:cs="Calibri"/>
                <w:szCs w:val="16"/>
              </w:rPr>
              <w:t>10%</w:t>
            </w:r>
          </w:p>
        </w:tc>
      </w:tr>
      <w:tr w:rsidR="001C6B3E" w:rsidRPr="00EF7CF9" w14:paraId="22B5B81A" w14:textId="77777777" w:rsidTr="0078028E">
        <w:trPr>
          <w:trHeight w:val="245"/>
        </w:trPr>
        <w:tc>
          <w:tcPr>
            <w:tcW w:w="5400" w:type="dxa"/>
          </w:tcPr>
          <w:p w14:paraId="7348C102" w14:textId="77777777" w:rsidR="001C6B3E" w:rsidRPr="00E75915" w:rsidRDefault="001C6B3E" w:rsidP="0078028E">
            <w:pPr>
              <w:pStyle w:val="ProductList-OfferingBody"/>
              <w:jc w:val="center"/>
              <w:rPr>
                <w:rFonts w:ascii="Calibri" w:hAnsi="Calibri" w:cs="Calibri"/>
                <w:szCs w:val="16"/>
              </w:rPr>
            </w:pPr>
            <w:r>
              <w:rPr>
                <w:rFonts w:ascii="Calibri" w:hAnsi="Calibri" w:cs="Calibri"/>
                <w:szCs w:val="16"/>
              </w:rPr>
              <w:t>&lt; 99%</w:t>
            </w:r>
          </w:p>
        </w:tc>
        <w:tc>
          <w:tcPr>
            <w:tcW w:w="5400" w:type="dxa"/>
          </w:tcPr>
          <w:p w14:paraId="49216F40" w14:textId="77777777" w:rsidR="001C6B3E" w:rsidRPr="00E75915" w:rsidRDefault="001C6B3E" w:rsidP="0078028E">
            <w:pPr>
              <w:pStyle w:val="ProductList-OfferingBody"/>
              <w:jc w:val="center"/>
              <w:rPr>
                <w:rFonts w:ascii="Calibri" w:hAnsi="Calibri" w:cs="Calibri"/>
                <w:szCs w:val="16"/>
              </w:rPr>
            </w:pPr>
            <w:r>
              <w:rPr>
                <w:rFonts w:ascii="Calibri" w:hAnsi="Calibri" w:cs="Calibri"/>
                <w:szCs w:val="16"/>
              </w:rPr>
              <w:t>25%</w:t>
            </w:r>
          </w:p>
        </w:tc>
      </w:tr>
    </w:tbl>
    <w:p w14:paraId="30648CB9" w14:textId="77777777" w:rsidR="001C6B3E" w:rsidRDefault="001C6B3E" w:rsidP="001C6B3E">
      <w:pPr>
        <w:spacing w:before="120" w:after="0" w:line="240" w:lineRule="auto"/>
        <w:textAlignment w:val="baseline"/>
        <w:rPr>
          <w:rFonts w:ascii="Calibri" w:eastAsia="Times New Roman" w:hAnsi="Calibri" w:cs="Calibri"/>
          <w:b/>
          <w:bCs/>
          <w:color w:val="00188F"/>
          <w:sz w:val="18"/>
          <w:szCs w:val="18"/>
        </w:rPr>
      </w:pPr>
      <w:bookmarkStart w:id="171" w:name="_Hlk197960496"/>
      <w:r>
        <w:rPr>
          <w:rFonts w:ascii="Calibri" w:eastAsia="Times New Roman" w:hAnsi="Calibri" w:cs="Calibri"/>
          <w:b/>
          <w:bCs/>
          <w:color w:val="00188F"/>
          <w:sz w:val="18"/>
          <w:szCs w:val="18"/>
        </w:rPr>
        <w:t>Os seguintes Níveis de Serviço e Créditos de serviço são aplicáveis à utilização que o Cliente faz das camadas Otimizada para Memória, Equilibrada, Otimizada para Computação, Otimizada para a Memória Flash do Azure Managed Redis configuradas em modo de Elevada Disponibilidade ao utilizar a Redundância Entre Zonas: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6B3E" w:rsidRPr="00E75915" w14:paraId="2A780B70" w14:textId="77777777" w:rsidTr="0078028E">
        <w:trPr>
          <w:trHeight w:val="245"/>
          <w:tblHeader/>
        </w:trPr>
        <w:tc>
          <w:tcPr>
            <w:tcW w:w="5400" w:type="dxa"/>
            <w:shd w:val="clear" w:color="auto" w:fill="0072C6"/>
          </w:tcPr>
          <w:p w14:paraId="1C774F6E" w14:textId="77777777" w:rsidR="001C6B3E" w:rsidRPr="00E75915" w:rsidRDefault="001C6B3E"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282EE79C" w14:textId="77777777" w:rsidR="001C6B3E" w:rsidRPr="00E75915" w:rsidRDefault="001C6B3E"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1C6B3E" w:rsidRPr="00E75915" w14:paraId="1B104899" w14:textId="77777777" w:rsidTr="0078028E">
        <w:trPr>
          <w:trHeight w:val="245"/>
        </w:trPr>
        <w:tc>
          <w:tcPr>
            <w:tcW w:w="5400" w:type="dxa"/>
          </w:tcPr>
          <w:p w14:paraId="5A5B9144" w14:textId="3B6FBDC3" w:rsidR="001C6B3E" w:rsidRPr="00E75915" w:rsidRDefault="001C6B3E" w:rsidP="0078028E">
            <w:pPr>
              <w:pStyle w:val="ProductList-OfferingBody"/>
              <w:jc w:val="center"/>
              <w:rPr>
                <w:rFonts w:ascii="Calibri" w:hAnsi="Calibri" w:cs="Calibri"/>
                <w:szCs w:val="16"/>
              </w:rPr>
            </w:pPr>
            <w:r>
              <w:rPr>
                <w:rFonts w:ascii="Calibri" w:hAnsi="Calibri" w:cs="Calibri"/>
                <w:szCs w:val="16"/>
              </w:rPr>
              <w:t>&lt; 99,9</w:t>
            </w:r>
            <w:r w:rsidR="0075676C">
              <w:rPr>
                <w:rFonts w:ascii="Calibri" w:hAnsi="Calibri" w:cs="Calibri"/>
                <w:szCs w:val="16"/>
              </w:rPr>
              <w:t>9</w:t>
            </w:r>
            <w:r>
              <w:rPr>
                <w:rFonts w:ascii="Calibri" w:hAnsi="Calibri" w:cs="Calibri"/>
                <w:szCs w:val="16"/>
              </w:rPr>
              <w:t>%</w:t>
            </w:r>
          </w:p>
        </w:tc>
        <w:tc>
          <w:tcPr>
            <w:tcW w:w="5400" w:type="dxa"/>
          </w:tcPr>
          <w:p w14:paraId="05E0C5C8" w14:textId="77777777" w:rsidR="001C6B3E" w:rsidRPr="00E75915" w:rsidRDefault="001C6B3E" w:rsidP="0078028E">
            <w:pPr>
              <w:pStyle w:val="ProductList-OfferingBody"/>
              <w:jc w:val="center"/>
              <w:rPr>
                <w:rFonts w:ascii="Calibri" w:hAnsi="Calibri" w:cs="Calibri"/>
                <w:szCs w:val="16"/>
              </w:rPr>
            </w:pPr>
            <w:r>
              <w:rPr>
                <w:rFonts w:ascii="Calibri" w:hAnsi="Calibri" w:cs="Calibri"/>
                <w:szCs w:val="16"/>
              </w:rPr>
              <w:t>10%</w:t>
            </w:r>
          </w:p>
        </w:tc>
      </w:tr>
      <w:tr w:rsidR="001C6B3E" w:rsidRPr="00E75915" w14:paraId="00E2EC4B" w14:textId="77777777" w:rsidTr="0078028E">
        <w:trPr>
          <w:trHeight w:val="245"/>
        </w:trPr>
        <w:tc>
          <w:tcPr>
            <w:tcW w:w="5400" w:type="dxa"/>
          </w:tcPr>
          <w:p w14:paraId="5ABDDF3C" w14:textId="77777777" w:rsidR="001C6B3E" w:rsidRPr="00E75915" w:rsidRDefault="001C6B3E" w:rsidP="0078028E">
            <w:pPr>
              <w:pStyle w:val="ProductList-OfferingBody"/>
              <w:jc w:val="center"/>
              <w:rPr>
                <w:rFonts w:ascii="Calibri" w:hAnsi="Calibri" w:cs="Calibri"/>
                <w:szCs w:val="16"/>
              </w:rPr>
            </w:pPr>
            <w:r>
              <w:rPr>
                <w:rFonts w:ascii="Calibri" w:hAnsi="Calibri" w:cs="Calibri"/>
                <w:szCs w:val="16"/>
              </w:rPr>
              <w:t>&lt; 99%</w:t>
            </w:r>
          </w:p>
        </w:tc>
        <w:tc>
          <w:tcPr>
            <w:tcW w:w="5400" w:type="dxa"/>
          </w:tcPr>
          <w:p w14:paraId="4129EFD7" w14:textId="77777777" w:rsidR="001C6B3E" w:rsidRPr="00E75915" w:rsidRDefault="001C6B3E" w:rsidP="0078028E">
            <w:pPr>
              <w:pStyle w:val="ProductList-OfferingBody"/>
              <w:jc w:val="center"/>
              <w:rPr>
                <w:rFonts w:ascii="Calibri" w:hAnsi="Calibri" w:cs="Calibri"/>
                <w:szCs w:val="16"/>
              </w:rPr>
            </w:pPr>
            <w:r>
              <w:rPr>
                <w:rFonts w:ascii="Calibri" w:hAnsi="Calibri" w:cs="Calibri"/>
                <w:szCs w:val="16"/>
              </w:rPr>
              <w:t>25%</w:t>
            </w:r>
          </w:p>
        </w:tc>
      </w:tr>
    </w:tbl>
    <w:p w14:paraId="1C8F9CEA" w14:textId="77777777" w:rsidR="001C6B3E" w:rsidRPr="00141067" w:rsidRDefault="001C6B3E" w:rsidP="001C6B3E">
      <w:pPr>
        <w:pStyle w:val="paragraph"/>
        <w:spacing w:before="120" w:beforeAutospacing="0" w:after="0" w:afterAutospacing="0"/>
        <w:textAlignment w:val="baseline"/>
        <w:rPr>
          <w:rFonts w:ascii="Calibri" w:hAnsi="Calibri" w:cs="Calibri"/>
          <w:sz w:val="18"/>
          <w:szCs w:val="18"/>
        </w:rPr>
      </w:pPr>
      <w:bookmarkStart w:id="172" w:name="_Hlk197960521"/>
      <w:bookmarkEnd w:id="171"/>
      <w:r>
        <w:rPr>
          <w:rStyle w:val="normaltextrun"/>
          <w:rFonts w:ascii="Calibri" w:eastAsiaTheme="majorEastAsia" w:hAnsi="Calibri" w:cs="Calibri"/>
          <w:b/>
          <w:bCs/>
          <w:color w:val="00188F"/>
          <w:sz w:val="18"/>
          <w:szCs w:val="18"/>
        </w:rPr>
        <w:t>Cálculo do Período de Disponibilidade e Níveis de Serviço para o Serviço Azure Managed Redis com Georreplicação Ativa</w:t>
      </w:r>
    </w:p>
    <w:p w14:paraId="4C83822B" w14:textId="77777777" w:rsidR="001C6B3E" w:rsidRPr="00141067"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“Máximo de Minutos Disponíveis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designa o número total de minutos para uma determinada instância do Azure Managed Redis implementada pelo Cliente numa subscrição do Microsoft Azure durante um Período Aplicável.</w:t>
      </w:r>
    </w:p>
    <w:p w14:paraId="6C2583B2" w14:textId="77777777" w:rsidR="001C6B3E" w:rsidRPr="00141067"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“Grupo de Georreplicação” </w:t>
      </w:r>
      <w:r>
        <w:rPr>
          <w:rStyle w:val="normaltextrun"/>
          <w:rFonts w:ascii="Calibri" w:eastAsiaTheme="majorEastAsia" w:hAnsi="Calibri" w:cs="Calibri"/>
          <w:sz w:val="18"/>
          <w:szCs w:val="18"/>
        </w:rPr>
        <w:t xml:space="preserve">é uma configuração de agrupamento lógico de instâncias do Azure Managed Redis que sincronizam dados entre si. </w:t>
      </w:r>
    </w:p>
    <w:p w14:paraId="763A448A" w14:textId="77777777" w:rsidR="001C6B3E" w:rsidRPr="00141067" w:rsidRDefault="001C6B3E" w:rsidP="001C6B3E">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“Período de Indisponibilidade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designa o número total de minutos dentro do Máximo de Minutos Disponíveis durante os quais nenhum dos pontos de extremidade do Azure Managed Redis associados ao grupo de replicação geográfica está disponível. Um minuto é considerado indisponível para um determinado grupo de georreplicação quando não existe qualquer conectividade ao longo do minuto entre qualquer um dos Pontos Finais do Azure Managed Redis para as instâncias do Azure Managed Redis associadas ao grupo de georreplicação e o gateway da Internet da Microsoft, e o Cliente não iniciou quaisquer funcionalidades do produto ou ações de gestão que estejam documentadas para produzir indisponibilidade temporária.</w:t>
      </w:r>
    </w:p>
    <w:p w14:paraId="34644C28" w14:textId="77777777" w:rsidR="001C6B3E" w:rsidRPr="00141067" w:rsidRDefault="001C6B3E" w:rsidP="001C6B3E">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Percentagem de Período de Disponibilidade</w:t>
      </w:r>
      <w:r w:rsidRPr="00944399">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A Percentagem de Período de Disponibilidade é calculada através da seguinte fórmula:</w:t>
      </w:r>
    </w:p>
    <w:bookmarkEnd w:id="172"/>
    <w:p w14:paraId="06CA7546" w14:textId="77777777" w:rsidR="001C6B3E" w:rsidRPr="00DE77A8" w:rsidRDefault="00000000" w:rsidP="001C6B3E">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01B0A2" w14:textId="77777777" w:rsidR="001C6B3E" w:rsidRPr="00482B02" w:rsidRDefault="001C6B3E" w:rsidP="001C6B3E">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Os seguintes Níveis de Serviço e Créditos de serviço são aplicáveis à utilização pelo Cliente das camadas Otimizada para Memória, Equilibrada, Otimizada para Computação do Azure Managed Redis que suportam a Georreplicação Ativa e estão configuradas para pelo menos três instâncias do Azure Managed Redis serem implementadas em pelo menos três regiões, e são ligadas através da Georreplicação Ativa, e cada implementação também está a utilizar o modo Elevada Disponibilidade e a Redundância de Zonas: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6B3E" w:rsidRPr="00EF7CF9" w14:paraId="1359A1B0" w14:textId="77777777" w:rsidTr="0078028E">
        <w:trPr>
          <w:trHeight w:val="245"/>
          <w:tblHeader/>
        </w:trPr>
        <w:tc>
          <w:tcPr>
            <w:tcW w:w="5400" w:type="dxa"/>
            <w:shd w:val="clear" w:color="auto" w:fill="0072C6"/>
          </w:tcPr>
          <w:p w14:paraId="7BE20526" w14:textId="77777777" w:rsidR="001C6B3E" w:rsidRPr="008B762B" w:rsidRDefault="001C6B3E"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28EC7BE4" w14:textId="77777777" w:rsidR="001C6B3E" w:rsidRPr="008B762B" w:rsidRDefault="001C6B3E"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1C6B3E" w:rsidRPr="00EF7CF9" w14:paraId="4DB1255A" w14:textId="77777777" w:rsidTr="0078028E">
        <w:trPr>
          <w:trHeight w:val="245"/>
        </w:trPr>
        <w:tc>
          <w:tcPr>
            <w:tcW w:w="5400" w:type="dxa"/>
          </w:tcPr>
          <w:p w14:paraId="709C97D4" w14:textId="77777777" w:rsidR="001C6B3E" w:rsidRPr="008B762B" w:rsidRDefault="001C6B3E" w:rsidP="0078028E">
            <w:pPr>
              <w:pStyle w:val="ProductList-OfferingBody"/>
              <w:jc w:val="center"/>
              <w:rPr>
                <w:rFonts w:ascii="Calibri" w:hAnsi="Calibri" w:cs="Calibri"/>
                <w:szCs w:val="16"/>
              </w:rPr>
            </w:pPr>
            <w:r>
              <w:rPr>
                <w:rFonts w:ascii="Calibri" w:hAnsi="Calibri" w:cs="Calibri"/>
                <w:szCs w:val="16"/>
              </w:rPr>
              <w:t>&lt; 99,999%</w:t>
            </w:r>
          </w:p>
        </w:tc>
        <w:tc>
          <w:tcPr>
            <w:tcW w:w="5400" w:type="dxa"/>
          </w:tcPr>
          <w:p w14:paraId="42799760" w14:textId="77777777" w:rsidR="001C6B3E" w:rsidRPr="008B762B" w:rsidRDefault="001C6B3E" w:rsidP="0078028E">
            <w:pPr>
              <w:pStyle w:val="ProductList-OfferingBody"/>
              <w:jc w:val="center"/>
              <w:rPr>
                <w:rFonts w:ascii="Calibri" w:hAnsi="Calibri" w:cs="Calibri"/>
                <w:szCs w:val="16"/>
              </w:rPr>
            </w:pPr>
            <w:r>
              <w:rPr>
                <w:rFonts w:ascii="Calibri" w:hAnsi="Calibri" w:cs="Calibri"/>
                <w:szCs w:val="16"/>
              </w:rPr>
              <w:t>10%</w:t>
            </w:r>
          </w:p>
        </w:tc>
      </w:tr>
      <w:tr w:rsidR="001C6B3E" w:rsidRPr="00EF7CF9" w14:paraId="2D3FAF14" w14:textId="77777777" w:rsidTr="0078028E">
        <w:trPr>
          <w:trHeight w:val="245"/>
        </w:trPr>
        <w:tc>
          <w:tcPr>
            <w:tcW w:w="5400" w:type="dxa"/>
          </w:tcPr>
          <w:p w14:paraId="1FF2C19E" w14:textId="77777777" w:rsidR="001C6B3E" w:rsidRPr="008B762B" w:rsidRDefault="001C6B3E" w:rsidP="0078028E">
            <w:pPr>
              <w:pStyle w:val="ProductList-OfferingBody"/>
              <w:jc w:val="center"/>
              <w:rPr>
                <w:rFonts w:ascii="Calibri" w:hAnsi="Calibri" w:cs="Calibri"/>
                <w:szCs w:val="16"/>
              </w:rPr>
            </w:pPr>
            <w:r>
              <w:rPr>
                <w:rFonts w:ascii="Calibri" w:hAnsi="Calibri" w:cs="Calibri"/>
                <w:szCs w:val="16"/>
              </w:rPr>
              <w:t>&lt; 99%</w:t>
            </w:r>
          </w:p>
        </w:tc>
        <w:tc>
          <w:tcPr>
            <w:tcW w:w="5400" w:type="dxa"/>
          </w:tcPr>
          <w:p w14:paraId="3EFA8EA9" w14:textId="77777777" w:rsidR="001C6B3E" w:rsidRPr="008B762B" w:rsidRDefault="001C6B3E" w:rsidP="0078028E">
            <w:pPr>
              <w:pStyle w:val="ProductList-OfferingBody"/>
              <w:jc w:val="center"/>
              <w:rPr>
                <w:rFonts w:ascii="Calibri" w:hAnsi="Calibri" w:cs="Calibri"/>
                <w:szCs w:val="16"/>
              </w:rPr>
            </w:pPr>
            <w:r>
              <w:rPr>
                <w:rFonts w:ascii="Calibri" w:hAnsi="Calibri" w:cs="Calibri"/>
                <w:szCs w:val="16"/>
              </w:rPr>
              <w:t>25%</w:t>
            </w:r>
          </w:p>
        </w:tc>
      </w:tr>
    </w:tbl>
    <w:p w14:paraId="7B3FE182" w14:textId="77777777" w:rsidR="001C6B3E" w:rsidRPr="00BA6F19" w:rsidRDefault="001C6B3E" w:rsidP="001C6B3E">
      <w:pPr>
        <w:shd w:val="clear" w:color="auto" w:fill="808080"/>
        <w:spacing w:before="120" w:after="240" w:line="240" w:lineRule="auto"/>
        <w:jc w:val="right"/>
        <w:rPr>
          <w:rFonts w:ascii="Calibri" w:eastAsia="Calibri" w:hAnsi="Calibri" w:cs="Arial"/>
          <w:sz w:val="16"/>
          <w:szCs w:val="16"/>
        </w:rPr>
      </w:pPr>
      <w:hyperlink w:anchor="TOC" w:tooltip="Índice" w:history="1">
        <w:r>
          <w:rPr>
            <w:rFonts w:ascii="Calibri" w:eastAsia="Calibri" w:hAnsi="Calibri" w:cs="Arial"/>
            <w:color w:val="0563C1"/>
            <w:sz w:val="16"/>
            <w:szCs w:val="16"/>
            <w:u w:val="single"/>
          </w:rPr>
          <w:t>Índice</w:t>
        </w:r>
      </w:hyperlink>
      <w:r>
        <w:rPr>
          <w:rFonts w:ascii="Calibri" w:eastAsia="Calibri" w:hAnsi="Calibri" w:cs="Arial"/>
          <w:sz w:val="16"/>
          <w:szCs w:val="16"/>
        </w:rPr>
        <w:t xml:space="preserve"> / </w:t>
      </w:r>
      <w:hyperlink w:anchor="Definições" w:tooltip="Definições" w:history="1">
        <w:r>
          <w:rPr>
            <w:rFonts w:ascii="Calibri" w:eastAsia="Calibri" w:hAnsi="Calibri" w:cs="Arial"/>
            <w:color w:val="0563C1"/>
            <w:sz w:val="16"/>
            <w:szCs w:val="16"/>
            <w:u w:val="single"/>
          </w:rPr>
          <w:t>Definições</w:t>
        </w:r>
      </w:hyperlink>
    </w:p>
    <w:p w14:paraId="06419031" w14:textId="5EEFF456" w:rsidR="001B020C" w:rsidRDefault="00D632AD" w:rsidP="00F01ED6">
      <w:pPr>
        <w:pStyle w:val="ProductList-Offering2Heading"/>
        <w:keepNext/>
        <w:tabs>
          <w:tab w:val="clear" w:pos="360"/>
          <w:tab w:val="clear" w:pos="720"/>
          <w:tab w:val="clear" w:pos="1080"/>
        </w:tabs>
        <w:outlineLvl w:val="2"/>
      </w:pPr>
      <w:bookmarkStart w:id="173" w:name="_Toc239176436"/>
      <w:r>
        <w:t>Azure Chaos Studio</w:t>
      </w:r>
      <w:bookmarkEnd w:id="173"/>
    </w:p>
    <w:p w14:paraId="2B476944" w14:textId="77777777" w:rsidR="009E7EBB" w:rsidRPr="00BA6F19" w:rsidRDefault="009E7EBB" w:rsidP="009E7EB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“Minutos de Ação”</w:t>
      </w:r>
      <w:r>
        <w:rPr>
          <w:rFonts w:ascii="Calibri" w:eastAsia="Calibri" w:hAnsi="Calibri" w:cs="Arial"/>
          <w:sz w:val="18"/>
          <w:bdr w:val="none" w:sz="0" w:space="0" w:color="auto" w:frame="1"/>
        </w:rPr>
        <w:t> designa o número total de minutos durante os quais uma determinada experiência do Azure Chaos Studio aplica uma ação sobre um recurso de destino no Microsoft Azure durante um Período Aplicável. Os Minutos de Ação são medidos a partir do momento em que uma experiência inicia uma ação até ao momento em que a ação foi executada durante a duração pré-configurada ou é terminada. Uma experiência pode ser composta por uma ou mais ações executadas sequencialmente ou em simultâneo.</w:t>
      </w:r>
    </w:p>
    <w:p w14:paraId="6D9E13D1" w14:textId="77777777" w:rsidR="009E7EBB" w:rsidRPr="00BA6F19" w:rsidRDefault="009E7EBB" w:rsidP="009E7EB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“Total de Minutos de Ação”</w:t>
      </w:r>
      <w:r>
        <w:rPr>
          <w:rFonts w:ascii="Calibri" w:eastAsia="Calibri" w:hAnsi="Calibri" w:cs="Arial"/>
          <w:sz w:val="18"/>
          <w:bdr w:val="none" w:sz="0" w:space="0" w:color="auto" w:frame="1"/>
        </w:rPr>
        <w:t> designa a soma de todos os Minutos de Ação numa determinada subscrição do Microsoft Azure durante um Período Aplicável.</w:t>
      </w:r>
    </w:p>
    <w:p w14:paraId="646B2904" w14:textId="77777777" w:rsidR="009E7EBB" w:rsidRPr="00BA6F19" w:rsidRDefault="009E7EBB" w:rsidP="009E7EBB">
      <w:pPr>
        <w:tabs>
          <w:tab w:val="left" w:pos="360"/>
          <w:tab w:val="left" w:pos="720"/>
          <w:tab w:val="left" w:pos="1080"/>
        </w:tabs>
        <w:spacing w:after="0" w:line="240" w:lineRule="auto"/>
        <w:rPr>
          <w:rFonts w:ascii="Calibri" w:eastAsia="Calibri" w:hAnsi="Calibri" w:cs="Arial"/>
          <w:sz w:val="18"/>
        </w:rPr>
      </w:pPr>
      <w:r w:rsidRPr="005D3F2F">
        <w:rPr>
          <w:rFonts w:ascii="Calibri" w:eastAsia="Calibri" w:hAnsi="Calibri" w:cs="Arial"/>
          <w:sz w:val="18"/>
          <w:bdr w:val="none" w:sz="0" w:space="0" w:color="auto" w:frame="1"/>
        </w:rPr>
        <w:t xml:space="preserve">O </w:t>
      </w:r>
      <w:r>
        <w:rPr>
          <w:rFonts w:ascii="Calibri" w:eastAsia="Calibri" w:hAnsi="Calibri" w:cs="Arial"/>
          <w:b/>
          <w:bCs/>
          <w:color w:val="00188F"/>
          <w:sz w:val="18"/>
          <w:bdr w:val="none" w:sz="0" w:space="0" w:color="auto" w:frame="1"/>
        </w:rPr>
        <w:t>“Período de Indisponibilidade”</w:t>
      </w:r>
      <w:r>
        <w:rPr>
          <w:rFonts w:ascii="Calibri" w:eastAsia="Calibri" w:hAnsi="Calibri" w:cs="Arial"/>
          <w:sz w:val="18"/>
          <w:bdr w:val="none" w:sz="0" w:space="0" w:color="auto" w:frame="1"/>
        </w:rPr>
        <w:t> é avaliado em intervalos de 1 minuto para cada ação que esteja ativa e é a soma de todos os Minutos de Ação numa determinada subscrição do Microsoft Azure durante um Período Aplicável, durante o qual o Chaos Studio está indisponível. Um minuto para uma determinada experiência é considerado indisponível se dentro desse intervalo de 1 minuto pelo menos um pedido de paragem dessa experiência processado pelo Chaos Studio devolve um erro 500</w:t>
      </w:r>
      <w:r>
        <w:rPr>
          <w:rFonts w:ascii="Calibri" w:eastAsia="Calibri" w:hAnsi="Calibri" w:cs="Arial"/>
          <w:i/>
          <w:iCs/>
          <w:sz w:val="18"/>
          <w:bdr w:val="none" w:sz="0" w:space="0" w:color="auto" w:frame="1"/>
        </w:rPr>
        <w:t>. </w:t>
      </w:r>
      <w:r>
        <w:rPr>
          <w:rFonts w:ascii="Calibri" w:eastAsia="Calibri" w:hAnsi="Calibri" w:cs="Arial"/>
          <w:sz w:val="18"/>
          <w:bdr w:val="none" w:sz="0" w:space="0" w:color="auto" w:frame="1"/>
        </w:rPr>
        <w:t>Se não for processado qualquer pedido de paragem da experiência pelo Chaos Studio durante um determinado intervalo de 1 minuto, o Período de Indisponibilidade para o intervalo é assumido como 0 minutos.</w:t>
      </w:r>
    </w:p>
    <w:p w14:paraId="7E117476" w14:textId="77777777" w:rsidR="009E7EBB" w:rsidRPr="00BA6F19" w:rsidRDefault="009E7EBB" w:rsidP="009E7EBB">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“Percentagem de Período de Disponibilidade”:</w:t>
      </w:r>
      <w:r>
        <w:rPr>
          <w:rFonts w:ascii="Calibri" w:eastAsia="Calibri" w:hAnsi="Calibri" w:cs="Arial"/>
          <w:sz w:val="18"/>
          <w:bdr w:val="none" w:sz="0" w:space="0" w:color="auto" w:frame="1"/>
        </w:rPr>
        <w:t> a Percentagem de Período de Disponibilidade é calculada com a seguinte fórmula:</w:t>
      </w:r>
    </w:p>
    <w:p w14:paraId="6E02C5CC" w14:textId="77777777" w:rsidR="009E7EBB" w:rsidRPr="00BA6F19" w:rsidRDefault="00000000" w:rsidP="00A53646">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Total de Minutos de Ação — Período de Indisponibilidade</m:t>
              </m:r>
            </m:num>
            <m:den>
              <m:r>
                <m:rPr>
                  <m:nor/>
                </m:rPr>
                <w:rPr>
                  <w:rFonts w:ascii="Cambria Math" w:eastAsia="Calibri" w:hAnsi="Cambria Math" w:cs="Tahoma"/>
                  <w:i/>
                  <w:sz w:val="18"/>
                  <w:szCs w:val="18"/>
                </w:rPr>
                <m:t>Total de Minutos de Ação</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7B6B191E" w14:textId="34B12F5F" w:rsidR="009E7EBB" w:rsidRPr="009E7EBB" w:rsidRDefault="009E7EBB" w:rsidP="00E563FF">
      <w:pPr>
        <w:keepNext/>
        <w:tabs>
          <w:tab w:val="left" w:pos="360"/>
          <w:tab w:val="left" w:pos="720"/>
          <w:tab w:val="left" w:pos="1080"/>
        </w:tabs>
        <w:spacing w:after="0" w:line="240" w:lineRule="auto"/>
        <w:rPr>
          <w:b/>
          <w:color w:val="00188F"/>
          <w:sz w:val="18"/>
        </w:rPr>
      </w:pPr>
      <w:r w:rsidRPr="009E7EBB">
        <w:rPr>
          <w:b/>
          <w:color w:val="00188F"/>
          <w:sz w:val="18"/>
        </w:rPr>
        <w:t>Crédito de Serviço: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E7EBB" w:rsidRPr="00BA6F19" w14:paraId="7B8A1A58" w14:textId="77777777" w:rsidTr="00995E56">
        <w:trPr>
          <w:tblHeader/>
        </w:trPr>
        <w:tc>
          <w:tcPr>
            <w:tcW w:w="5400" w:type="dxa"/>
            <w:shd w:val="clear" w:color="auto" w:fill="0072C6"/>
          </w:tcPr>
          <w:p w14:paraId="56AF9766" w14:textId="77777777" w:rsidR="009E7EBB" w:rsidRPr="00BA6F19" w:rsidRDefault="009E7EBB" w:rsidP="00995E56">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Percentagem de Período de Disponibilidade</w:t>
            </w:r>
          </w:p>
        </w:tc>
        <w:tc>
          <w:tcPr>
            <w:tcW w:w="5400" w:type="dxa"/>
            <w:shd w:val="clear" w:color="auto" w:fill="0072C6"/>
          </w:tcPr>
          <w:p w14:paraId="294FF581" w14:textId="77777777" w:rsidR="009E7EBB" w:rsidRPr="00BA6F19" w:rsidRDefault="009E7EBB" w:rsidP="00995E56">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9E7EBB" w:rsidRPr="00BA6F19" w14:paraId="4A8E6046" w14:textId="77777777" w:rsidTr="00995E56">
        <w:tc>
          <w:tcPr>
            <w:tcW w:w="5400" w:type="dxa"/>
          </w:tcPr>
          <w:p w14:paraId="7C21A2EB" w14:textId="77777777" w:rsidR="009E7EBB" w:rsidRPr="00BA6F19" w:rsidRDefault="009E7EBB"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31740270" w14:textId="77777777" w:rsidR="009E7EBB" w:rsidRPr="00BA6F19" w:rsidRDefault="009E7EBB"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9E7EBB" w:rsidRPr="00BA6F19" w14:paraId="3F6B2C60" w14:textId="77777777" w:rsidTr="00995E56">
        <w:tc>
          <w:tcPr>
            <w:tcW w:w="5400" w:type="dxa"/>
          </w:tcPr>
          <w:p w14:paraId="5310323F" w14:textId="77777777" w:rsidR="009E7EBB" w:rsidRPr="00BA6F19" w:rsidRDefault="009E7EBB"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2F648C68" w14:textId="77777777" w:rsidR="009E7EBB" w:rsidRPr="00BA6F19" w:rsidRDefault="009E7EBB"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D923A5E" w14:textId="77777777" w:rsidR="009E7EBB" w:rsidRPr="00BA6F19" w:rsidRDefault="009E7EBB" w:rsidP="009E7EBB">
      <w:pPr>
        <w:shd w:val="clear" w:color="auto" w:fill="808080"/>
        <w:spacing w:before="120" w:after="240" w:line="240" w:lineRule="auto"/>
        <w:jc w:val="right"/>
        <w:rPr>
          <w:rFonts w:ascii="Calibri" w:eastAsia="Calibri" w:hAnsi="Calibri" w:cs="Arial"/>
          <w:sz w:val="16"/>
          <w:szCs w:val="16"/>
        </w:rPr>
      </w:pPr>
      <w:hyperlink w:anchor="TOC" w:tooltip="Índice" w:history="1">
        <w:r>
          <w:rPr>
            <w:rFonts w:ascii="Calibri" w:eastAsia="Calibri" w:hAnsi="Calibri" w:cs="Arial"/>
            <w:color w:val="0563C1"/>
            <w:sz w:val="16"/>
            <w:szCs w:val="16"/>
            <w:u w:val="single"/>
          </w:rPr>
          <w:t>Índice</w:t>
        </w:r>
      </w:hyperlink>
      <w:r>
        <w:rPr>
          <w:rFonts w:ascii="Calibri" w:eastAsia="Calibri" w:hAnsi="Calibri" w:cs="Arial"/>
          <w:sz w:val="16"/>
          <w:szCs w:val="16"/>
        </w:rPr>
        <w:t xml:space="preserve"> / </w:t>
      </w:r>
      <w:hyperlink w:anchor="Definições" w:tooltip="Definições" w:history="1">
        <w:r>
          <w:rPr>
            <w:rFonts w:ascii="Calibri" w:eastAsia="Calibri" w:hAnsi="Calibri" w:cs="Arial"/>
            <w:color w:val="0563C1"/>
            <w:sz w:val="16"/>
            <w:szCs w:val="16"/>
            <w:u w:val="single"/>
          </w:rPr>
          <w:t>Definições</w:t>
        </w:r>
      </w:hyperlink>
    </w:p>
    <w:p w14:paraId="054B0A8F" w14:textId="77777777" w:rsidR="00C25664" w:rsidRPr="002D026F" w:rsidRDefault="00C25664" w:rsidP="00C25664">
      <w:pPr>
        <w:pStyle w:val="ProductList-Offering2Heading"/>
        <w:tabs>
          <w:tab w:val="clear" w:pos="360"/>
          <w:tab w:val="clear" w:pos="720"/>
          <w:tab w:val="clear" w:pos="1080"/>
        </w:tabs>
        <w:outlineLvl w:val="2"/>
        <w:rPr>
          <w:rFonts w:ascii="Calibri Light" w:hAnsi="Calibri Light" w:cs="Calibri Light"/>
        </w:rPr>
      </w:pPr>
      <w:bookmarkStart w:id="174" w:name="_Toc239176437"/>
      <w:r>
        <w:rPr>
          <w:rFonts w:ascii="Calibri Light" w:hAnsi="Calibri Light" w:cs="Calibri Light"/>
        </w:rPr>
        <w:t>Cloud MSH do Azure</w:t>
      </w:r>
      <w:bookmarkEnd w:id="174"/>
    </w:p>
    <w:p w14:paraId="2AE0BBB5" w14:textId="77777777" w:rsidR="00C25664" w:rsidRPr="002D026F" w:rsidRDefault="00C25664" w:rsidP="00C25664">
      <w:pPr>
        <w:pStyle w:val="ProductList-Body"/>
        <w:rPr>
          <w:rFonts w:ascii="Calibri" w:hAnsi="Calibri" w:cs="Calibri"/>
          <w:b/>
          <w:bCs/>
          <w:color w:val="00188F"/>
        </w:rPr>
      </w:pPr>
      <w:r>
        <w:rPr>
          <w:rFonts w:ascii="Calibri" w:hAnsi="Calibri" w:cs="Calibri"/>
          <w:b/>
          <w:bCs/>
          <w:color w:val="00188F"/>
        </w:rPr>
        <w:t>Cálculo do Período de Disponibilidade e Níveis de Serviço para o Cloud MSH</w:t>
      </w:r>
    </w:p>
    <w:p w14:paraId="0A8DEB98" w14:textId="77777777" w:rsidR="00C25664" w:rsidRPr="002D026F" w:rsidRDefault="00C25664" w:rsidP="00C25664">
      <w:pPr>
        <w:pStyle w:val="ProductList-Body"/>
        <w:rPr>
          <w:rFonts w:ascii="Calibri" w:hAnsi="Calibri" w:cs="Calibri"/>
        </w:rPr>
      </w:pPr>
      <w:r>
        <w:rPr>
          <w:rFonts w:ascii="Calibri" w:hAnsi="Calibri" w:cs="Calibri"/>
        </w:rPr>
        <w:t>“</w:t>
      </w:r>
      <w:r>
        <w:rPr>
          <w:rFonts w:ascii="Calibri" w:hAnsi="Calibri" w:cs="Calibri"/>
          <w:b/>
          <w:bCs/>
          <w:color w:val="00188F"/>
        </w:rPr>
        <w:t>Minutos de Implementação</w:t>
      </w:r>
      <w:r>
        <w:rPr>
          <w:rFonts w:ascii="Calibri" w:hAnsi="Calibri" w:cs="Calibri"/>
        </w:rPr>
        <w:t xml:space="preserve">” designa o número total de minutos durante os quais um determinado Cloud MSH gerido foi implementada no Microsoft Azure durante um Período Aplicável. </w:t>
      </w:r>
    </w:p>
    <w:p w14:paraId="0193DBB9" w14:textId="77777777" w:rsidR="00C25664" w:rsidRPr="002D026F" w:rsidRDefault="00C25664" w:rsidP="00C25664">
      <w:pPr>
        <w:pStyle w:val="ProductList-Body"/>
        <w:rPr>
          <w:rFonts w:ascii="Calibri" w:hAnsi="Calibri" w:cs="Calibri"/>
        </w:rPr>
      </w:pPr>
      <w:r>
        <w:rPr>
          <w:rFonts w:ascii="Calibri" w:hAnsi="Calibri" w:cs="Calibri"/>
        </w:rPr>
        <w:t>“</w:t>
      </w:r>
      <w:r>
        <w:rPr>
          <w:rFonts w:ascii="Calibri" w:hAnsi="Calibri" w:cs="Calibri"/>
          <w:b/>
          <w:bCs/>
          <w:color w:val="00188F"/>
        </w:rPr>
        <w:t>Máximo de Minutos Disponíveis</w:t>
      </w:r>
      <w:r>
        <w:rPr>
          <w:rFonts w:ascii="Calibri" w:hAnsi="Calibri" w:cs="Calibri"/>
        </w:rPr>
        <w:t>” designa a soma de todos os Minutos de Implementação em todos os Cloud MSH implementados pelo Cliente numa determinada subscrição do Microsoft Azure durante um Período Aplicável.</w:t>
      </w:r>
    </w:p>
    <w:p w14:paraId="2060EFD9" w14:textId="77777777" w:rsidR="00C25664" w:rsidRPr="002D026F" w:rsidRDefault="00C25664" w:rsidP="00C25664">
      <w:pPr>
        <w:pStyle w:val="ProductList-Body"/>
        <w:rPr>
          <w:rFonts w:ascii="Calibri" w:hAnsi="Calibri" w:cs="Calibri"/>
        </w:rPr>
      </w:pPr>
      <w:r>
        <w:rPr>
          <w:rFonts w:ascii="Calibri" w:hAnsi="Calibri" w:cs="Calibri"/>
        </w:rPr>
        <w:t>“</w:t>
      </w:r>
      <w:r>
        <w:rPr>
          <w:rFonts w:ascii="Calibri" w:hAnsi="Calibri" w:cs="Calibri"/>
          <w:b/>
          <w:bCs/>
          <w:color w:val="00188F"/>
        </w:rPr>
        <w:t>Transações Excluídas</w:t>
      </w:r>
      <w:r>
        <w:rPr>
          <w:rFonts w:ascii="Calibri" w:hAnsi="Calibri" w:cs="Calibri"/>
        </w:rPr>
        <w:t>” são transações para criar, atualizar ou eliminar Cloud MSH geridos, chaves, atribuições de funções, definições de funções e transferência/carregamento do domínio de segurança.</w:t>
      </w:r>
    </w:p>
    <w:p w14:paraId="41DE0EAE" w14:textId="77777777" w:rsidR="00C25664" w:rsidRPr="002D026F" w:rsidRDefault="00C25664" w:rsidP="00C25664">
      <w:pPr>
        <w:pStyle w:val="ProductList-Body"/>
        <w:rPr>
          <w:rFonts w:ascii="Calibri" w:hAnsi="Calibri" w:cs="Calibri"/>
        </w:rPr>
      </w:pPr>
      <w:r>
        <w:rPr>
          <w:rFonts w:ascii="Calibri" w:hAnsi="Calibri" w:cs="Calibri"/>
        </w:rPr>
        <w:t>“</w:t>
      </w:r>
      <w:r>
        <w:rPr>
          <w:rFonts w:ascii="Calibri" w:hAnsi="Calibri" w:cs="Calibri"/>
          <w:b/>
          <w:bCs/>
          <w:color w:val="00188F"/>
        </w:rPr>
        <w:t>Período de Indisponibilidade</w:t>
      </w:r>
      <w:r>
        <w:rPr>
          <w:rFonts w:ascii="Calibri" w:hAnsi="Calibri" w:cs="Calibri"/>
        </w:rPr>
        <w:t>” designa o total de Minutos de Implementação acumulados, em todos os Cloud MSH geridos implementados pelo Cliente numa determinada subscrição do Microsoft Azure, durante a qual o Cloud MSH gerido está indisponível. Um minuto é considerado indisponível para um determinado Cloud MSH se todas as tentativas contínuas para executar transações, que não Transações Excluídas, no Cloud MSH durante esse minuto devolverem um Código de Erro ou não resultarem num Código de Êxito num prazo de 5 segundos após a receção do pedido por parte da Microsoft.</w:t>
      </w:r>
    </w:p>
    <w:p w14:paraId="7EE60D0D" w14:textId="77777777" w:rsidR="00C25664" w:rsidRPr="002D026F" w:rsidRDefault="00C25664" w:rsidP="00C25664">
      <w:pPr>
        <w:pStyle w:val="ProductList-Body"/>
        <w:rPr>
          <w:rFonts w:ascii="Calibri" w:hAnsi="Calibri" w:cs="Calibri"/>
        </w:rPr>
      </w:pPr>
      <w:r w:rsidRPr="00FD0218">
        <w:rPr>
          <w:rFonts w:ascii="Calibri" w:hAnsi="Calibri" w:cs="Calibri"/>
        </w:rPr>
        <w:t xml:space="preserve">A </w:t>
      </w:r>
      <w:r>
        <w:rPr>
          <w:rFonts w:ascii="Calibri" w:hAnsi="Calibri" w:cs="Calibri"/>
        </w:rPr>
        <w:t>“</w:t>
      </w:r>
      <w:r>
        <w:rPr>
          <w:rFonts w:ascii="Calibri" w:hAnsi="Calibri" w:cs="Calibri"/>
          <w:b/>
          <w:bCs/>
          <w:color w:val="00188F"/>
        </w:rPr>
        <w:t>Percentagem de Período de Disponibilidade</w:t>
      </w:r>
      <w:r>
        <w:rPr>
          <w:rFonts w:ascii="Calibri" w:hAnsi="Calibri" w:cs="Calibri"/>
        </w:rPr>
        <w:t>” para o Serviço Cloud MSH é calculada como o Máximo de Minutos Disponíveis menos o Período de Indisponibilidade a dividir pelo Máximo de Minutos Disponíveis num Período Aplicável para uma determinada subscrição do Microsoft Azure.</w:t>
      </w:r>
    </w:p>
    <w:p w14:paraId="5A8F9A2A" w14:textId="77777777" w:rsidR="00C25664" w:rsidRPr="002D026F" w:rsidRDefault="00C25664" w:rsidP="00C25664">
      <w:pPr>
        <w:pStyle w:val="ProductList-Body"/>
        <w:rPr>
          <w:rFonts w:ascii="Calibri" w:hAnsi="Calibri" w:cs="Calibri"/>
        </w:rPr>
      </w:pPr>
      <w:r>
        <w:rPr>
          <w:rFonts w:ascii="Calibri" w:hAnsi="Calibri" w:cs="Calibri"/>
        </w:rPr>
        <w:t>A Percentagem de Período de Disponibilidade é representada pela seguinte fórmula:</w:t>
      </w:r>
    </w:p>
    <w:p w14:paraId="521A3392" w14:textId="77777777" w:rsidR="00C25664" w:rsidRPr="001E28FB" w:rsidRDefault="00000000" w:rsidP="00C25664">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2393A9C" w14:textId="77777777" w:rsidR="00C25664" w:rsidRPr="002D026F" w:rsidRDefault="00C25664" w:rsidP="00C25664">
      <w:pPr>
        <w:pStyle w:val="ProductList-Body"/>
        <w:rPr>
          <w:rFonts w:ascii="Calibri" w:hAnsi="Calibri" w:cs="Calibri"/>
          <w:b/>
          <w:color w:val="00188F"/>
        </w:rPr>
      </w:pPr>
      <w:r>
        <w:rPr>
          <w:rFonts w:ascii="Calibri" w:hAnsi="Calibri" w:cs="Calibri"/>
          <w:b/>
          <w:color w:val="00188F"/>
        </w:rPr>
        <w:t>Os seguintes Níveis de Serviço e Créditos de Serviço são aplicáveis à utilização que o Cliente faz do Serviço Cloud MSH:</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5664" w:rsidRPr="00B44CF9" w14:paraId="454BE954" w14:textId="77777777" w:rsidTr="008367CC">
        <w:trPr>
          <w:tblHeader/>
        </w:trPr>
        <w:tc>
          <w:tcPr>
            <w:tcW w:w="5400" w:type="dxa"/>
            <w:shd w:val="clear" w:color="auto" w:fill="0072C6"/>
          </w:tcPr>
          <w:p w14:paraId="788A52F4" w14:textId="77777777" w:rsidR="00C25664" w:rsidRPr="002D026F" w:rsidRDefault="00C2566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6D9D4423" w14:textId="77777777" w:rsidR="00C25664" w:rsidRPr="002D026F" w:rsidRDefault="00C2566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C25664" w:rsidRPr="00B44CF9" w14:paraId="0A3FE221" w14:textId="77777777" w:rsidTr="008367CC">
        <w:trPr>
          <w:trHeight w:val="245"/>
        </w:trPr>
        <w:tc>
          <w:tcPr>
            <w:tcW w:w="5400" w:type="dxa"/>
          </w:tcPr>
          <w:p w14:paraId="0C4303AD" w14:textId="77777777" w:rsidR="00C25664" w:rsidRPr="002D026F" w:rsidRDefault="00C25664"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01F0B441" w14:textId="77777777" w:rsidR="00C25664" w:rsidRPr="002D026F" w:rsidRDefault="00C25664" w:rsidP="008367CC">
            <w:pPr>
              <w:pStyle w:val="ProductList-OfferingBody"/>
              <w:jc w:val="center"/>
              <w:rPr>
                <w:rFonts w:ascii="Calibri" w:hAnsi="Calibri" w:cs="Calibri"/>
                <w:szCs w:val="16"/>
              </w:rPr>
            </w:pPr>
            <w:r>
              <w:rPr>
                <w:rFonts w:ascii="Calibri" w:hAnsi="Calibri" w:cs="Calibri"/>
                <w:szCs w:val="16"/>
              </w:rPr>
              <w:t>10%</w:t>
            </w:r>
          </w:p>
        </w:tc>
      </w:tr>
      <w:tr w:rsidR="00C25664" w:rsidRPr="00B44CF9" w14:paraId="5F2BFC9D" w14:textId="77777777" w:rsidTr="008367CC">
        <w:trPr>
          <w:trHeight w:val="245"/>
        </w:trPr>
        <w:tc>
          <w:tcPr>
            <w:tcW w:w="5400" w:type="dxa"/>
          </w:tcPr>
          <w:p w14:paraId="4FD2CE87" w14:textId="77777777" w:rsidR="00C25664" w:rsidRPr="002D026F" w:rsidRDefault="00C25664"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6549E6E6" w14:textId="77777777" w:rsidR="00C25664" w:rsidRPr="002D026F" w:rsidRDefault="00C25664" w:rsidP="008367CC">
            <w:pPr>
              <w:pStyle w:val="ProductList-OfferingBody"/>
              <w:jc w:val="center"/>
              <w:rPr>
                <w:rFonts w:ascii="Calibri" w:hAnsi="Calibri" w:cs="Calibri"/>
                <w:szCs w:val="16"/>
              </w:rPr>
            </w:pPr>
            <w:r>
              <w:rPr>
                <w:rFonts w:ascii="Calibri" w:hAnsi="Calibri" w:cs="Calibri"/>
                <w:szCs w:val="16"/>
              </w:rPr>
              <w:t>25%</w:t>
            </w:r>
          </w:p>
        </w:tc>
      </w:tr>
    </w:tbl>
    <w:p w14:paraId="60962DF6" w14:textId="77777777" w:rsidR="005D3916" w:rsidRPr="00EF7CF9" w:rsidRDefault="005D3916" w:rsidP="005D39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91B251F" w14:textId="5DC8C0AA" w:rsidR="00FA4844" w:rsidRPr="00EF7CF9" w:rsidRDefault="00FA4844" w:rsidP="00F01ED6">
      <w:pPr>
        <w:pStyle w:val="ProductList-Offering2Heading"/>
        <w:keepNext/>
        <w:tabs>
          <w:tab w:val="clear" w:pos="360"/>
          <w:tab w:val="clear" w:pos="720"/>
          <w:tab w:val="clear" w:pos="1080"/>
        </w:tabs>
        <w:outlineLvl w:val="2"/>
      </w:pPr>
      <w:bookmarkStart w:id="175" w:name="_Toc239176438"/>
      <w:r>
        <w:t>Serviços em Nuvem</w:t>
      </w:r>
      <w:bookmarkEnd w:id="167"/>
      <w:bookmarkEnd w:id="175"/>
    </w:p>
    <w:p w14:paraId="616BD5A6" w14:textId="77777777" w:rsidR="00FA4844" w:rsidRPr="00EF7CF9" w:rsidRDefault="00FA4844" w:rsidP="00F01ED6">
      <w:pPr>
        <w:pStyle w:val="ProductList-Body"/>
        <w:rPr>
          <w:b/>
          <w:color w:val="00188F"/>
        </w:rPr>
      </w:pPr>
      <w:r>
        <w:rPr>
          <w:b/>
          <w:color w:val="00188F"/>
        </w:rPr>
        <w:t>Definições Adicionais</w:t>
      </w:r>
      <w:r w:rsidRPr="00473DD3">
        <w:rPr>
          <w:b/>
          <w:color w:val="00188F"/>
        </w:rPr>
        <w:t>:</w:t>
      </w:r>
    </w:p>
    <w:p w14:paraId="00F034C6" w14:textId="1EE95FF0" w:rsidR="00FA4844" w:rsidRPr="00EF7CF9" w:rsidRDefault="00380305" w:rsidP="00F01ED6">
      <w:pPr>
        <w:pStyle w:val="ProductList-Body"/>
      </w:pPr>
      <w:r>
        <w:t>“</w:t>
      </w:r>
      <w:r w:rsidR="00FA4844">
        <w:rPr>
          <w:b/>
          <w:color w:val="00188F"/>
        </w:rPr>
        <w:t>Serviços em Nuvem</w:t>
      </w:r>
      <w:r>
        <w:t>”</w:t>
      </w:r>
      <w:r w:rsidR="00FA4844">
        <w:t xml:space="preserve"> designa um conjunto de recursos informáticos utilizados para Funções de Trabalho e Web.</w:t>
      </w:r>
    </w:p>
    <w:p w14:paraId="1A253FE3" w14:textId="222D50A9" w:rsidR="00FA4844" w:rsidRPr="003D7974" w:rsidRDefault="00380305" w:rsidP="00F01ED6">
      <w:pPr>
        <w:pStyle w:val="ProductList-Body"/>
        <w:rPr>
          <w:spacing w:val="-2"/>
        </w:rPr>
      </w:pPr>
      <w:r>
        <w:rPr>
          <w:spacing w:val="-2"/>
        </w:rPr>
        <w:t>“</w:t>
      </w:r>
      <w:r w:rsidR="00FA4844" w:rsidRPr="003D7974">
        <w:rPr>
          <w:b/>
          <w:color w:val="00188F"/>
          <w:spacing w:val="-2"/>
        </w:rPr>
        <w:t>Conectividade da Instância da Função</w:t>
      </w:r>
      <w:r>
        <w:rPr>
          <w:spacing w:val="-2"/>
        </w:rPr>
        <w:t>”</w:t>
      </w:r>
      <w:r w:rsidR="00FA4844" w:rsidRPr="003D7974">
        <w:rPr>
          <w:spacing w:val="-2"/>
        </w:rPr>
        <w:t xml:space="preserve"> designa o tráfego de rede bidirecional entre a instância da função e os outros endereços IP que utilizam os protocolos de rede TCP ou UDP, em que a instância da função está configurada para o tráfego permitido. Os endereços IP podem ser endereços IP no mesmo Serviço em Nuvem que a máquina virtual, endereços IP na mesma rede virtual que a máquina virtual ou endereços IP encaminháveis públicos.</w:t>
      </w:r>
    </w:p>
    <w:p w14:paraId="2210A489" w14:textId="7AAD6FB9" w:rsidR="00FA4844" w:rsidRPr="00EF7CF9" w:rsidRDefault="00380305" w:rsidP="00F01ED6">
      <w:pPr>
        <w:pStyle w:val="ProductList-Body"/>
      </w:pPr>
      <w:r>
        <w:t>“</w:t>
      </w:r>
      <w:r w:rsidR="00FA4844">
        <w:rPr>
          <w:b/>
          <w:color w:val="00188F"/>
        </w:rPr>
        <w:t>Inquilino</w:t>
      </w:r>
      <w:r>
        <w:t>”</w:t>
      </w:r>
      <w:r w:rsidR="00FA4844">
        <w:t xml:space="preserve"> representa uma ou mais funções que são compostas cada uma por uma ou mais instâncias de função que são implementadas num único pacote.</w:t>
      </w:r>
    </w:p>
    <w:p w14:paraId="7384DC2B" w14:textId="5C290F27" w:rsidR="00FA4844" w:rsidRPr="003D7974" w:rsidRDefault="00380305" w:rsidP="00F01ED6">
      <w:pPr>
        <w:pStyle w:val="ProductList-Body"/>
        <w:rPr>
          <w:spacing w:val="-3"/>
        </w:rPr>
      </w:pPr>
      <w:r>
        <w:rPr>
          <w:spacing w:val="-3"/>
        </w:rPr>
        <w:t>“</w:t>
      </w:r>
      <w:r w:rsidR="00FA4844" w:rsidRPr="003D7974">
        <w:rPr>
          <w:b/>
          <w:color w:val="00188F"/>
          <w:spacing w:val="-3"/>
        </w:rPr>
        <w:t>Domínio de Atualização</w:t>
      </w:r>
      <w:r>
        <w:rPr>
          <w:spacing w:val="-3"/>
        </w:rPr>
        <w:t>”</w:t>
      </w:r>
      <w:r w:rsidR="00FA4844" w:rsidRPr="003D7974">
        <w:rPr>
          <w:spacing w:val="-3"/>
        </w:rPr>
        <w:t xml:space="preserve"> designa um conjunto de instâncias do Microsoft Azure às quais as atualizações de plataforma são aplicadas simultaneamente.</w:t>
      </w:r>
    </w:p>
    <w:p w14:paraId="4AFF4F40" w14:textId="2D3BC7F1" w:rsidR="00FA4844" w:rsidRPr="00EF7CF9" w:rsidRDefault="00380305" w:rsidP="00F01ED6">
      <w:pPr>
        <w:pStyle w:val="ProductList-Body"/>
      </w:pPr>
      <w:r>
        <w:t>“</w:t>
      </w:r>
      <w:r w:rsidR="00FA4844">
        <w:rPr>
          <w:b/>
          <w:color w:val="00188F"/>
        </w:rPr>
        <w:t>Função Web</w:t>
      </w:r>
      <w:r>
        <w:t>”</w:t>
      </w:r>
      <w:r w:rsidR="00FA4844">
        <w:t xml:space="preserve"> é um componente dos Serviços em Nuvem em execução no ambiente de execução do Azure que é personalizado para a</w:t>
      </w:r>
      <w:r w:rsidR="003D7974">
        <w:t> </w:t>
      </w:r>
      <w:r w:rsidR="00FA4844">
        <w:t>programação de aplicações Web tal como suportado pelo IIS e ASP.NET.</w:t>
      </w:r>
    </w:p>
    <w:p w14:paraId="3F902297" w14:textId="2DAC0A52" w:rsidR="00FA4844" w:rsidRPr="00EF7CF9" w:rsidRDefault="00380305" w:rsidP="00F01ED6">
      <w:pPr>
        <w:pStyle w:val="ProductList-Body"/>
      </w:pPr>
      <w:r>
        <w:t>“</w:t>
      </w:r>
      <w:r w:rsidR="00FA4844">
        <w:rPr>
          <w:b/>
          <w:color w:val="00188F"/>
        </w:rPr>
        <w:t>Função de Trabalho</w:t>
      </w:r>
      <w:r>
        <w:t>”</w:t>
      </w:r>
      <w:r w:rsidR="00FA4844">
        <w:rPr>
          <w:b/>
          <w:color w:val="00188F"/>
        </w:rPr>
        <w:t xml:space="preserve"> </w:t>
      </w:r>
      <w:r w:rsidR="00FA4844">
        <w:t>é um componente dos Serviços em Nuvem em execução no ambiente de execução do Azure que é útil para o</w:t>
      </w:r>
      <w:r w:rsidR="003D7974">
        <w:t> </w:t>
      </w:r>
      <w:r w:rsidR="00FA4844">
        <w:t>desenvolvimento generalizado e pode executar um processamento de fundo para uma Função Web.</w:t>
      </w:r>
    </w:p>
    <w:p w14:paraId="6B4E981E" w14:textId="4AAE9CA8" w:rsidR="00FA4844" w:rsidRPr="00ED4527" w:rsidRDefault="00EE6E3C" w:rsidP="00F01ED6">
      <w:pPr>
        <w:pStyle w:val="ProductList-Body"/>
        <w:spacing w:before="120"/>
        <w:rPr>
          <w:b/>
          <w:bCs/>
          <w:color w:val="00188F"/>
        </w:rPr>
      </w:pPr>
      <w:r>
        <w:rPr>
          <w:b/>
          <w:bCs/>
          <w:color w:val="00188F"/>
        </w:rPr>
        <w:t>Cálculo do Período de Disponibilidade e Níveis de Serviço para os Serviços em Nuvem</w:t>
      </w:r>
    </w:p>
    <w:p w14:paraId="412EA3FF" w14:textId="4F2CA56F" w:rsidR="00FA4844" w:rsidRPr="00EF7CF9" w:rsidRDefault="00380305" w:rsidP="00F01ED6">
      <w:pPr>
        <w:pStyle w:val="ProductList-Body"/>
      </w:pPr>
      <w:r>
        <w:t>“</w:t>
      </w:r>
      <w:r w:rsidR="00FA4844">
        <w:rPr>
          <w:b/>
          <w:color w:val="00188F"/>
        </w:rPr>
        <w:t>Máximo de Minutos Disponíveis</w:t>
      </w:r>
      <w:r>
        <w:t>”</w:t>
      </w:r>
      <w:r w:rsidR="00FA4844">
        <w:t xml:space="preserve"> é o total de minutos acumulados durante um Período Aplicável para todas as funções com interface para a</w:t>
      </w:r>
      <w:r w:rsidR="00003FD2">
        <w:t> </w:t>
      </w:r>
      <w:r w:rsidR="00FA4844">
        <w:t>Internet que tenham duas ou mais instâncias implementadas em diferentes Domínios de Atualização. O Máximo de Minutos Disponíveis é</w:t>
      </w:r>
      <w:r w:rsidR="00003FD2">
        <w:t> </w:t>
      </w:r>
      <w:r w:rsidR="00FA4844">
        <w:t>calculado a partir do momento em que o Inquilino foi implementado e as respetivas funções associadas foram iniciadas como resultado da ação</w:t>
      </w:r>
      <w:r w:rsidR="00003FD2">
        <w:t> </w:t>
      </w:r>
      <w:r w:rsidR="00FA4844">
        <w:t>iniciada pelo Cliente até ao momento em que o Cliente iniciou uma ação que resultaria na interrupção ou eliminação do Inquilino.</w:t>
      </w:r>
    </w:p>
    <w:p w14:paraId="35563319" w14:textId="77777777" w:rsidR="00FA4844" w:rsidRPr="00EF7CF9" w:rsidRDefault="00FA4844" w:rsidP="00F01ED6">
      <w:pPr>
        <w:pStyle w:val="ProductList-Body"/>
      </w:pPr>
      <w:r>
        <w:rPr>
          <w:b/>
          <w:color w:val="00188F"/>
        </w:rPr>
        <w:t>Período de Indisponibilidade</w:t>
      </w:r>
      <w:r w:rsidRPr="00473DD3">
        <w:rPr>
          <w:b/>
          <w:color w:val="00188F"/>
        </w:rPr>
        <w:t>:</w:t>
      </w:r>
      <w:r>
        <w:t xml:space="preserve"> O total de minutos acumulados que fazem parte do Máximo de Minutos Disponíveis sem Conectividade da Instância da Função.</w:t>
      </w:r>
    </w:p>
    <w:p w14:paraId="46F3082B" w14:textId="3E1C36D7" w:rsidR="00FA4844" w:rsidRPr="00EF7CF9" w:rsidRDefault="00AC48A7" w:rsidP="00F01ED6">
      <w:pPr>
        <w:pStyle w:val="ProductList-Body"/>
      </w:pPr>
      <w:r>
        <w:rPr>
          <w:b/>
          <w:color w:val="00188F"/>
        </w:rPr>
        <w:lastRenderedPageBreak/>
        <w:t>Percentagem de Período de Disponibilidade</w:t>
      </w:r>
      <w:r w:rsidRPr="00473DD3">
        <w:rPr>
          <w:b/>
          <w:color w:val="00188F"/>
        </w:rPr>
        <w:t>:</w:t>
      </w:r>
      <w:r>
        <w:t xml:space="preserve"> A Percentagem de Período de Disponibilidade é representada pela seguinte fórmula:</w:t>
      </w:r>
    </w:p>
    <w:p w14:paraId="692CB9D4" w14:textId="3F0D6016" w:rsidR="00FA4844" w:rsidRPr="00EF7CF9" w:rsidRDefault="003D7974" w:rsidP="00A53646">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t>
          </m:r>
          <m:r>
            <m:rPr>
              <m:nor/>
            </m:rPr>
            <w:rPr>
              <w:rFonts w:ascii="Cambria Math" w:hAnsi="Cambria Math" w:cs="Tahoma"/>
              <w:i/>
              <w:iCs/>
              <w:sz w:val="18"/>
              <w:szCs w:val="18"/>
            </w:rPr>
            <m:t>de Período de Disponibilidade Mensal</m:t>
          </m:r>
          <m:r>
            <w:rPr>
              <w:rFonts w:ascii="Cambria Math" w:hAnsi="Cambria Math" w:cs="Tahoma"/>
              <w:sz w:val="18"/>
              <w:szCs w:val="18"/>
            </w:rPr>
            <m:t xml:space="preserve">= </m:t>
          </m:r>
          <m:f>
            <m:fPr>
              <m:ctrlPr>
                <w:rPr>
                  <w:rFonts w:ascii="Cambria Math" w:hAnsi="Cambria Math" w:cs="Tahoma"/>
                  <w:i/>
                  <w:sz w:val="18"/>
                  <w:szCs w:val="18"/>
                </w:rPr>
              </m:ctrlPr>
            </m:fPr>
            <m:num>
              <m:r>
                <m:rPr>
                  <m:nor/>
                </m:rPr>
                <w:rPr>
                  <w:rFonts w:ascii="Cambria Math" w:hAnsi="Cambria Math" w:cs="Tahoma"/>
                  <w:i/>
                  <w:sz w:val="18"/>
                  <w:szCs w:val="18"/>
                </w:rPr>
                <m:t>(Máximo de Minutos Disponíveis-Período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73E1EAEE" w14:textId="77777777" w:rsidR="00FA4844" w:rsidRPr="00EF7CF9" w:rsidRDefault="00FA4844"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FA8F94D" w14:textId="77777777" w:rsidR="00FA4844" w:rsidRPr="00EF7CF9" w:rsidRDefault="00FA4844" w:rsidP="00F01ED6">
            <w:pPr>
              <w:pStyle w:val="ProductList-OfferingBody"/>
              <w:jc w:val="center"/>
              <w:rPr>
                <w:color w:val="FFFFFF" w:themeColor="background1"/>
              </w:rPr>
            </w:pPr>
            <w:r>
              <w:rPr>
                <w:color w:val="FFFFFF" w:themeColor="background1"/>
              </w:rPr>
              <w:t>Crédito de Serviço</w:t>
            </w:r>
          </w:p>
        </w:tc>
      </w:tr>
      <w:tr w:rsidR="00FA4844" w:rsidRPr="00B44CF9" w14:paraId="300286F2" w14:textId="77777777" w:rsidTr="00277097">
        <w:tc>
          <w:tcPr>
            <w:tcW w:w="5400" w:type="dxa"/>
          </w:tcPr>
          <w:p w14:paraId="5EDF52EC" w14:textId="77777777" w:rsidR="00FA4844" w:rsidRPr="00EF7CF9" w:rsidRDefault="00FA4844" w:rsidP="00F01ED6">
            <w:pPr>
              <w:pStyle w:val="ProductList-OfferingBody"/>
              <w:jc w:val="center"/>
            </w:pPr>
            <w:r>
              <w:t>&lt; 99,95%</w:t>
            </w:r>
          </w:p>
        </w:tc>
        <w:tc>
          <w:tcPr>
            <w:tcW w:w="5400" w:type="dxa"/>
          </w:tcPr>
          <w:p w14:paraId="387D0A57" w14:textId="77777777" w:rsidR="00FA4844" w:rsidRPr="00EF7CF9" w:rsidRDefault="00FA4844" w:rsidP="00F01ED6">
            <w:pPr>
              <w:pStyle w:val="ProductList-OfferingBody"/>
              <w:jc w:val="center"/>
            </w:pPr>
            <w:r>
              <w:t>10%</w:t>
            </w:r>
          </w:p>
        </w:tc>
      </w:tr>
      <w:tr w:rsidR="00FA4844" w:rsidRPr="00B44CF9" w14:paraId="55672AF5" w14:textId="77777777" w:rsidTr="00277097">
        <w:tc>
          <w:tcPr>
            <w:tcW w:w="5400" w:type="dxa"/>
          </w:tcPr>
          <w:p w14:paraId="6BFFB57F" w14:textId="77777777" w:rsidR="00FA4844" w:rsidRPr="00EF7CF9" w:rsidRDefault="00FA4844" w:rsidP="00F01ED6">
            <w:pPr>
              <w:pStyle w:val="ProductList-OfferingBody"/>
              <w:keepNext/>
              <w:jc w:val="center"/>
            </w:pPr>
            <w:r>
              <w:t>&lt; 99%</w:t>
            </w:r>
          </w:p>
        </w:tc>
        <w:tc>
          <w:tcPr>
            <w:tcW w:w="5400" w:type="dxa"/>
          </w:tcPr>
          <w:p w14:paraId="4BE2C332" w14:textId="77777777" w:rsidR="00FA4844" w:rsidRPr="00EF7CF9" w:rsidRDefault="00FA4844" w:rsidP="00F01ED6">
            <w:pPr>
              <w:pStyle w:val="ProductList-OfferingBody"/>
              <w:jc w:val="center"/>
            </w:pPr>
            <w:r>
              <w:t>25%</w:t>
            </w:r>
          </w:p>
        </w:tc>
      </w:tr>
    </w:tbl>
    <w:bookmarkStart w:id="176" w:name="_Toc52348980"/>
    <w:p w14:paraId="288F2219"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48AE841E" w14:textId="46056045" w:rsidR="00014752" w:rsidRPr="00EF7CF9" w:rsidRDefault="00014752" w:rsidP="00F01ED6">
      <w:pPr>
        <w:pStyle w:val="ProductList-Offering2Heading"/>
        <w:keepNext/>
        <w:tabs>
          <w:tab w:val="clear" w:pos="360"/>
          <w:tab w:val="clear" w:pos="720"/>
          <w:tab w:val="clear" w:pos="1080"/>
        </w:tabs>
        <w:outlineLvl w:val="2"/>
      </w:pPr>
      <w:bookmarkStart w:id="177" w:name="_Toc239176439"/>
      <w:r>
        <w:t xml:space="preserve">Azure </w:t>
      </w:r>
      <w:r w:rsidR="009E7EBB">
        <w:t>AI</w:t>
      </w:r>
      <w:r>
        <w:t xml:space="preserve"> Search</w:t>
      </w:r>
      <w:bookmarkEnd w:id="176"/>
      <w:bookmarkEnd w:id="177"/>
    </w:p>
    <w:p w14:paraId="6A0F4491" w14:textId="77777777" w:rsidR="00014752" w:rsidRPr="00EF7CF9" w:rsidRDefault="00014752" w:rsidP="00F01ED6">
      <w:pPr>
        <w:pStyle w:val="ProductList-Body"/>
      </w:pPr>
      <w:r>
        <w:rPr>
          <w:b/>
          <w:color w:val="00188F"/>
        </w:rPr>
        <w:t>Definições Adicionais</w:t>
      </w:r>
      <w:r w:rsidRPr="00473DD3">
        <w:rPr>
          <w:b/>
          <w:color w:val="00188F"/>
        </w:rPr>
        <w:t>:</w:t>
      </w:r>
    </w:p>
    <w:p w14:paraId="5CE35F32" w14:textId="77777777" w:rsidR="00D7240E" w:rsidRPr="00D47D14" w:rsidRDefault="00D7240E" w:rsidP="00D7240E">
      <w:pPr>
        <w:pStyle w:val="ProductList-Body"/>
        <w:rPr>
          <w:rFonts w:ascii="Calibri" w:hAnsi="Calibri" w:cs="Calibri"/>
        </w:rPr>
      </w:pPr>
      <w:r w:rsidRPr="00D47D14">
        <w:rPr>
          <w:rFonts w:ascii="Calibri" w:hAnsi="Calibri" w:cs="Calibri"/>
        </w:rPr>
        <w:t>A “</w:t>
      </w:r>
      <w:r w:rsidRPr="00D47D14">
        <w:rPr>
          <w:rFonts w:ascii="Calibri" w:hAnsi="Calibri" w:cs="Calibri"/>
          <w:b/>
          <w:color w:val="00188F"/>
        </w:rPr>
        <w:t>Taxa Média de Erros</w:t>
      </w:r>
      <w:r w:rsidRPr="00D47D14">
        <w:rPr>
          <w:rFonts w:ascii="Calibri" w:hAnsi="Calibri" w:cs="Calibri"/>
        </w:rPr>
        <w:t>” para um Período Aplicável designa a soma das Taxas de Erros para cada hora no Período Aplicável a dividir pelo número total de horas no Período Aplicável.</w:t>
      </w:r>
    </w:p>
    <w:p w14:paraId="19C7D742" w14:textId="77777777" w:rsidR="00D7240E" w:rsidRPr="00D47D14" w:rsidRDefault="00D7240E" w:rsidP="00D7240E">
      <w:pPr>
        <w:pStyle w:val="ProductList-Body"/>
        <w:rPr>
          <w:rFonts w:ascii="Calibri" w:hAnsi="Calibri" w:cs="Calibri"/>
        </w:rPr>
      </w:pPr>
      <w:r w:rsidRPr="00D47D14">
        <w:rPr>
          <w:rFonts w:ascii="Calibri" w:hAnsi="Calibri" w:cs="Calibri"/>
        </w:rPr>
        <w:t>“</w:t>
      </w:r>
      <w:r w:rsidRPr="00D47D14">
        <w:rPr>
          <w:rFonts w:ascii="Calibri" w:hAnsi="Calibri" w:cs="Calibri"/>
          <w:b/>
          <w:color w:val="00188F"/>
        </w:rPr>
        <w:t>Taxa de Erros</w:t>
      </w:r>
      <w:r w:rsidRPr="00D47D14">
        <w:rPr>
          <w:rFonts w:ascii="Calibri" w:hAnsi="Calibri" w:cs="Calibri"/>
        </w:rPr>
        <w:t>” designa o número total de Pedidos com Falha dividido pelo Total de Pedidos, para um Serviço de Pesquisa, durante um determinado intervalo de uma hora. Se o Total de Pedidos num intervalo de uma hora for zero, o Total de Erros para esse intervalo é 0%.</w:t>
      </w:r>
    </w:p>
    <w:p w14:paraId="2299CD81" w14:textId="77777777" w:rsidR="00D7240E" w:rsidRPr="00D47D14" w:rsidRDefault="00D7240E" w:rsidP="00D7240E">
      <w:pPr>
        <w:pStyle w:val="ProductList-Body"/>
        <w:rPr>
          <w:rFonts w:ascii="Calibri" w:hAnsi="Calibri" w:cs="Calibri"/>
        </w:rPr>
      </w:pPr>
      <w:r w:rsidRPr="00D47D14">
        <w:rPr>
          <w:rFonts w:ascii="Calibri" w:hAnsi="Calibri" w:cs="Calibri"/>
        </w:rPr>
        <w:t>“</w:t>
      </w:r>
      <w:r w:rsidRPr="00D47D14">
        <w:rPr>
          <w:rFonts w:ascii="Calibri" w:hAnsi="Calibri" w:cs="Calibri"/>
          <w:b/>
          <w:color w:val="00188F"/>
        </w:rPr>
        <w:t>Pedidos Excluídos</w:t>
      </w:r>
      <w:r w:rsidRPr="00D47D14">
        <w:rPr>
          <w:rFonts w:ascii="Calibri" w:hAnsi="Calibri" w:cs="Calibri"/>
        </w:rPr>
        <w:t>” são todos os pedidos limitados devido por se terem esgotado os recursos atribuídos a uma Instância do Serviço de Pesquisa, consoante indicado por um código de estado HTTP 503 e um cabeçalho de resposta a indicar que o pedido foi limitado.</w:t>
      </w:r>
    </w:p>
    <w:p w14:paraId="016D8F21" w14:textId="77777777" w:rsidR="00D7240E" w:rsidRPr="00D47D14" w:rsidRDefault="00D7240E" w:rsidP="00D7240E">
      <w:pPr>
        <w:pStyle w:val="ProductList-Body"/>
        <w:rPr>
          <w:rFonts w:ascii="Calibri" w:hAnsi="Calibri" w:cs="Calibri"/>
        </w:rPr>
      </w:pPr>
      <w:r w:rsidRPr="00D47D14">
        <w:rPr>
          <w:rFonts w:ascii="Calibri" w:hAnsi="Calibri" w:cs="Calibri"/>
        </w:rPr>
        <w:t>“</w:t>
      </w:r>
      <w:r w:rsidRPr="00D47D14">
        <w:rPr>
          <w:rFonts w:ascii="Calibri" w:hAnsi="Calibri" w:cs="Calibri"/>
          <w:b/>
          <w:color w:val="00188F"/>
        </w:rPr>
        <w:t>Pedidos com Falha</w:t>
      </w:r>
      <w:r w:rsidRPr="00D47D14">
        <w:rPr>
          <w:rFonts w:ascii="Calibri" w:hAnsi="Calibri" w:cs="Calibri"/>
        </w:rPr>
        <w:t>” é o conjunto de todos os pedidos no Total de Pedidos que não devolveram um Código de Êxito ou uma resposta HTTP 4xx.</w:t>
      </w:r>
    </w:p>
    <w:p w14:paraId="6318A07B" w14:textId="77777777" w:rsidR="00D7240E" w:rsidRPr="00D47D14" w:rsidRDefault="00D7240E" w:rsidP="00D7240E">
      <w:pPr>
        <w:pStyle w:val="ProductList-Body"/>
        <w:rPr>
          <w:rFonts w:ascii="Calibri" w:hAnsi="Calibri" w:cs="Calibri"/>
        </w:rPr>
      </w:pPr>
      <w:r w:rsidRPr="00D47D14">
        <w:rPr>
          <w:rFonts w:ascii="Calibri" w:hAnsi="Calibri" w:cs="Calibri"/>
        </w:rPr>
        <w:t>“</w:t>
      </w:r>
      <w:r w:rsidRPr="00D47D14">
        <w:rPr>
          <w:rFonts w:ascii="Calibri" w:hAnsi="Calibri" w:cs="Calibri"/>
          <w:b/>
          <w:color w:val="00188F"/>
        </w:rPr>
        <w:t>Réplica</w:t>
      </w:r>
      <w:r w:rsidRPr="00D47D14">
        <w:rPr>
          <w:rFonts w:ascii="Calibri" w:hAnsi="Calibri" w:cs="Calibri"/>
        </w:rPr>
        <w:t>” é uma cópia de um índice de pesquisa numa Instância do Serviço de Pesquisa.</w:t>
      </w:r>
    </w:p>
    <w:p w14:paraId="42D17111" w14:textId="77777777" w:rsidR="00D7240E" w:rsidRPr="00D47D14" w:rsidRDefault="00D7240E" w:rsidP="00D7240E">
      <w:pPr>
        <w:pStyle w:val="ProductList-Body"/>
        <w:rPr>
          <w:rFonts w:ascii="Calibri" w:hAnsi="Calibri" w:cs="Calibri"/>
        </w:rPr>
      </w:pPr>
      <w:r w:rsidRPr="00D47D14">
        <w:rPr>
          <w:rFonts w:ascii="Calibri" w:hAnsi="Calibri" w:cs="Calibri"/>
        </w:rPr>
        <w:t>“</w:t>
      </w:r>
      <w:r w:rsidRPr="00D47D14">
        <w:rPr>
          <w:rFonts w:ascii="Calibri" w:hAnsi="Calibri" w:cs="Calibri"/>
          <w:b/>
          <w:color w:val="00188F"/>
        </w:rPr>
        <w:t>Instância do Serviço de Pesquisa</w:t>
      </w:r>
      <w:r w:rsidRPr="00D47D14">
        <w:rPr>
          <w:rFonts w:ascii="Calibri" w:hAnsi="Calibri" w:cs="Calibri"/>
        </w:rPr>
        <w:t>” é uma instância do serviço de Pesquisa do Azure que contém um ou mais índices de pesquisa.</w:t>
      </w:r>
    </w:p>
    <w:p w14:paraId="77EB6B12" w14:textId="77777777" w:rsidR="00D7240E" w:rsidRPr="00D47D14" w:rsidRDefault="00D7240E" w:rsidP="00D7240E">
      <w:pPr>
        <w:pStyle w:val="ProductList-Body"/>
        <w:rPr>
          <w:rFonts w:ascii="Calibri" w:hAnsi="Calibri" w:cs="Calibri"/>
        </w:rPr>
      </w:pPr>
      <w:r w:rsidRPr="00D47D14">
        <w:rPr>
          <w:rFonts w:ascii="Calibri" w:hAnsi="Calibri" w:cs="Calibri"/>
        </w:rPr>
        <w:t>“</w:t>
      </w:r>
      <w:r w:rsidRPr="00D47D14">
        <w:rPr>
          <w:rFonts w:ascii="Calibri" w:hAnsi="Calibri" w:cs="Calibri"/>
          <w:b/>
          <w:color w:val="00188F"/>
        </w:rPr>
        <w:t>Total de Pedidos</w:t>
      </w:r>
      <w:r w:rsidRPr="00D47D14">
        <w:rPr>
          <w:rFonts w:ascii="Calibri" w:hAnsi="Calibri" w:cs="Calibri"/>
        </w:rPr>
        <w:t>” é o conjunto de (i) todos os pedidos para atualizar uma Instância do Serviço de Pesquisa com três ou mais Réplicas, mais (ii) todos os pedidos de consulta de uma Instância do Serviço de Pesquisa com duas ou mais Réplicas, que não os Pedidos Excluídos, no intervalo de uma hora numa determinada subscrição do Azure durante um Período Aplicável.</w:t>
      </w:r>
    </w:p>
    <w:p w14:paraId="376FF54B" w14:textId="29E324F0" w:rsidR="00014752" w:rsidRDefault="00AC48A7" w:rsidP="00F01ED6">
      <w:pPr>
        <w:pStyle w:val="ProductList-Body"/>
        <w:keepNext/>
        <w:keepLines/>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D3715DD" w14:textId="4B47E133" w:rsidR="00014752" w:rsidRPr="008216E6" w:rsidRDefault="003D7974" w:rsidP="00D7240E">
      <w:pPr>
        <w:keepNext/>
        <w:keepLines/>
        <w:spacing w:before="120" w:after="120" w:line="240" w:lineRule="auto"/>
        <w:rPr>
          <w:rFonts w:ascii="Cambria Math" w:hAnsi="Cambria Math" w:cs="Tahoma"/>
          <w:i/>
          <w:iCs/>
          <w:color w:val="000000" w:themeColor="text1"/>
          <w:sz w:val="18"/>
          <w:szCs w:val="18"/>
        </w:rPr>
      </w:pPr>
      <m:oMathPara>
        <m:oMath>
          <m:r>
            <w:rPr>
              <w:rFonts w:ascii="Cambria Math" w:hAnsi="Cambria Math" w:cs="Tahoma"/>
              <w:color w:val="000000" w:themeColor="text1"/>
              <w:sz w:val="18"/>
              <w:szCs w:val="18"/>
            </w:rPr>
            <m:t>100% -</m:t>
          </m:r>
          <m:r>
            <m:rPr>
              <m:nor/>
            </m:rPr>
            <w:rPr>
              <w:rFonts w:ascii="Cambria Math" w:hAnsi="Cambria Math" w:cs="Tahoma"/>
              <w:i/>
              <w:iCs/>
              <w:color w:val="000000" w:themeColor="text1"/>
              <w:sz w:val="18"/>
              <w:szCs w:val="18"/>
            </w:rPr>
            <m:t xml:space="preserve"> Taxa Média de Erros</m:t>
          </m:r>
        </m:oMath>
      </m:oMathPara>
    </w:p>
    <w:p w14:paraId="454EB55F" w14:textId="77777777" w:rsidR="00014752" w:rsidRPr="00EF7CF9" w:rsidRDefault="00014752"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C2957C8" w14:textId="77777777" w:rsidR="00014752" w:rsidRPr="00EF7CF9" w:rsidRDefault="00014752" w:rsidP="00F01ED6">
            <w:pPr>
              <w:pStyle w:val="ProductList-OfferingBody"/>
              <w:jc w:val="center"/>
              <w:rPr>
                <w:color w:val="FFFFFF" w:themeColor="background1"/>
              </w:rPr>
            </w:pPr>
            <w:r>
              <w:rPr>
                <w:color w:val="FFFFFF" w:themeColor="background1"/>
              </w:rPr>
              <w:t>Crédito de Serviço</w:t>
            </w:r>
          </w:p>
        </w:tc>
      </w:tr>
      <w:tr w:rsidR="00014752" w:rsidRPr="00B44CF9" w14:paraId="22B19702" w14:textId="77777777" w:rsidTr="00277097">
        <w:tc>
          <w:tcPr>
            <w:tcW w:w="5400" w:type="dxa"/>
          </w:tcPr>
          <w:p w14:paraId="4BFE1BAD" w14:textId="77777777" w:rsidR="00014752" w:rsidRPr="00EF7CF9" w:rsidRDefault="00014752" w:rsidP="00F01ED6">
            <w:pPr>
              <w:pStyle w:val="ProductList-OfferingBody"/>
              <w:jc w:val="center"/>
            </w:pPr>
            <w:r>
              <w:t>&lt; 99,9%</w:t>
            </w:r>
          </w:p>
        </w:tc>
        <w:tc>
          <w:tcPr>
            <w:tcW w:w="5400" w:type="dxa"/>
          </w:tcPr>
          <w:p w14:paraId="6E789323" w14:textId="77777777" w:rsidR="00014752" w:rsidRPr="00EF7CF9" w:rsidRDefault="00014752" w:rsidP="00F01ED6">
            <w:pPr>
              <w:pStyle w:val="ProductList-OfferingBody"/>
              <w:jc w:val="center"/>
            </w:pPr>
            <w:r>
              <w:t>10%</w:t>
            </w:r>
          </w:p>
        </w:tc>
      </w:tr>
      <w:tr w:rsidR="00014752" w:rsidRPr="00B44CF9" w14:paraId="01A3B8D8" w14:textId="77777777" w:rsidTr="00277097">
        <w:tc>
          <w:tcPr>
            <w:tcW w:w="5400" w:type="dxa"/>
          </w:tcPr>
          <w:p w14:paraId="11FAF3C8" w14:textId="77777777" w:rsidR="00014752" w:rsidRPr="00EF7CF9" w:rsidRDefault="00014752" w:rsidP="00F01ED6">
            <w:pPr>
              <w:pStyle w:val="ProductList-OfferingBody"/>
              <w:jc w:val="center"/>
            </w:pPr>
            <w:r>
              <w:t>&lt; 99%</w:t>
            </w:r>
          </w:p>
        </w:tc>
        <w:tc>
          <w:tcPr>
            <w:tcW w:w="5400" w:type="dxa"/>
          </w:tcPr>
          <w:p w14:paraId="63670124" w14:textId="77777777" w:rsidR="00014752" w:rsidRPr="00EF7CF9" w:rsidRDefault="00014752" w:rsidP="00F01ED6">
            <w:pPr>
              <w:pStyle w:val="ProductList-OfferingBody"/>
              <w:jc w:val="center"/>
            </w:pPr>
            <w:r>
              <w:t>25%</w:t>
            </w:r>
          </w:p>
        </w:tc>
      </w:tr>
    </w:tbl>
    <w:bookmarkStart w:id="178" w:name="_Toc468346589"/>
    <w:bookmarkStart w:id="179" w:name="MicrosoftCognitiveServices"/>
    <w:bookmarkStart w:id="180" w:name="_Toc52348972"/>
    <w:p w14:paraId="43E9E803"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478A19B" w14:textId="31E5AACB" w:rsidR="00FE45CF" w:rsidRPr="00EF7CF9" w:rsidRDefault="00FE45CF" w:rsidP="00F01ED6">
      <w:pPr>
        <w:pStyle w:val="ProductList-Offering2Heading"/>
        <w:keepNext/>
        <w:tabs>
          <w:tab w:val="clear" w:pos="360"/>
          <w:tab w:val="clear" w:pos="720"/>
          <w:tab w:val="clear" w:pos="1080"/>
        </w:tabs>
        <w:spacing w:before="0" w:after="0"/>
        <w:outlineLvl w:val="2"/>
      </w:pPr>
      <w:bookmarkStart w:id="181" w:name="_Toc239176440"/>
      <w:r>
        <w:t xml:space="preserve">Serviços </w:t>
      </w:r>
      <w:r w:rsidR="000E4FED">
        <w:rPr>
          <w:rFonts w:ascii="Calibri Light" w:hAnsi="Calibri Light" w:cs="Calibri Light"/>
        </w:rPr>
        <w:t xml:space="preserve">de IA do </w:t>
      </w:r>
      <w:r>
        <w:t>Azure</w:t>
      </w:r>
      <w:bookmarkEnd w:id="178"/>
      <w:bookmarkEnd w:id="179"/>
      <w:bookmarkEnd w:id="180"/>
      <w:bookmarkEnd w:id="181"/>
    </w:p>
    <w:p w14:paraId="42DC8CF4" w14:textId="77777777" w:rsidR="00FE45CF" w:rsidRPr="008E7C1C" w:rsidRDefault="00FE45CF" w:rsidP="00F01ED6">
      <w:pPr>
        <w:pStyle w:val="ProductList-Body"/>
        <w:rPr>
          <w:szCs w:val="18"/>
        </w:rPr>
      </w:pPr>
      <w:r w:rsidRPr="008E7C1C">
        <w:rPr>
          <w:b/>
          <w:color w:val="00188F"/>
          <w:szCs w:val="18"/>
        </w:rPr>
        <w:t>Definições Adicionais</w:t>
      </w:r>
      <w:r w:rsidRPr="00473DD3">
        <w:rPr>
          <w:b/>
          <w:color w:val="00188F"/>
          <w:szCs w:val="18"/>
        </w:rPr>
        <w:t>:</w:t>
      </w:r>
    </w:p>
    <w:p w14:paraId="26FAAD5C" w14:textId="77777777" w:rsidR="00EB5DF1" w:rsidRPr="00143BDB" w:rsidRDefault="00EB5DF1" w:rsidP="00EB5DF1">
      <w:pPr>
        <w:pStyle w:val="NormalWeb"/>
        <w:spacing w:before="0" w:beforeAutospacing="0" w:after="0" w:afterAutospacing="0"/>
        <w:rPr>
          <w:rFonts w:ascii="Calibri" w:eastAsiaTheme="minorHAnsi" w:hAnsi="Calibri" w:cs="Calibri"/>
          <w:sz w:val="18"/>
          <w:szCs w:val="18"/>
        </w:rPr>
      </w:pPr>
      <w:r w:rsidRPr="00D40378">
        <w:rPr>
          <w:rFonts w:ascii="Calibri" w:eastAsiaTheme="minorHAnsi" w:hAnsi="Calibri" w:cs="Calibri"/>
          <w:b/>
          <w:color w:val="00188F"/>
          <w:sz w:val="18"/>
          <w:szCs w:val="18"/>
        </w:rPr>
        <w:t>“</w:t>
      </w:r>
      <w:r>
        <w:rPr>
          <w:rFonts w:ascii="Calibri" w:eastAsiaTheme="minorHAnsi" w:hAnsi="Calibri" w:cs="Calibri"/>
          <w:b/>
          <w:color w:val="00188F"/>
          <w:sz w:val="18"/>
          <w:szCs w:val="18"/>
        </w:rPr>
        <w:t>Total de Tentativas de Transação</w:t>
      </w:r>
      <w:r w:rsidRPr="00D40378">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é o número total de pedidos da API autenticados efetuado pelo Cliente durante um Período Aplicável para uma determinada API de Foundry Tools. O Total de Tentativas de Transação não inclui os pedidos de API que devolvem um Código de Erro e que são repetidos continuamente num intervalo de cinco minutos após a receção do primeiro Código de Erro.</w:t>
      </w:r>
    </w:p>
    <w:p w14:paraId="79D96687" w14:textId="77777777" w:rsidR="00EB5DF1" w:rsidRDefault="00EB5DF1" w:rsidP="00EB5DF1">
      <w:pPr>
        <w:pStyle w:val="NormalWeb"/>
        <w:spacing w:before="0" w:beforeAutospacing="0" w:after="0" w:afterAutospacing="0"/>
        <w:rPr>
          <w:rFonts w:ascii="Calibri" w:eastAsiaTheme="minorHAnsi" w:hAnsi="Calibri" w:cs="Calibri"/>
          <w:sz w:val="18"/>
          <w:szCs w:val="18"/>
        </w:rPr>
      </w:pPr>
      <w:r w:rsidRPr="00D40378">
        <w:rPr>
          <w:rFonts w:ascii="Calibri" w:eastAsiaTheme="minorHAnsi" w:hAnsi="Calibri" w:cs="Calibri"/>
          <w:b/>
          <w:color w:val="00188F"/>
          <w:sz w:val="18"/>
          <w:szCs w:val="18"/>
        </w:rPr>
        <w:t>“</w:t>
      </w:r>
      <w:r>
        <w:rPr>
          <w:rFonts w:ascii="Calibri" w:eastAsiaTheme="minorHAnsi" w:hAnsi="Calibri" w:cs="Calibri"/>
          <w:b/>
          <w:color w:val="00188F"/>
          <w:sz w:val="18"/>
          <w:szCs w:val="18"/>
        </w:rPr>
        <w:t>Transações Falhadas</w:t>
      </w:r>
      <w:r w:rsidRPr="00D40378">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é o conjunto de todos os pedidos para a API de Foundry Tools incluídos no Total de Tentativas de Transação que devolve um Código de Erro. As Tentativas de Transação Falhadas não incluem os pedidos de API que devolvem um Código de Erro e que são repetidos continuamente num intervalo de cinco minutos após a receção do primeiro Código de Erro.</w:t>
      </w:r>
    </w:p>
    <w:p w14:paraId="0C267347" w14:textId="77777777" w:rsidR="009F16F1" w:rsidRPr="00C51C89" w:rsidRDefault="009F16F1" w:rsidP="00C33532">
      <w:pPr>
        <w:pStyle w:val="NormalWeb"/>
        <w:spacing w:before="0" w:beforeAutospacing="0" w:after="0" w:afterAutospacing="0"/>
        <w:rPr>
          <w:rFonts w:ascii="Calibri" w:eastAsiaTheme="minorHAnsi" w:hAnsi="Calibri" w:cs="Calibri"/>
          <w:sz w:val="18"/>
          <w:szCs w:val="18"/>
        </w:rPr>
      </w:pPr>
      <w:r>
        <w:rPr>
          <w:rFonts w:ascii="Calibri" w:eastAsiaTheme="minorHAnsi" w:hAnsi="Calibri" w:cs="Calibri"/>
          <w:sz w:val="18"/>
          <w:szCs w:val="18"/>
        </w:rPr>
        <w:t xml:space="preserve">A </w:t>
      </w:r>
      <w:r w:rsidRPr="00A84407">
        <w:rPr>
          <w:rFonts w:ascii="Calibri" w:eastAsiaTheme="minorHAnsi" w:hAnsi="Calibri" w:cs="Calibri"/>
          <w:b/>
          <w:color w:val="00188F"/>
          <w:sz w:val="18"/>
          <w:szCs w:val="18"/>
        </w:rPr>
        <w:t>“</w:t>
      </w:r>
      <w:r>
        <w:rPr>
          <w:rFonts w:ascii="Calibri" w:eastAsiaTheme="minorHAnsi" w:hAnsi="Calibri" w:cs="Calibri"/>
          <w:b/>
          <w:color w:val="00188F"/>
          <w:sz w:val="18"/>
          <w:szCs w:val="18"/>
        </w:rPr>
        <w:t>Percentagem de Período de Disponibilidade</w:t>
      </w:r>
      <w:r w:rsidRPr="00A84407">
        <w:rPr>
          <w:rFonts w:ascii="Calibri" w:eastAsiaTheme="minorHAnsi" w:hAnsi="Calibri" w:cs="Calibri"/>
          <w:b/>
          <w:color w:val="00188F"/>
          <w:sz w:val="18"/>
          <w:szCs w:val="18"/>
        </w:rPr>
        <w:t xml:space="preserve">” </w:t>
      </w:r>
      <w:r>
        <w:rPr>
          <w:rFonts w:ascii="Calibri" w:eastAsiaTheme="minorHAnsi" w:hAnsi="Calibri" w:cs="Calibri"/>
          <w:sz w:val="18"/>
          <w:szCs w:val="18"/>
        </w:rPr>
        <w:t>para cada Serviço da API é calculada como o Total de Tentativas de Transação menos as Transações com Falha dividido pelo Total de Tentativas de Transação num Período Aplicável para uma determinada subscrição da API.</w:t>
      </w:r>
    </w:p>
    <w:p w14:paraId="3A212876" w14:textId="77777777" w:rsidR="009F16F1" w:rsidRPr="00C51C89" w:rsidRDefault="009F16F1" w:rsidP="00C33532">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A Percentagem de Período de Disponibilidade é representada pela seguinte fórmula</w:t>
      </w:r>
      <w:r>
        <w:rPr>
          <w:rFonts w:ascii="Calibri" w:hAnsi="Calibri" w:cs="Calibri"/>
          <w:sz w:val="18"/>
          <w:szCs w:val="18"/>
        </w:rPr>
        <w:t>:</w:t>
      </w:r>
    </w:p>
    <w:p w14:paraId="7111832D" w14:textId="77777777" w:rsidR="009F16F1" w:rsidRPr="00EF7CF9" w:rsidRDefault="009F16F1" w:rsidP="00D7240E">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 de Período de Disponibilidade Mensal=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de Tentativas de Transação-Transações com Falha)</m:t>
              </m:r>
            </m:num>
            <m:den>
              <m:r>
                <w:rPr>
                  <w:rFonts w:ascii="Cambria Math" w:hAnsi="Cambria Math" w:cs="Tahoma"/>
                  <w:color w:val="000000" w:themeColor="text1"/>
                  <w:sz w:val="18"/>
                  <w:szCs w:val="18"/>
                </w:rPr>
                <m:t>Total de Tentativas de Transação</m:t>
              </m:r>
            </m:den>
          </m:f>
          <m:r>
            <w:rPr>
              <w:rFonts w:ascii="Cambria Math" w:hAnsi="Cambria Math" w:cs="Tahoma"/>
              <w:color w:val="000000" w:themeColor="text1"/>
              <w:sz w:val="18"/>
              <w:szCs w:val="18"/>
            </w:rPr>
            <m:t xml:space="preserve"> x 100</m:t>
          </m:r>
        </m:oMath>
      </m:oMathPara>
    </w:p>
    <w:p w14:paraId="511E3236" w14:textId="0AA9C56E" w:rsidR="009F16F1" w:rsidRPr="00143DA7" w:rsidRDefault="009F16F1" w:rsidP="00143DA7">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391FE2">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F037613" w14:textId="77777777" w:rsidR="00FE45CF" w:rsidRPr="00EF7CF9" w:rsidRDefault="00FE45CF" w:rsidP="00391FE2">
            <w:pPr>
              <w:pStyle w:val="ProductList-OfferingBody"/>
              <w:jc w:val="center"/>
              <w:rPr>
                <w:color w:val="FFFFFF" w:themeColor="background1"/>
              </w:rPr>
            </w:pPr>
            <w:r>
              <w:rPr>
                <w:color w:val="FFFFFF" w:themeColor="background1"/>
              </w:rPr>
              <w:t>Crédito de Serviço</w:t>
            </w:r>
          </w:p>
        </w:tc>
      </w:tr>
      <w:tr w:rsidR="00FE45CF" w:rsidRPr="00B44CF9" w14:paraId="5768936A" w14:textId="77777777" w:rsidTr="00277097">
        <w:tc>
          <w:tcPr>
            <w:tcW w:w="5400" w:type="dxa"/>
          </w:tcPr>
          <w:p w14:paraId="1A3AAB71" w14:textId="77777777" w:rsidR="00FE45CF" w:rsidRPr="00EF7CF9" w:rsidRDefault="00FE45CF" w:rsidP="00391FE2">
            <w:pPr>
              <w:pStyle w:val="ProductList-OfferingBody"/>
              <w:jc w:val="center"/>
            </w:pPr>
            <w:r>
              <w:t>&lt; 99,9%</w:t>
            </w:r>
          </w:p>
        </w:tc>
        <w:tc>
          <w:tcPr>
            <w:tcW w:w="5400" w:type="dxa"/>
          </w:tcPr>
          <w:p w14:paraId="57CFBBE8" w14:textId="77777777" w:rsidR="00FE45CF" w:rsidRPr="00EF7CF9" w:rsidRDefault="00FE45CF" w:rsidP="00391FE2">
            <w:pPr>
              <w:pStyle w:val="ProductList-OfferingBody"/>
              <w:jc w:val="center"/>
            </w:pPr>
            <w:r>
              <w:t>10%</w:t>
            </w:r>
          </w:p>
        </w:tc>
      </w:tr>
      <w:tr w:rsidR="00FE45CF" w:rsidRPr="00B44CF9" w14:paraId="130F863E" w14:textId="77777777" w:rsidTr="00277097">
        <w:tc>
          <w:tcPr>
            <w:tcW w:w="5400" w:type="dxa"/>
          </w:tcPr>
          <w:p w14:paraId="61EC2512" w14:textId="77777777" w:rsidR="00FE45CF" w:rsidRPr="00EF7CF9" w:rsidRDefault="00FE45CF" w:rsidP="00391FE2">
            <w:pPr>
              <w:pStyle w:val="ProductList-OfferingBody"/>
              <w:jc w:val="center"/>
            </w:pPr>
            <w:r>
              <w:t>&lt; 99%</w:t>
            </w:r>
          </w:p>
        </w:tc>
        <w:tc>
          <w:tcPr>
            <w:tcW w:w="5400" w:type="dxa"/>
          </w:tcPr>
          <w:p w14:paraId="3B56FC08" w14:textId="77777777" w:rsidR="00FE45CF" w:rsidRPr="00EF7CF9" w:rsidRDefault="00FE45CF" w:rsidP="00391FE2">
            <w:pPr>
              <w:pStyle w:val="ProductList-OfferingBody"/>
              <w:jc w:val="center"/>
            </w:pPr>
            <w:r>
              <w:t>25%</w:t>
            </w:r>
          </w:p>
        </w:tc>
      </w:tr>
    </w:tbl>
    <w:p w14:paraId="37A5D2B9" w14:textId="77777777" w:rsidR="004D140E" w:rsidRDefault="004D140E" w:rsidP="00B06E74">
      <w:pPr>
        <w:spacing w:before="120" w:after="0" w:line="240" w:lineRule="auto"/>
        <w:rPr>
          <w:rFonts w:ascii="Times New Roman" w:hAnsi="Times New Roman" w:cs="Times New Roman"/>
          <w:sz w:val="24"/>
          <w:szCs w:val="24"/>
        </w:rPr>
      </w:pPr>
      <w:r>
        <w:rPr>
          <w:rFonts w:ascii="Calibri" w:eastAsia="Calibri" w:hAnsi="Calibri" w:cs="Calibri"/>
          <w:b/>
          <w:bCs/>
          <w:color w:val="00188F"/>
          <w:sz w:val="18"/>
          <w:szCs w:val="18"/>
        </w:rPr>
        <w:t>Exceções de Nível de Serviço</w:t>
      </w:r>
      <w:r w:rsidRPr="00473DD3">
        <w:rPr>
          <w:rFonts w:ascii="Calibri" w:eastAsia="Calibri" w:hAnsi="Calibri" w:cs="Calibri"/>
          <w:b/>
          <w:bCs/>
          <w:color w:val="00188F"/>
          <w:sz w:val="18"/>
          <w:szCs w:val="18"/>
        </w:rPr>
        <w:t>:</w:t>
      </w:r>
      <w:r>
        <w:rPr>
          <w:rFonts w:ascii="Calibri" w:eastAsia="Calibri" w:hAnsi="Calibri" w:cs="Calibri"/>
          <w:sz w:val="18"/>
          <w:szCs w:val="18"/>
        </w:rPr>
        <w:t xml:space="preserve"> </w:t>
      </w:r>
      <w:r>
        <w:rPr>
          <w:rFonts w:cstheme="minorHAnsi"/>
          <w:sz w:val="18"/>
          <w:szCs w:val="18"/>
        </w:rPr>
        <w:t>É aplicável um SLA separado ao Azure OpenAI Service</w:t>
      </w:r>
      <w:r>
        <w:rPr>
          <w:rFonts w:ascii="Times New Roman" w:hAnsi="Times New Roman" w:cs="Times New Roman"/>
          <w:sz w:val="24"/>
          <w:szCs w:val="24"/>
        </w:rPr>
        <w:t xml:space="preserve"> </w:t>
      </w:r>
    </w:p>
    <w:p w14:paraId="5F256897"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063A3D5" w14:textId="7F1C8748" w:rsidR="00175814" w:rsidRPr="00B6541B" w:rsidRDefault="00175814" w:rsidP="00F01ED6">
      <w:pPr>
        <w:pStyle w:val="ProductList-Offering2Heading"/>
        <w:keepNext/>
        <w:tabs>
          <w:tab w:val="clear" w:pos="360"/>
          <w:tab w:val="clear" w:pos="720"/>
          <w:tab w:val="clear" w:pos="1080"/>
        </w:tabs>
        <w:spacing w:before="0" w:after="0"/>
        <w:outlineLvl w:val="2"/>
      </w:pPr>
      <w:bookmarkStart w:id="182" w:name="_Toc239176441"/>
      <w:r>
        <w:lastRenderedPageBreak/>
        <w:t>Azure Communication Gateway</w:t>
      </w:r>
      <w:bookmarkEnd w:id="182"/>
    </w:p>
    <w:p w14:paraId="590B504A" w14:textId="77777777" w:rsidR="00B2013C" w:rsidRDefault="00B2013C" w:rsidP="00F01ED6">
      <w:pPr>
        <w:pStyle w:val="ProductList-Body"/>
        <w:rPr>
          <w:b/>
          <w:color w:val="00188F"/>
        </w:rPr>
      </w:pPr>
      <w:r>
        <w:rPr>
          <w:b/>
          <w:color w:val="00188F"/>
        </w:rPr>
        <w:t>Definições Adicionais</w:t>
      </w:r>
    </w:p>
    <w:p w14:paraId="22141E65" w14:textId="2DEB733A" w:rsidR="00B2013C" w:rsidRDefault="00380305" w:rsidP="00F01ED6">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380305">
        <w:rPr>
          <w:rFonts w:asciiTheme="minorHAnsi" w:eastAsiaTheme="minorHAnsi" w:hAnsiTheme="minorHAnsi" w:cstheme="minorBidi"/>
          <w:sz w:val="18"/>
          <w:szCs w:val="22"/>
        </w:rPr>
        <w:t>“</w:t>
      </w:r>
      <w:r w:rsidR="00B2013C">
        <w:rPr>
          <w:rFonts w:asciiTheme="minorHAnsi" w:eastAsiaTheme="minorEastAsia" w:hAnsiTheme="minorHAnsi" w:cstheme="minorBidi"/>
          <w:b/>
          <w:color w:val="00188F"/>
          <w:sz w:val="18"/>
          <w:szCs w:val="18"/>
        </w:rPr>
        <w:t>Número de Telefone Atribuído</w:t>
      </w:r>
      <w:r w:rsidRPr="00380305">
        <w:rPr>
          <w:rFonts w:asciiTheme="minorHAnsi" w:eastAsiaTheme="minorHAnsi" w:hAnsiTheme="minorHAnsi" w:cstheme="minorBidi"/>
          <w:sz w:val="18"/>
          <w:szCs w:val="22"/>
        </w:rPr>
        <w:t>”</w:t>
      </w:r>
      <w:r w:rsidR="00B2013C">
        <w:rPr>
          <w:rFonts w:asciiTheme="minorHAnsi" w:eastAsiaTheme="minorEastAsia" w:hAnsiTheme="minorHAnsi" w:cstheme="minorBidi"/>
          <w:sz w:val="18"/>
          <w:szCs w:val="18"/>
        </w:rPr>
        <w:t xml:space="preserve"> é um número de telefone que cumpre todos os seguintes critérios:</w:t>
      </w:r>
    </w:p>
    <w:p w14:paraId="78DED7AA"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Este número foi aprovisionado nos ambientes da Ligação Operadora ou do Telefone Móvel Teams.</w:t>
      </w:r>
    </w:p>
    <w:p w14:paraId="18047FD5"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O número de telefone é configurado para a conectividade através do Azure Communications Gateway.</w:t>
      </w:r>
    </w:p>
    <w:p w14:paraId="7FA8D795" w14:textId="30BB550B" w:rsidR="00B2013C"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xml:space="preserve">O estado do número de telefone é </w:t>
      </w:r>
      <w:r w:rsidR="00380305">
        <w:rPr>
          <w:rFonts w:asciiTheme="minorHAnsi" w:eastAsiaTheme="minorHAnsi" w:hAnsiTheme="minorHAnsi" w:cstheme="minorBidi"/>
          <w:sz w:val="18"/>
          <w:szCs w:val="22"/>
        </w:rPr>
        <w:t>“</w:t>
      </w:r>
      <w:r>
        <w:rPr>
          <w:rFonts w:asciiTheme="minorHAnsi" w:eastAsiaTheme="minorHAnsi" w:hAnsiTheme="minorHAnsi" w:cstheme="minorBidi"/>
          <w:sz w:val="18"/>
          <w:szCs w:val="22"/>
        </w:rPr>
        <w:t>atribuído</w:t>
      </w:r>
      <w:r w:rsidR="00380305">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nos ambientes de Ligação à Operadora ou Telefone Móvel Teams. Isto inclui (entre outros) a atribuição a utilizadores, pontes de conferência, Aplicações de voz e aplicações de terceiros.</w:t>
      </w:r>
    </w:p>
    <w:p w14:paraId="0B635ABB" w14:textId="5519B07D" w:rsidR="00B2013C" w:rsidRDefault="00380305" w:rsidP="00F01ED6">
      <w:pPr>
        <w:pStyle w:val="xmsonormal"/>
        <w:shd w:val="clear" w:color="auto" w:fill="FFFFFF"/>
        <w:spacing w:before="0" w:beforeAutospacing="0" w:after="0" w:afterAutospacing="0"/>
        <w:rPr>
          <w:rFonts w:asciiTheme="minorHAnsi" w:eastAsiaTheme="minorHAnsi" w:hAnsiTheme="minorHAnsi" w:cstheme="minorBidi"/>
          <w:sz w:val="18"/>
          <w:szCs w:val="22"/>
        </w:rPr>
      </w:pPr>
      <w:r w:rsidRPr="00380305">
        <w:rPr>
          <w:rFonts w:asciiTheme="minorHAnsi" w:eastAsiaTheme="minorHAnsi" w:hAnsiTheme="minorHAnsi" w:cstheme="minorBidi"/>
          <w:sz w:val="18"/>
          <w:szCs w:val="22"/>
        </w:rPr>
        <w:t>“</w:t>
      </w:r>
      <w:r w:rsidR="00B2013C">
        <w:rPr>
          <w:rFonts w:asciiTheme="minorHAnsi" w:eastAsiaTheme="minorHAnsi" w:hAnsiTheme="minorHAnsi" w:cstheme="minorBidi"/>
          <w:b/>
          <w:bCs/>
          <w:color w:val="00188F"/>
          <w:sz w:val="18"/>
          <w:szCs w:val="22"/>
        </w:rPr>
        <w:t>Período de Indisponibilidade</w:t>
      </w:r>
      <w:r w:rsidRPr="00380305">
        <w:rPr>
          <w:rFonts w:asciiTheme="minorHAnsi" w:eastAsiaTheme="minorHAnsi" w:hAnsiTheme="minorHAnsi" w:cstheme="minorBidi"/>
          <w:sz w:val="18"/>
          <w:szCs w:val="22"/>
        </w:rPr>
        <w:t>”</w:t>
      </w:r>
      <w:r w:rsidR="00B2013C">
        <w:rPr>
          <w:rFonts w:asciiTheme="minorHAnsi" w:eastAsiaTheme="minorHAnsi" w:hAnsiTheme="minorHAnsi" w:cstheme="minorBidi"/>
          <w:sz w:val="18"/>
          <w:szCs w:val="22"/>
        </w:rPr>
        <w:t xml:space="preserve"> é qualquer período num Período Aplicável para uma determinada Subscrição do Microsoft Azure quando os</w:t>
      </w:r>
      <w:r w:rsidR="00626E15">
        <w:rPr>
          <w:rFonts w:asciiTheme="minorHAnsi" w:eastAsiaTheme="minorHAnsi" w:hAnsiTheme="minorHAnsi" w:cstheme="minorBidi"/>
          <w:sz w:val="18"/>
          <w:szCs w:val="22"/>
        </w:rPr>
        <w:t> </w:t>
      </w:r>
      <w:r w:rsidR="00B2013C">
        <w:rPr>
          <w:rFonts w:asciiTheme="minorHAnsi" w:eastAsiaTheme="minorHAnsi" w:hAnsiTheme="minorHAnsi" w:cstheme="minorBidi"/>
          <w:sz w:val="18"/>
          <w:szCs w:val="22"/>
        </w:rPr>
        <w:t>Números de Telefone Atribuídos não conseguem iniciar ou receber chamadas de voz através do Azure Communications Gateway.</w:t>
      </w:r>
    </w:p>
    <w:p w14:paraId="7D9C651D" w14:textId="1D4FB057" w:rsidR="00B2013C" w:rsidRPr="008E7C1C" w:rsidRDefault="00380305" w:rsidP="00F01ED6">
      <w:pPr>
        <w:pStyle w:val="xmsonormal"/>
        <w:shd w:val="clear" w:color="auto" w:fill="FFFFFF"/>
        <w:spacing w:before="0" w:beforeAutospacing="0" w:after="0" w:afterAutospacing="0"/>
        <w:rPr>
          <w:rFonts w:asciiTheme="minorHAnsi" w:eastAsiaTheme="minorHAnsi" w:hAnsiTheme="minorHAnsi" w:cstheme="minorBidi"/>
          <w:spacing w:val="-3"/>
          <w:sz w:val="18"/>
          <w:szCs w:val="22"/>
        </w:rPr>
      </w:pPr>
      <w:r w:rsidRPr="00380305">
        <w:rPr>
          <w:rFonts w:asciiTheme="minorHAnsi" w:eastAsiaTheme="minorHAnsi" w:hAnsiTheme="minorHAnsi" w:cstheme="minorBidi"/>
          <w:sz w:val="18"/>
          <w:szCs w:val="22"/>
        </w:rPr>
        <w:t>“</w:t>
      </w:r>
      <w:r w:rsidR="00B2013C" w:rsidRPr="008E7C1C">
        <w:rPr>
          <w:rFonts w:asciiTheme="minorHAnsi" w:eastAsiaTheme="minorHAnsi" w:hAnsiTheme="minorHAnsi" w:cstheme="minorBidi"/>
          <w:b/>
          <w:bCs/>
          <w:color w:val="00188F"/>
          <w:spacing w:val="-3"/>
          <w:sz w:val="18"/>
          <w:szCs w:val="22"/>
        </w:rPr>
        <w:t>Número de Minutos de Período de Indisponibilidade</w:t>
      </w:r>
      <w:r w:rsidRPr="00380305">
        <w:rPr>
          <w:rFonts w:asciiTheme="minorHAnsi" w:eastAsiaTheme="minorHAnsi" w:hAnsiTheme="minorHAnsi" w:cstheme="minorBidi"/>
          <w:sz w:val="18"/>
          <w:szCs w:val="22"/>
        </w:rPr>
        <w:t>”</w:t>
      </w:r>
      <w:r w:rsidR="00B2013C" w:rsidRPr="008E7C1C">
        <w:rPr>
          <w:rFonts w:asciiTheme="minorHAnsi" w:eastAsiaTheme="minorHAnsi" w:hAnsiTheme="minorHAnsi" w:cstheme="minorBidi"/>
          <w:spacing w:val="-3"/>
          <w:sz w:val="18"/>
          <w:szCs w:val="22"/>
        </w:rPr>
        <w:t xml:space="preserve"> é a soma de todo o Período de Indisponibilidade, multiplicado pelo número de Números de Telefone Atribuídos incapazes de iniciar ou receber chamadas através do Azure Communications Gateway para o Período de Indisponibilidade indicado. </w:t>
      </w:r>
    </w:p>
    <w:p w14:paraId="73DFF7AD" w14:textId="416C1005" w:rsidR="00B2013C" w:rsidRDefault="00380305" w:rsidP="00F01ED6">
      <w:pPr>
        <w:pStyle w:val="xmsonormal"/>
        <w:shd w:val="clear" w:color="auto" w:fill="FFFFFF"/>
        <w:spacing w:before="0" w:beforeAutospacing="0" w:after="0" w:afterAutospacing="0"/>
        <w:rPr>
          <w:rFonts w:asciiTheme="minorHAnsi" w:eastAsiaTheme="minorHAnsi" w:hAnsiTheme="minorHAnsi" w:cstheme="minorBidi"/>
          <w:sz w:val="18"/>
          <w:szCs w:val="22"/>
        </w:rPr>
      </w:pPr>
      <w:r w:rsidRPr="00380305">
        <w:rPr>
          <w:rFonts w:asciiTheme="minorHAnsi" w:eastAsiaTheme="minorHAnsi" w:hAnsiTheme="minorHAnsi" w:cstheme="minorBidi"/>
          <w:sz w:val="18"/>
          <w:szCs w:val="22"/>
        </w:rPr>
        <w:t>“</w:t>
      </w:r>
      <w:r w:rsidR="00B2013C">
        <w:rPr>
          <w:rFonts w:asciiTheme="minorHAnsi" w:eastAsiaTheme="minorHAnsi" w:hAnsiTheme="minorHAnsi" w:cstheme="minorBidi"/>
          <w:b/>
          <w:bCs/>
          <w:color w:val="00188F"/>
          <w:sz w:val="18"/>
          <w:szCs w:val="22"/>
        </w:rPr>
        <w:t>Número Máximo de Minutos Disponíveis</w:t>
      </w:r>
      <w:r w:rsidRPr="00380305">
        <w:rPr>
          <w:rFonts w:asciiTheme="minorHAnsi" w:eastAsiaTheme="minorHAnsi" w:hAnsiTheme="minorHAnsi" w:cstheme="minorBidi"/>
          <w:sz w:val="18"/>
          <w:szCs w:val="22"/>
        </w:rPr>
        <w:t>”</w:t>
      </w:r>
      <w:r w:rsidR="00B2013C">
        <w:rPr>
          <w:rFonts w:asciiTheme="minorHAnsi" w:eastAsiaTheme="minorHAnsi" w:hAnsiTheme="minorHAnsi" w:cstheme="minorBidi"/>
          <w:sz w:val="18"/>
          <w:szCs w:val="22"/>
        </w:rPr>
        <w:t xml:space="preserve"> é o número total de minutos num Período Aplicável que o Azure Communications Gateway foi implementado com êxito (ou seja, o estado de aprovisionamento está marcado como concluído) multiplicado pelo número máximo de Números de</w:t>
      </w:r>
      <w:r w:rsidR="00626E15">
        <w:rPr>
          <w:rFonts w:asciiTheme="minorHAnsi" w:eastAsiaTheme="minorHAnsi" w:hAnsiTheme="minorHAnsi" w:cstheme="minorBidi"/>
          <w:sz w:val="18"/>
          <w:szCs w:val="22"/>
        </w:rPr>
        <w:t> </w:t>
      </w:r>
      <w:r w:rsidR="00B2013C">
        <w:rPr>
          <w:rFonts w:asciiTheme="minorHAnsi" w:eastAsiaTheme="minorHAnsi" w:hAnsiTheme="minorHAnsi" w:cstheme="minorBidi"/>
          <w:sz w:val="18"/>
          <w:szCs w:val="22"/>
        </w:rPr>
        <w:t>Telefone atribuídos em qualquer altura durante esse Período Aplicável.</w:t>
      </w:r>
    </w:p>
    <w:p w14:paraId="722DA8A6" w14:textId="0A0082BF" w:rsidR="00B2013C" w:rsidRDefault="00380305" w:rsidP="00F01ED6">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380305">
        <w:rPr>
          <w:rFonts w:asciiTheme="minorHAnsi" w:eastAsiaTheme="minorHAnsi" w:hAnsiTheme="minorHAnsi" w:cstheme="minorBidi"/>
          <w:sz w:val="18"/>
          <w:szCs w:val="22"/>
        </w:rPr>
        <w:t>“</w:t>
      </w:r>
      <w:r w:rsidR="00B2013C">
        <w:rPr>
          <w:rFonts w:asciiTheme="minorHAnsi" w:eastAsiaTheme="minorEastAsia" w:hAnsiTheme="minorHAnsi" w:cstheme="minorBidi"/>
          <w:b/>
          <w:color w:val="00188F"/>
          <w:sz w:val="18"/>
          <w:szCs w:val="18"/>
        </w:rPr>
        <w:t>Percentagem de Período de Disponibilidade</w:t>
      </w:r>
      <w:r w:rsidRPr="00380305">
        <w:rPr>
          <w:rFonts w:asciiTheme="minorHAnsi" w:eastAsiaTheme="minorHAnsi" w:hAnsiTheme="minorHAnsi" w:cstheme="minorBidi"/>
          <w:sz w:val="18"/>
          <w:szCs w:val="22"/>
        </w:rPr>
        <w:t>”</w:t>
      </w:r>
      <w:r w:rsidR="00B2013C">
        <w:rPr>
          <w:rFonts w:asciiTheme="minorHAnsi" w:eastAsiaTheme="minorEastAsia" w:hAnsiTheme="minorHAnsi" w:cstheme="minorBidi"/>
          <w:sz w:val="18"/>
          <w:szCs w:val="18"/>
        </w:rPr>
        <w:t xml:space="preserve"> A Percentagem de Período de Disponibilidade é calculada utilizando a seguinte fórmula:</w:t>
      </w:r>
    </w:p>
    <w:p w14:paraId="45A84727" w14:textId="77777777" w:rsidR="00B2013C" w:rsidRPr="00B06E74" w:rsidRDefault="00B2013C" w:rsidP="00F01ED6">
      <w:pPr>
        <w:pStyle w:val="ProductList-Body"/>
        <w:rPr>
          <w:sz w:val="12"/>
          <w:szCs w:val="12"/>
        </w:rPr>
      </w:pPr>
    </w:p>
    <w:p w14:paraId="63BE773C" w14:textId="74D86773" w:rsidR="00B2013C" w:rsidRDefault="00000000" w:rsidP="00F01ED6">
      <w:pPr>
        <w:pStyle w:val="ListParagraph"/>
        <w:spacing w:line="240" w:lineRule="auto"/>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Número Máximo de Minutos Disponíveis - Número de Minutos de Período de Indisponibilidade</m:t>
              </m:r>
            </m:num>
            <m:den>
              <m:r>
                <m:rPr>
                  <m:nor/>
                </m:rPr>
                <w:rPr>
                  <w:rFonts w:ascii="Cambria Math" w:hAnsi="Cambria Math" w:cs="Tahoma"/>
                  <w:i/>
                  <w:sz w:val="18"/>
                  <w:szCs w:val="18"/>
                </w:rPr>
                <m:t>Número 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B06E74">
      <w:pPr>
        <w:spacing w:after="120" w:line="240" w:lineRule="auto"/>
        <w:rPr>
          <w:sz w:val="18"/>
        </w:rPr>
      </w:pPr>
      <w:r>
        <w:rPr>
          <w:sz w:val="18"/>
        </w:rPr>
        <w:t>Este SLA não é aplicável às falhas causadas por qualquer falha de software, equipamento ou serviços de terceiros que não sejam controlados pela Microsoft ou pelo software Microsoft que não esteja a ser executado no âmbito deste Serviço.</w:t>
      </w:r>
    </w:p>
    <w:p w14:paraId="3D411D07" w14:textId="77777777" w:rsidR="00B2013C" w:rsidRDefault="00B2013C" w:rsidP="00F01ED6">
      <w:pPr>
        <w:pStyle w:val="ProductList-Body"/>
        <w:keepNext/>
        <w:rPr>
          <w:b/>
          <w:bCs/>
          <w:color w:val="00188F"/>
        </w:rPr>
      </w:pPr>
      <w:r>
        <w:rPr>
          <w:b/>
          <w:bCs/>
          <w:color w:val="00188F"/>
        </w:rPr>
        <w:t>Os seguintes Níveis de Serviço e Créditos de Serviço são aplicáveis à utilização que o Cliente faz do Azure Communications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rsidP="00F01ED6">
            <w:pPr>
              <w:pStyle w:val="ProductList-OfferingBody"/>
              <w:jc w:val="center"/>
              <w:rPr>
                <w:color w:val="FFFFFF" w:themeColor="background1"/>
              </w:rPr>
            </w:pPr>
            <w:r>
              <w:rPr>
                <w:color w:val="FFFFFF" w:themeColor="background1"/>
              </w:rPr>
              <w:t>Crédito de Serviço</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rsidP="00F01ED6">
            <w:pPr>
              <w:pStyle w:val="ProductList-OfferingBody"/>
              <w:jc w:val="center"/>
            </w:pPr>
            <w: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rsidP="00F01ED6">
            <w:pPr>
              <w:pStyle w:val="ProductList-OfferingBody"/>
              <w:jc w:val="center"/>
            </w:pPr>
            <w:r>
              <w:t>25%</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rsidP="00F01ED6">
            <w:pPr>
              <w:pStyle w:val="ProductList-OfferingBody"/>
              <w:jc w:val="center"/>
            </w:pPr>
            <w: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rsidP="00F01ED6">
            <w:pPr>
              <w:pStyle w:val="ProductList-OfferingBody"/>
              <w:jc w:val="center"/>
            </w:pPr>
            <w:r>
              <w:t>50%</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1326FB06" w:rsidR="00B2013C" w:rsidRDefault="00B2013C" w:rsidP="00F01ED6">
            <w:pPr>
              <w:pStyle w:val="ProductList-OfferingBody"/>
              <w:jc w:val="center"/>
            </w:pPr>
            <w:r>
              <w:t>&lt;</w:t>
            </w:r>
            <w:r w:rsidR="006F3CBD">
              <w:t xml:space="preserve"> </w:t>
            </w:r>
            <w:r>
              <w: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rsidP="00F01ED6">
            <w:pPr>
              <w:pStyle w:val="ProductList-OfferingBody"/>
              <w:jc w:val="center"/>
            </w:pPr>
            <w:r>
              <w:t>100%</w:t>
            </w:r>
          </w:p>
        </w:tc>
      </w:tr>
    </w:tbl>
    <w:p w14:paraId="37584DD9"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389F154" w14:textId="3BB2D9DD" w:rsidR="00B6541B" w:rsidRPr="00B6541B" w:rsidRDefault="00B6541B" w:rsidP="00F01ED6">
      <w:pPr>
        <w:pStyle w:val="ProductList-Offering2Heading"/>
        <w:keepNext/>
        <w:tabs>
          <w:tab w:val="clear" w:pos="360"/>
          <w:tab w:val="clear" w:pos="720"/>
          <w:tab w:val="clear" w:pos="1080"/>
        </w:tabs>
        <w:spacing w:before="0" w:after="0"/>
        <w:outlineLvl w:val="2"/>
      </w:pPr>
      <w:bookmarkStart w:id="183" w:name="_Toc239176442"/>
      <w:r>
        <w:t>Azure Communication Services</w:t>
      </w:r>
      <w:bookmarkEnd w:id="183"/>
    </w:p>
    <w:p w14:paraId="4DFBE77A" w14:textId="77777777" w:rsidR="00B6541B" w:rsidRPr="00B6541B" w:rsidRDefault="00B6541B" w:rsidP="00F01ED6">
      <w:pPr>
        <w:pStyle w:val="ProductList-Body"/>
        <w:rPr>
          <w:b/>
          <w:color w:val="00188F"/>
        </w:rPr>
      </w:pPr>
      <w:r>
        <w:rPr>
          <w:b/>
          <w:color w:val="00188F"/>
        </w:rPr>
        <w:t>Definições Adicionais</w:t>
      </w:r>
    </w:p>
    <w:p w14:paraId="53EC037E" w14:textId="01D68462" w:rsidR="00B6541B" w:rsidRDefault="00380305" w:rsidP="00F01ED6">
      <w:pPr>
        <w:pStyle w:val="ProductList-Body"/>
      </w:pPr>
      <w:r>
        <w:t>“</w:t>
      </w:r>
      <w:r w:rsidR="00B6541B">
        <w:rPr>
          <w:b/>
          <w:bCs/>
          <w:color w:val="00188F"/>
        </w:rPr>
        <w:t>Período de Indisponibilidade</w:t>
      </w:r>
      <w:r>
        <w:t>”</w:t>
      </w:r>
      <w:r w:rsidR="00B6541B">
        <w:t xml:space="preserve"> </w:t>
      </w:r>
      <w:r w:rsidR="00B6541B">
        <w:rPr>
          <w:rFonts w:ascii="Calibri" w:eastAsia="Calibri" w:hAnsi="Calibri" w:cs="Calibri"/>
        </w:rPr>
        <w:t>é o número total de Máximo de Minutos Disponíveis durante um Período Aplicável durante os quais o Azure Communication Services está indisponível. Um minuto considera-se indisponível se todos os pedidos durante este minuto gerarem 5xx erros.</w:t>
      </w:r>
    </w:p>
    <w:p w14:paraId="1DD25A5C" w14:textId="0597DFD0" w:rsidR="009E0C69" w:rsidRDefault="008F7199" w:rsidP="00F01ED6">
      <w:pPr>
        <w:pStyle w:val="ProductList-Body"/>
      </w:pPr>
      <w:r>
        <w:rPr>
          <w:b/>
          <w:bCs/>
          <w:color w:val="00188F"/>
        </w:rPr>
        <w:t>Máximo de Minutos Disponíveis</w:t>
      </w:r>
      <w:r>
        <w:rPr>
          <w:rFonts w:ascii="Calibri" w:eastAsia="Calibri" w:hAnsi="Calibri" w:cs="Calibri"/>
        </w:rPr>
        <w:t xml:space="preserve"> é o número total de minutos durante os quais o Azure Communication Services foi implementado por um Cliente numa subscrição do Microsoft Azure durante um Período Aplicável.</w:t>
      </w:r>
    </w:p>
    <w:p w14:paraId="47E4892E" w14:textId="6415D2FD" w:rsidR="00B6541B" w:rsidRDefault="00AC48A7" w:rsidP="00F01ED6">
      <w:pPr>
        <w:pStyle w:val="ProductList-Body"/>
      </w:pPr>
      <w:r>
        <w:rPr>
          <w:b/>
          <w:bCs/>
          <w:color w:val="00188F"/>
        </w:rPr>
        <w:t>Percentagem de Período de Disponibilidade:</w:t>
      </w:r>
      <w:r>
        <w:t xml:space="preserve"> A Percentagem de Período de Disponibilidade é calculada através da seguinte fórmula:</w:t>
      </w:r>
    </w:p>
    <w:p w14:paraId="63F391E8" w14:textId="46D3DAC2" w:rsidR="00B6541B" w:rsidRPr="00AB1841" w:rsidRDefault="00000000" w:rsidP="00D7240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BC57BA9" w14:textId="77777777" w:rsidR="00B6541B" w:rsidRPr="00B6541B" w:rsidRDefault="00B6541B" w:rsidP="00F01ED6">
      <w:pPr>
        <w:pStyle w:val="ProductList-Body"/>
        <w:keepNext/>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F01ED6">
            <w:pPr>
              <w:pStyle w:val="ProductList-OfferingBody"/>
              <w:spacing w:before="0" w:after="0"/>
              <w:jc w:val="center"/>
              <w:rPr>
                <w:color w:val="FFFFFF" w:themeColor="background1"/>
              </w:rPr>
            </w:pPr>
            <w:r>
              <w:rPr>
                <w:color w:val="FFFFFF" w:themeColor="background1"/>
              </w:rPr>
              <w:t>Percentagem de Período de Disponibilidade</w:t>
            </w:r>
          </w:p>
        </w:tc>
        <w:tc>
          <w:tcPr>
            <w:tcW w:w="5400" w:type="dxa"/>
            <w:shd w:val="clear" w:color="auto" w:fill="0072C6"/>
          </w:tcPr>
          <w:p w14:paraId="770A261D" w14:textId="77777777" w:rsidR="00B6541B" w:rsidRPr="00EF7CF9" w:rsidRDefault="00B6541B" w:rsidP="00F01ED6">
            <w:pPr>
              <w:pStyle w:val="ProductList-OfferingBody"/>
              <w:spacing w:before="0" w:after="0"/>
              <w:jc w:val="center"/>
              <w:rPr>
                <w:color w:val="FFFFFF" w:themeColor="background1"/>
              </w:rPr>
            </w:pPr>
            <w:r>
              <w:rPr>
                <w:color w:val="FFFFFF" w:themeColor="background1"/>
              </w:rPr>
              <w:t>Crédito de Serviço</w:t>
            </w:r>
          </w:p>
        </w:tc>
      </w:tr>
      <w:tr w:rsidR="00B6541B" w:rsidRPr="00B44CF9" w14:paraId="766EE852" w14:textId="77777777" w:rsidTr="00277097">
        <w:tc>
          <w:tcPr>
            <w:tcW w:w="5400" w:type="dxa"/>
          </w:tcPr>
          <w:p w14:paraId="53F0625F" w14:textId="77777777" w:rsidR="00B6541B" w:rsidRPr="00EF7CF9" w:rsidRDefault="00B6541B" w:rsidP="00391FE2">
            <w:pPr>
              <w:pStyle w:val="ProductList-OfferingBody"/>
              <w:jc w:val="center"/>
            </w:pPr>
            <w:r>
              <w:t>&lt; 99,9%</w:t>
            </w:r>
          </w:p>
        </w:tc>
        <w:tc>
          <w:tcPr>
            <w:tcW w:w="5400" w:type="dxa"/>
          </w:tcPr>
          <w:p w14:paraId="47FAAA95" w14:textId="77777777" w:rsidR="00B6541B" w:rsidRPr="00EF7CF9" w:rsidRDefault="00B6541B" w:rsidP="00391FE2">
            <w:pPr>
              <w:pStyle w:val="ProductList-OfferingBody"/>
              <w:jc w:val="center"/>
            </w:pPr>
            <w:r>
              <w:t>10%</w:t>
            </w:r>
          </w:p>
        </w:tc>
      </w:tr>
      <w:tr w:rsidR="00B6541B" w:rsidRPr="00B44CF9" w14:paraId="6AD1B6C2" w14:textId="77777777" w:rsidTr="00277097">
        <w:tc>
          <w:tcPr>
            <w:tcW w:w="5400" w:type="dxa"/>
          </w:tcPr>
          <w:p w14:paraId="17D39BF6" w14:textId="77777777" w:rsidR="00B6541B" w:rsidRPr="00EF7CF9" w:rsidRDefault="00B6541B" w:rsidP="00391FE2">
            <w:pPr>
              <w:pStyle w:val="ProductList-OfferingBody"/>
              <w:jc w:val="center"/>
            </w:pPr>
            <w:r>
              <w:t>&lt; 99%</w:t>
            </w:r>
          </w:p>
        </w:tc>
        <w:tc>
          <w:tcPr>
            <w:tcW w:w="5400" w:type="dxa"/>
          </w:tcPr>
          <w:p w14:paraId="2C12DDBF" w14:textId="77777777" w:rsidR="00B6541B" w:rsidRPr="00EF7CF9" w:rsidRDefault="00B6541B" w:rsidP="00391FE2">
            <w:pPr>
              <w:pStyle w:val="ProductList-OfferingBody"/>
              <w:jc w:val="center"/>
            </w:pPr>
            <w:r>
              <w:t>25%</w:t>
            </w:r>
          </w:p>
        </w:tc>
      </w:tr>
    </w:tbl>
    <w:p w14:paraId="06E0A7F5" w14:textId="0BADDD2C" w:rsidR="00B6541B" w:rsidRDefault="00532226" w:rsidP="00F01ED6">
      <w:pPr>
        <w:pStyle w:val="ProductList-Body"/>
        <w:spacing w:before="120"/>
      </w:pPr>
      <w:r>
        <w:rPr>
          <w:b/>
          <w:bCs/>
          <w:color w:val="00188F"/>
        </w:rPr>
        <w:t>Termos Adicionais</w:t>
      </w:r>
      <w:r w:rsidRPr="00473DD3">
        <w:rPr>
          <w:b/>
          <w:bCs/>
          <w:color w:val="00188F"/>
        </w:rPr>
        <w:t>:</w:t>
      </w:r>
      <w:r>
        <w:t xml:space="preserve"> O crédito de serviço será aplicado ao serviço individual que estava indisponível. Por exemplo, se o Cliente estava a utilizar serviços de SMS e Chat, e o serviço SMS não cumprir o SLA, o Cliente receberia um crédito pela utilização de SMS, não pela utilização do chat.</w:t>
      </w:r>
    </w:p>
    <w:p w14:paraId="73980EF5" w14:textId="77777777" w:rsidR="00B6541B" w:rsidRPr="00B06E74" w:rsidRDefault="00B6541B" w:rsidP="00F01ED6">
      <w:pPr>
        <w:pStyle w:val="ProductList-Body"/>
        <w:rPr>
          <w:sz w:val="12"/>
          <w:szCs w:val="12"/>
        </w:rPr>
      </w:pPr>
    </w:p>
    <w:p w14:paraId="2B82CC9C" w14:textId="2FE31A1A" w:rsidR="00B6541B" w:rsidRDefault="00B6541B" w:rsidP="00F01ED6">
      <w:pPr>
        <w:pStyle w:val="ProductList-Body"/>
      </w:pPr>
      <w:r>
        <w:t>Os minutos disponíveis baseiam-se apenas em serviços que estão sob o controlo do Azure Communication Services, o que exclui serviços de terceiros, tais como operadoras e fornecedores de telecomunicações.</w:t>
      </w:r>
    </w:p>
    <w:p w14:paraId="02F70870"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76DED38" w14:textId="77777777" w:rsidR="00774368" w:rsidRPr="00774368" w:rsidRDefault="00774368" w:rsidP="00F01ED6">
      <w:pPr>
        <w:pStyle w:val="ProductList-Offering2Heading"/>
        <w:keepNext/>
        <w:tabs>
          <w:tab w:val="clear" w:pos="360"/>
          <w:tab w:val="clear" w:pos="720"/>
          <w:tab w:val="clear" w:pos="1080"/>
        </w:tabs>
        <w:spacing w:before="0" w:after="0"/>
        <w:outlineLvl w:val="2"/>
      </w:pPr>
      <w:bookmarkStart w:id="184" w:name="_Toc239176443"/>
      <w:r>
        <w:t>Azure Confidential Ledger</w:t>
      </w:r>
      <w:bookmarkEnd w:id="184"/>
    </w:p>
    <w:p w14:paraId="4F327946" w14:textId="719E083B" w:rsidR="00774368" w:rsidRPr="00774368" w:rsidRDefault="00EE6E3C" w:rsidP="00F01ED6">
      <w:pPr>
        <w:pStyle w:val="ProductList-Body"/>
        <w:rPr>
          <w:b/>
          <w:bCs/>
          <w:color w:val="00188F"/>
        </w:rPr>
      </w:pPr>
      <w:r>
        <w:rPr>
          <w:b/>
          <w:bCs/>
          <w:color w:val="00188F"/>
        </w:rPr>
        <w:t>Cálculo do Período de Disponibilidade e Níveis de Serviço para o Azure Confidential Ledger</w:t>
      </w:r>
    </w:p>
    <w:p w14:paraId="5E635D0D" w14:textId="41D0651D" w:rsidR="00774368" w:rsidRDefault="00380305" w:rsidP="00F01ED6">
      <w:pPr>
        <w:pStyle w:val="ProductList-Body"/>
      </w:pPr>
      <w:r>
        <w:t>“</w:t>
      </w:r>
      <w:r w:rsidR="00774368">
        <w:rPr>
          <w:b/>
          <w:bCs/>
          <w:color w:val="00188F"/>
        </w:rPr>
        <w:t>Minutos de Implementação</w:t>
      </w:r>
      <w:r>
        <w:t>”</w:t>
      </w:r>
      <w:r w:rsidR="00774368">
        <w:t xml:space="preserve"> designa o número total de minutos durante os quais um determinado livro-razão confidencial gerido foi implementado no Microsoft Azure durante um Período Aplicável.</w:t>
      </w:r>
    </w:p>
    <w:p w14:paraId="7F32078E" w14:textId="4BAC3862" w:rsidR="00774368" w:rsidRDefault="00380305" w:rsidP="00F01ED6">
      <w:pPr>
        <w:pStyle w:val="ProductList-Body"/>
      </w:pPr>
      <w:r>
        <w:lastRenderedPageBreak/>
        <w:t>“</w:t>
      </w:r>
      <w:r w:rsidR="00774368">
        <w:rPr>
          <w:b/>
          <w:bCs/>
          <w:color w:val="00188F"/>
        </w:rPr>
        <w:t>Máximo de Minutos Disponíveis</w:t>
      </w:r>
      <w:r>
        <w:t>”</w:t>
      </w:r>
      <w:r w:rsidR="00774368">
        <w:t xml:space="preserve"> designa a soma de todos os Minutos de Implementação em todos os livros-razão confidenciais geridos implementados pelo Cliente numa determinada subscrição do Microsoft Azure durante um Período Aplicável.</w:t>
      </w:r>
    </w:p>
    <w:p w14:paraId="12F1C8B0" w14:textId="763E21E2" w:rsidR="00774368" w:rsidRDefault="00380305" w:rsidP="00F01ED6">
      <w:pPr>
        <w:pStyle w:val="ProductList-Body"/>
      </w:pPr>
      <w:r>
        <w:t>“</w:t>
      </w:r>
      <w:r w:rsidR="00774368">
        <w:rPr>
          <w:b/>
          <w:bCs/>
          <w:color w:val="00188F"/>
        </w:rPr>
        <w:t>Transações Excluídas</w:t>
      </w:r>
      <w:r>
        <w:t>”</w:t>
      </w:r>
      <w:r w:rsidR="00774368">
        <w:t xml:space="preserve"> são transações para criar, atualizar ou eliminar livros-razão confidenciais geridos.</w:t>
      </w:r>
    </w:p>
    <w:p w14:paraId="5F7EAD95" w14:textId="754F126F" w:rsidR="00774368" w:rsidRDefault="00380305" w:rsidP="00F01ED6">
      <w:pPr>
        <w:pStyle w:val="ProductList-Body"/>
      </w:pPr>
      <w:r>
        <w:t>“</w:t>
      </w:r>
      <w:r w:rsidR="00774368">
        <w:rPr>
          <w:b/>
          <w:bCs/>
          <w:color w:val="00188F"/>
        </w:rPr>
        <w:t>Período de Indisponibilidade</w:t>
      </w:r>
      <w:r>
        <w:t>”</w:t>
      </w:r>
      <w:r w:rsidR="00774368">
        <w:t xml:space="preserve"> designa o total de minutos acumulados, em todos os livros-razão confidenciais geridos implementados pelo Cliente</w:t>
      </w:r>
      <w:r w:rsidR="00680432">
        <w:t> </w:t>
      </w:r>
      <w:r w:rsidR="00774368">
        <w:t>numa determinada subscrição do Microsoft Azure, durante a qual o livro-razão confidencial gerido está indisponível. Um minuto é</w:t>
      </w:r>
      <w:r w:rsidR="00680432">
        <w:t> </w:t>
      </w:r>
      <w:r w:rsidR="00774368">
        <w:t>considerado indisponível para um determinado livro-razão confidencial se todas as tentativas contínuas para executar transações, que não</w:t>
      </w:r>
      <w:r w:rsidR="00774368" w:rsidRPr="00680432">
        <w:t xml:space="preserve"> </w:t>
      </w:r>
      <w:r w:rsidR="00774368">
        <w:t>Transações Excluídas, no livro-razão confidencial durante esse minuto devolverem um Código de Erro ou não resultarem num Código de Êxito num</w:t>
      </w:r>
      <w:r w:rsidR="00680432">
        <w:t> </w:t>
      </w:r>
      <w:r w:rsidR="00774368">
        <w:t>prazo de 5 segundos após a receção do pedido por parte da Microsoft.</w:t>
      </w:r>
    </w:p>
    <w:p w14:paraId="431E0688" w14:textId="30B3307C" w:rsidR="00774368" w:rsidRDefault="00774368" w:rsidP="00F01ED6">
      <w:pPr>
        <w:pStyle w:val="ProductList-Body"/>
      </w:pPr>
      <w:r>
        <w:t xml:space="preserve">A </w:t>
      </w:r>
      <w:r w:rsidR="00380305">
        <w:t>“</w:t>
      </w:r>
      <w:r>
        <w:rPr>
          <w:b/>
          <w:bCs/>
          <w:color w:val="00188F"/>
        </w:rPr>
        <w:t>Percentagem de Período de Disponibilidade</w:t>
      </w:r>
      <w:r w:rsidR="00380305">
        <w:t>”</w:t>
      </w:r>
      <w:r>
        <w:t xml:space="preserve"> para o serviço Azure Confidential Ledger é calculada como o Máximo de Minutos Disponíveis menos o Período de Indisponibilidade a dividir pelo Máximo de Minutos Disponíveis num Período Aplicável para uma determinada subscrição do</w:t>
      </w:r>
      <w:r w:rsidR="00DA3382">
        <w:t> </w:t>
      </w:r>
      <w:r>
        <w:t>Microsoft Azure. A Percentagem de Período de Disponibilidade é representada pela seguinte fórmula:</w:t>
      </w:r>
    </w:p>
    <w:p w14:paraId="71ED74DB" w14:textId="19DDD41A" w:rsidR="00774368" w:rsidRPr="00B06E74" w:rsidRDefault="00774368" w:rsidP="00F01ED6">
      <w:pPr>
        <w:pStyle w:val="ProductList-Body"/>
        <w:rPr>
          <w:sz w:val="12"/>
          <w:szCs w:val="12"/>
        </w:rPr>
      </w:pPr>
    </w:p>
    <w:p w14:paraId="79D5452C" w14:textId="1BE4CA3C" w:rsidR="00774368" w:rsidRPr="00AB1841" w:rsidRDefault="00000000" w:rsidP="00F01ED6">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C2DF121" w14:textId="77777777" w:rsidR="00774368" w:rsidRPr="00774368" w:rsidRDefault="00774368" w:rsidP="00F01ED6">
      <w:pPr>
        <w:pStyle w:val="ProductList-Body"/>
        <w:keepNext/>
        <w:rPr>
          <w:b/>
          <w:bCs/>
          <w:color w:val="00188F"/>
        </w:rPr>
      </w:pPr>
      <w:r>
        <w:rPr>
          <w:b/>
          <w:bCs/>
          <w:color w:val="00188F"/>
        </w:rPr>
        <w:t>Os seguintes Níveis de Serviço e Créditos de Serviço são aplicáveis à utilização do Azure Confidential Ledger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8751BF2" w14:textId="77777777" w:rsidR="00774368" w:rsidRPr="001A0074" w:rsidRDefault="00774368" w:rsidP="00F01ED6">
            <w:pPr>
              <w:pStyle w:val="ProductList-OfferingBody"/>
              <w:jc w:val="center"/>
              <w:rPr>
                <w:color w:val="FFFFFF" w:themeColor="background1"/>
              </w:rPr>
            </w:pPr>
            <w:r>
              <w:rPr>
                <w:color w:val="FFFFFF" w:themeColor="background1"/>
              </w:rPr>
              <w:t>Crédito de Serviço</w:t>
            </w:r>
          </w:p>
        </w:tc>
      </w:tr>
      <w:tr w:rsidR="00774368" w:rsidRPr="00B44CF9" w14:paraId="495AD578" w14:textId="77777777" w:rsidTr="00277097">
        <w:tc>
          <w:tcPr>
            <w:tcW w:w="5400" w:type="dxa"/>
          </w:tcPr>
          <w:p w14:paraId="0E1A7FE2" w14:textId="77777777" w:rsidR="00774368" w:rsidRPr="0076238C" w:rsidRDefault="00774368" w:rsidP="00F01ED6">
            <w:pPr>
              <w:pStyle w:val="ProductList-OfferingBody"/>
              <w:jc w:val="center"/>
            </w:pPr>
            <w:r>
              <w:t>&lt; 99,9%</w:t>
            </w:r>
          </w:p>
        </w:tc>
        <w:tc>
          <w:tcPr>
            <w:tcW w:w="5400" w:type="dxa"/>
          </w:tcPr>
          <w:p w14:paraId="29A8BCAC" w14:textId="77777777" w:rsidR="00774368" w:rsidRPr="0076238C" w:rsidRDefault="00774368" w:rsidP="00F01ED6">
            <w:pPr>
              <w:pStyle w:val="ProductList-OfferingBody"/>
              <w:jc w:val="center"/>
            </w:pPr>
            <w:r>
              <w:t>10%</w:t>
            </w:r>
          </w:p>
        </w:tc>
      </w:tr>
      <w:tr w:rsidR="00774368" w:rsidRPr="00B44CF9" w14:paraId="0C122362" w14:textId="77777777" w:rsidTr="00277097">
        <w:tc>
          <w:tcPr>
            <w:tcW w:w="5400" w:type="dxa"/>
          </w:tcPr>
          <w:p w14:paraId="3CBC4545" w14:textId="77777777" w:rsidR="00774368" w:rsidRPr="0076238C" w:rsidRDefault="00774368" w:rsidP="00F01ED6">
            <w:pPr>
              <w:pStyle w:val="ProductList-OfferingBody"/>
              <w:jc w:val="center"/>
            </w:pPr>
            <w:r>
              <w:t>&lt; 99%</w:t>
            </w:r>
          </w:p>
        </w:tc>
        <w:tc>
          <w:tcPr>
            <w:tcW w:w="5400" w:type="dxa"/>
          </w:tcPr>
          <w:p w14:paraId="1DBA3864" w14:textId="77777777" w:rsidR="00774368" w:rsidRPr="0076238C" w:rsidRDefault="00774368" w:rsidP="00F01ED6">
            <w:pPr>
              <w:pStyle w:val="ProductList-OfferingBody"/>
              <w:jc w:val="center"/>
            </w:pPr>
            <w:r>
              <w:t>25%</w:t>
            </w:r>
          </w:p>
        </w:tc>
      </w:tr>
    </w:tbl>
    <w:p w14:paraId="37502D49"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EEF48DB" w14:textId="77777777" w:rsidR="000B24EC" w:rsidRPr="000B24EC" w:rsidRDefault="000B24EC" w:rsidP="00F01ED6">
      <w:pPr>
        <w:pStyle w:val="ProductList-Offering2Heading"/>
        <w:keepNext/>
        <w:tabs>
          <w:tab w:val="clear" w:pos="360"/>
          <w:tab w:val="clear" w:pos="720"/>
          <w:tab w:val="clear" w:pos="1080"/>
        </w:tabs>
        <w:spacing w:before="0" w:after="0"/>
        <w:outlineLvl w:val="2"/>
      </w:pPr>
      <w:bookmarkStart w:id="185" w:name="_Toc239176444"/>
      <w:r>
        <w:t>Azure Container Apps</w:t>
      </w:r>
      <w:bookmarkEnd w:id="185"/>
    </w:p>
    <w:p w14:paraId="6CCAE860" w14:textId="77777777" w:rsidR="000B24EC" w:rsidRPr="000B24EC" w:rsidRDefault="000B24EC" w:rsidP="00F01ED6">
      <w:pPr>
        <w:pStyle w:val="ProductList-Body"/>
        <w:rPr>
          <w:b/>
          <w:bCs/>
          <w:color w:val="00188F"/>
        </w:rPr>
      </w:pPr>
      <w:r>
        <w:rPr>
          <w:b/>
          <w:bCs/>
          <w:color w:val="00188F"/>
        </w:rPr>
        <w:t>Definições Adicionais</w:t>
      </w:r>
    </w:p>
    <w:p w14:paraId="3F419D97" w14:textId="3D7EBB88" w:rsidR="000B24EC" w:rsidRDefault="00380305" w:rsidP="00F01ED6">
      <w:pPr>
        <w:pStyle w:val="ProductList-Body"/>
      </w:pPr>
      <w:r>
        <w:t>“</w:t>
      </w:r>
      <w:r w:rsidR="000B24EC">
        <w:rPr>
          <w:b/>
          <w:bCs/>
          <w:color w:val="00188F"/>
        </w:rPr>
        <w:t>Aplicação</w:t>
      </w:r>
      <w:r>
        <w:t>”</w:t>
      </w:r>
      <w:r w:rsidR="000B24EC">
        <w:t xml:space="preserve"> é um microsserviço ou uma aplicação implementada por um cliente do serviço Azure Container Apps.</w:t>
      </w:r>
    </w:p>
    <w:p w14:paraId="7A1E0F20" w14:textId="57917914" w:rsidR="000B24EC" w:rsidRPr="008E7C1C" w:rsidRDefault="00380305" w:rsidP="00F01ED6">
      <w:pPr>
        <w:pStyle w:val="ProductList-Body"/>
        <w:rPr>
          <w:spacing w:val="-3"/>
        </w:rPr>
      </w:pPr>
      <w:r>
        <w:rPr>
          <w:spacing w:val="-3"/>
        </w:rPr>
        <w:t>“</w:t>
      </w:r>
      <w:r w:rsidR="000B24EC" w:rsidRPr="008E7C1C">
        <w:rPr>
          <w:b/>
          <w:bCs/>
          <w:color w:val="00188F"/>
          <w:spacing w:val="-3"/>
        </w:rPr>
        <w:t>Minutos de Implementação</w:t>
      </w:r>
      <w:r>
        <w:rPr>
          <w:spacing w:val="-3"/>
        </w:rPr>
        <w:t>”</w:t>
      </w:r>
      <w:r w:rsidR="000B24EC" w:rsidRPr="008E7C1C">
        <w:rPr>
          <w:spacing w:val="-3"/>
        </w:rPr>
        <w:t xml:space="preserve"> designa o número total de minutos durante os quais se espera que uma Aplicação esteja ativa durante um Período Aplicável. O tempo que se espera que uma Aplicação esteja ativa durante um Período Aplicável baseia-se em regras de escala definidas por um cliente.</w:t>
      </w:r>
    </w:p>
    <w:p w14:paraId="577AE7E2" w14:textId="0C70F7A9" w:rsidR="000B24EC" w:rsidRDefault="00380305" w:rsidP="00F01ED6">
      <w:pPr>
        <w:pStyle w:val="ProductList-Body"/>
      </w:pPr>
      <w:r>
        <w:t>“</w:t>
      </w:r>
      <w:r w:rsidR="000B24EC">
        <w:rPr>
          <w:b/>
          <w:bCs/>
          <w:color w:val="00188F"/>
        </w:rPr>
        <w:t>Máximo de Minutos Disponíveis</w:t>
      </w:r>
      <w:r>
        <w:t>”</w:t>
      </w:r>
      <w:r w:rsidR="000B24EC">
        <w:t xml:space="preserve"> designa a soma de todos os Minutos de Implementação para uma determinada Aplicação implementada pelo Cliente numa determinada subscrição do Microsoft Azure durante um Período Aplicável.</w:t>
      </w:r>
    </w:p>
    <w:p w14:paraId="31B96E11" w14:textId="79AF2C7C" w:rsidR="000B24EC" w:rsidRPr="000B24EC" w:rsidRDefault="00EE6E3C" w:rsidP="00B06E74">
      <w:pPr>
        <w:pStyle w:val="ProductList-Body"/>
        <w:rPr>
          <w:b/>
          <w:bCs/>
          <w:color w:val="00188F"/>
        </w:rPr>
      </w:pPr>
      <w:r>
        <w:rPr>
          <w:b/>
          <w:bCs/>
          <w:color w:val="00188F"/>
        </w:rPr>
        <w:t>Cálculo do Período de Disponibilidade e Níveis de Serviço para o Azure Container Apps</w:t>
      </w:r>
    </w:p>
    <w:p w14:paraId="31C04623" w14:textId="60D6084A" w:rsidR="000B24EC" w:rsidRDefault="00380305" w:rsidP="00F01ED6">
      <w:pPr>
        <w:pStyle w:val="ProductList-Body"/>
      </w:pPr>
      <w:r>
        <w:t>“</w:t>
      </w:r>
      <w:r w:rsidR="000B24EC">
        <w:rPr>
          <w:b/>
          <w:bCs/>
          <w:color w:val="00188F"/>
        </w:rPr>
        <w:t>Período de Indisponibilidade</w:t>
      </w:r>
      <w:r>
        <w:t>”</w:t>
      </w:r>
      <w:r w:rsidR="000B24EC">
        <w:t xml:space="preserve"> designa o total de minutos acumulados, em todas as Aplicações implementadas por um Cliente numa determinada subscrição do Microsoft Azure, durante a qual uma ou mais Aplicações está indisponível. Um minuto é considerado indisponível para uma determinada Aplicação quando não existe nenhuma conectividade entre a Aplicação e o gateway de Internet da Microsoft.</w:t>
      </w:r>
    </w:p>
    <w:p w14:paraId="5C76F7F0" w14:textId="3AB85C78" w:rsidR="000B24EC" w:rsidRDefault="00AC48A7" w:rsidP="00F01ED6">
      <w:pPr>
        <w:pStyle w:val="ProductList-Body"/>
      </w:pPr>
      <w:r>
        <w:rPr>
          <w:b/>
          <w:bCs/>
          <w:color w:val="00188F"/>
        </w:rPr>
        <w:t>Percentagem de Período de Disponibilidade:</w:t>
      </w:r>
      <w:r>
        <w:t xml:space="preserve"> A </w:t>
      </w:r>
      <w:r w:rsidR="00380305">
        <w:t>“</w:t>
      </w:r>
      <w:r>
        <w:t>Percentagem de Período de Disponibilidade</w:t>
      </w:r>
      <w:r w:rsidR="00380305">
        <w:t>”</w:t>
      </w:r>
      <w:r>
        <w:t xml:space="preserve"> é calculada através da seguinte fórmula:</w:t>
      </w:r>
    </w:p>
    <w:p w14:paraId="2E6F5040" w14:textId="77777777" w:rsidR="000B24EC" w:rsidRPr="00B06E74" w:rsidRDefault="000B24EC" w:rsidP="00F01ED6">
      <w:pPr>
        <w:pStyle w:val="ProductList-Body"/>
        <w:rPr>
          <w:sz w:val="12"/>
          <w:szCs w:val="12"/>
        </w:rPr>
      </w:pPr>
    </w:p>
    <w:p w14:paraId="2449A806" w14:textId="685017D2" w:rsidR="000B24EC" w:rsidRPr="00AB1841" w:rsidRDefault="00000000" w:rsidP="00F01ED6">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CC817AF" w14:textId="77777777" w:rsidR="000B24EC" w:rsidRPr="0009720F" w:rsidRDefault="000B24EC" w:rsidP="00F01ED6">
      <w:pPr>
        <w:pStyle w:val="ProductList-Body"/>
        <w:keepNext/>
        <w:rPr>
          <w:b/>
          <w:bCs/>
          <w:color w:val="00188F"/>
        </w:rPr>
      </w:pPr>
      <w:r>
        <w:rPr>
          <w:b/>
          <w:bCs/>
          <w:color w:val="00188F"/>
        </w:rPr>
        <w:t>Os seguintes Níveis de Serviço e Créditos de Serviço são aplicáveis à utilização que o Cliente faz do serviço Azure Container Apps: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901E2CC" w14:textId="77777777" w:rsidR="0009720F" w:rsidRPr="001A0074" w:rsidRDefault="0009720F" w:rsidP="00F01ED6">
            <w:pPr>
              <w:pStyle w:val="ProductList-OfferingBody"/>
              <w:jc w:val="center"/>
              <w:rPr>
                <w:color w:val="FFFFFF" w:themeColor="background1"/>
              </w:rPr>
            </w:pPr>
            <w:r>
              <w:rPr>
                <w:color w:val="FFFFFF" w:themeColor="background1"/>
              </w:rPr>
              <w:t>Crédito de Serviço</w:t>
            </w:r>
          </w:p>
        </w:tc>
      </w:tr>
      <w:tr w:rsidR="0009720F" w:rsidRPr="00B44CF9" w14:paraId="247C1443" w14:textId="77777777" w:rsidTr="00277097">
        <w:tc>
          <w:tcPr>
            <w:tcW w:w="5400" w:type="dxa"/>
          </w:tcPr>
          <w:p w14:paraId="63E22245" w14:textId="0C0A2D6A" w:rsidR="0009720F" w:rsidRPr="0076238C" w:rsidRDefault="0009720F" w:rsidP="00F01ED6">
            <w:pPr>
              <w:pStyle w:val="ProductList-OfferingBody"/>
              <w:jc w:val="center"/>
            </w:pPr>
            <w:r>
              <w:t>&lt; 99,95%</w:t>
            </w:r>
          </w:p>
        </w:tc>
        <w:tc>
          <w:tcPr>
            <w:tcW w:w="5400" w:type="dxa"/>
          </w:tcPr>
          <w:p w14:paraId="75499F95" w14:textId="77777777" w:rsidR="0009720F" w:rsidRPr="0076238C" w:rsidRDefault="0009720F" w:rsidP="00F01ED6">
            <w:pPr>
              <w:pStyle w:val="ProductList-OfferingBody"/>
              <w:jc w:val="center"/>
            </w:pPr>
            <w:r>
              <w:t>10%</w:t>
            </w:r>
          </w:p>
        </w:tc>
      </w:tr>
      <w:tr w:rsidR="0009720F" w:rsidRPr="00B44CF9" w14:paraId="0B3713BB" w14:textId="77777777" w:rsidTr="00277097">
        <w:tc>
          <w:tcPr>
            <w:tcW w:w="5400" w:type="dxa"/>
          </w:tcPr>
          <w:p w14:paraId="47220F01" w14:textId="77777777" w:rsidR="0009720F" w:rsidRPr="0076238C" w:rsidRDefault="0009720F" w:rsidP="00F01ED6">
            <w:pPr>
              <w:pStyle w:val="ProductList-OfferingBody"/>
              <w:jc w:val="center"/>
            </w:pPr>
            <w:r>
              <w:t>&lt; 99%</w:t>
            </w:r>
          </w:p>
        </w:tc>
        <w:tc>
          <w:tcPr>
            <w:tcW w:w="5400" w:type="dxa"/>
          </w:tcPr>
          <w:p w14:paraId="00A669D7" w14:textId="77777777" w:rsidR="0009720F" w:rsidRPr="0076238C" w:rsidRDefault="0009720F" w:rsidP="00F01ED6">
            <w:pPr>
              <w:pStyle w:val="ProductList-OfferingBody"/>
              <w:jc w:val="center"/>
            </w:pPr>
            <w:r>
              <w:t>25%</w:t>
            </w:r>
          </w:p>
        </w:tc>
      </w:tr>
      <w:tr w:rsidR="0009720F" w:rsidRPr="00B44CF9" w14:paraId="43FEDA1B" w14:textId="77777777" w:rsidTr="00277097">
        <w:tc>
          <w:tcPr>
            <w:tcW w:w="5400" w:type="dxa"/>
          </w:tcPr>
          <w:p w14:paraId="304A67E9" w14:textId="02332AE5" w:rsidR="0009720F" w:rsidRPr="0076238C" w:rsidRDefault="0009720F" w:rsidP="00F01ED6">
            <w:pPr>
              <w:pStyle w:val="ProductList-OfferingBody"/>
              <w:jc w:val="center"/>
            </w:pPr>
            <w:r>
              <w:t>&lt; 95%</w:t>
            </w:r>
          </w:p>
        </w:tc>
        <w:tc>
          <w:tcPr>
            <w:tcW w:w="5400" w:type="dxa"/>
          </w:tcPr>
          <w:p w14:paraId="31812F43" w14:textId="34C34F3C" w:rsidR="0009720F" w:rsidRDefault="0009720F" w:rsidP="00F01ED6">
            <w:pPr>
              <w:pStyle w:val="ProductList-OfferingBody"/>
              <w:jc w:val="center"/>
            </w:pPr>
            <w:r>
              <w:t>100%</w:t>
            </w:r>
          </w:p>
        </w:tc>
      </w:tr>
    </w:tbl>
    <w:p w14:paraId="7D88D33A"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D97ED15" w14:textId="47BE4869" w:rsidR="004005AF" w:rsidRDefault="004005AF" w:rsidP="00F01ED6">
      <w:pPr>
        <w:pStyle w:val="ProductList-Offering2Heading"/>
        <w:keepNext/>
        <w:tabs>
          <w:tab w:val="clear" w:pos="360"/>
          <w:tab w:val="clear" w:pos="720"/>
          <w:tab w:val="clear" w:pos="1080"/>
        </w:tabs>
        <w:outlineLvl w:val="2"/>
      </w:pPr>
      <w:bookmarkStart w:id="186" w:name="_Toc239176445"/>
      <w:r>
        <w:t>Azure Container Instances</w:t>
      </w:r>
      <w:bookmarkEnd w:id="163"/>
      <w:bookmarkEnd w:id="164"/>
      <w:bookmarkEnd w:id="186"/>
    </w:p>
    <w:p w14:paraId="386F1074" w14:textId="77777777" w:rsidR="004005AF" w:rsidRPr="00DA6241" w:rsidRDefault="004005AF" w:rsidP="00F01ED6">
      <w:pPr>
        <w:pStyle w:val="ProductList-Body"/>
      </w:pPr>
      <w:r>
        <w:rPr>
          <w:b/>
          <w:color w:val="00188F"/>
        </w:rPr>
        <w:t>Definições Adicionais</w:t>
      </w:r>
      <w:r w:rsidRPr="00473DD3">
        <w:rPr>
          <w:b/>
          <w:color w:val="00188F"/>
        </w:rPr>
        <w:t>:</w:t>
      </w:r>
    </w:p>
    <w:p w14:paraId="17D6F31B" w14:textId="13DF7744" w:rsidR="004005AF" w:rsidRPr="00B44CF9" w:rsidRDefault="00380305" w:rsidP="00F01ED6">
      <w:pPr>
        <w:spacing w:after="0" w:line="240" w:lineRule="auto"/>
        <w:rPr>
          <w:rFonts w:eastAsiaTheme="minorEastAsia"/>
          <w:sz w:val="18"/>
          <w:szCs w:val="18"/>
          <w:lang w:eastAsia="zh-TW"/>
        </w:rPr>
      </w:pPr>
      <w:r>
        <w:rPr>
          <w:sz w:val="18"/>
        </w:rPr>
        <w:t>“</w:t>
      </w:r>
      <w:r w:rsidR="004005AF">
        <w:rPr>
          <w:b/>
          <w:color w:val="00188F"/>
          <w:sz w:val="18"/>
        </w:rPr>
        <w:t>Conectividade</w:t>
      </w:r>
      <w:r>
        <w:rPr>
          <w:sz w:val="18"/>
        </w:rPr>
        <w:t>”</w:t>
      </w:r>
      <w:r w:rsidR="004005AF">
        <w:rPr>
          <w:rFonts w:eastAsiaTheme="minorEastAsia"/>
          <w:sz w:val="18"/>
          <w:szCs w:val="18"/>
        </w:rPr>
        <w:t xml:space="preserve"> </w:t>
      </w:r>
      <w:r w:rsidR="004005AF">
        <w:rPr>
          <w:sz w:val="18"/>
        </w:rPr>
        <w:t>designa o tráfego de rede bidirecional entre a o Grupo de Contentores e os outros endereços IP que utilizam os protocolos de</w:t>
      </w:r>
      <w:r w:rsidR="00802F81">
        <w:rPr>
          <w:sz w:val="18"/>
        </w:rPr>
        <w:t> </w:t>
      </w:r>
      <w:r w:rsidR="004005AF">
        <w:rPr>
          <w:sz w:val="18"/>
        </w:rPr>
        <w:t>rede TCP ou UDP em que o Grupo de Contentores está configurado para o tráfego permitido.</w:t>
      </w:r>
    </w:p>
    <w:p w14:paraId="2C3918CB" w14:textId="2F425110" w:rsidR="004005AF" w:rsidRPr="00B44CF9" w:rsidRDefault="00380305" w:rsidP="00F01ED6">
      <w:pPr>
        <w:spacing w:after="0" w:line="240" w:lineRule="auto"/>
        <w:rPr>
          <w:rFonts w:eastAsiaTheme="minorEastAsia"/>
          <w:sz w:val="18"/>
          <w:szCs w:val="18"/>
          <w:lang w:eastAsia="zh-TW"/>
        </w:rPr>
      </w:pPr>
      <w:r>
        <w:rPr>
          <w:sz w:val="18"/>
        </w:rPr>
        <w:t>“</w:t>
      </w:r>
      <w:r w:rsidR="004005AF">
        <w:rPr>
          <w:b/>
          <w:color w:val="00188F"/>
          <w:sz w:val="18"/>
        </w:rPr>
        <w:t>Grupo de Contentores</w:t>
      </w:r>
      <w:r>
        <w:rPr>
          <w:sz w:val="18"/>
        </w:rPr>
        <w:t>”</w:t>
      </w:r>
      <w:r w:rsidR="004005AF">
        <w:rPr>
          <w:rFonts w:eastAsiaTheme="minorEastAsia"/>
          <w:sz w:val="18"/>
          <w:szCs w:val="18"/>
        </w:rPr>
        <w:t xml:space="preserve"> </w:t>
      </w:r>
      <w:r w:rsidR="004005AF">
        <w:rPr>
          <w:sz w:val="18"/>
        </w:rPr>
        <w:t>designa uma coleção de contentores colocalizados que partilha o mesmo ciclo de vida e os recursos de rede.</w:t>
      </w:r>
    </w:p>
    <w:p w14:paraId="2BA58C30" w14:textId="64833E19" w:rsidR="004005AF" w:rsidRPr="006B254C" w:rsidRDefault="00EE6E3C" w:rsidP="00F01ED6">
      <w:pPr>
        <w:spacing w:before="120" w:after="0" w:line="240" w:lineRule="auto"/>
        <w:rPr>
          <w:sz w:val="18"/>
          <w:szCs w:val="18"/>
        </w:rPr>
      </w:pPr>
      <w:r>
        <w:rPr>
          <w:b/>
          <w:color w:val="00188F"/>
          <w:sz w:val="18"/>
          <w:szCs w:val="18"/>
        </w:rPr>
        <w:t>Cálculo do Período de Disponibilidade e Níveis de Serviço para o Grupo de Contentores</w:t>
      </w:r>
      <w:r w:rsidRPr="00473DD3">
        <w:rPr>
          <w:b/>
          <w:color w:val="00188F"/>
          <w:sz w:val="18"/>
          <w:szCs w:val="18"/>
        </w:rPr>
        <w:t>:</w:t>
      </w:r>
    </w:p>
    <w:p w14:paraId="08FFC51D" w14:textId="5686D202" w:rsidR="004005AF" w:rsidRPr="00B44CF9" w:rsidRDefault="00380305" w:rsidP="00F01ED6">
      <w:pPr>
        <w:spacing w:after="0" w:line="240" w:lineRule="auto"/>
        <w:rPr>
          <w:rFonts w:eastAsiaTheme="minorEastAsia"/>
          <w:sz w:val="18"/>
          <w:szCs w:val="18"/>
          <w:lang w:eastAsia="zh-TW"/>
        </w:rPr>
      </w:pPr>
      <w:r>
        <w:rPr>
          <w:sz w:val="18"/>
        </w:rPr>
        <w:t>“</w:t>
      </w:r>
      <w:r w:rsidR="004005AF">
        <w:rPr>
          <w:b/>
          <w:color w:val="00188F"/>
          <w:sz w:val="18"/>
        </w:rPr>
        <w:t>Máximo de Minutos Disponíveis</w:t>
      </w:r>
      <w:r>
        <w:rPr>
          <w:sz w:val="18"/>
        </w:rPr>
        <w:t>”</w:t>
      </w:r>
      <w:r w:rsidR="004005AF">
        <w:rPr>
          <w:rFonts w:eastAsiaTheme="minorEastAsia"/>
          <w:sz w:val="18"/>
          <w:szCs w:val="18"/>
        </w:rPr>
        <w:t xml:space="preserve"> </w:t>
      </w:r>
      <w:r w:rsidR="004005AF">
        <w:rPr>
          <w:sz w:val="18"/>
        </w:rPr>
        <w:t>é o número total de minutos durante o qual um determinado Grupo de Contentores foi implementado pelo Cliente numa subscrição do Microsoft Azure durante um Período Aplicável. O Máximo de Minutos Disponíveis é calculado a partir da ação do Cliente que resulta na inicialização de um determinado Grupo de Contentores até à ação do Cliente que resulta na paragem ou na eliminação de</w:t>
      </w:r>
      <w:r w:rsidR="00A6660C">
        <w:rPr>
          <w:sz w:val="18"/>
        </w:rPr>
        <w:t> </w:t>
      </w:r>
      <w:r w:rsidR="004005AF">
        <w:rPr>
          <w:sz w:val="18"/>
        </w:rPr>
        <w:t>um determinado Grupo de Contentores.</w:t>
      </w:r>
    </w:p>
    <w:p w14:paraId="57399B70" w14:textId="0F2E5803" w:rsidR="004005AF" w:rsidRPr="00B44CF9" w:rsidRDefault="00380305" w:rsidP="00F01ED6">
      <w:pPr>
        <w:spacing w:after="0" w:line="240" w:lineRule="auto"/>
        <w:rPr>
          <w:rFonts w:eastAsiaTheme="minorEastAsia"/>
          <w:sz w:val="18"/>
          <w:szCs w:val="18"/>
          <w:lang w:eastAsia="zh-TW"/>
        </w:rPr>
      </w:pPr>
      <w:r>
        <w:rPr>
          <w:sz w:val="18"/>
        </w:rPr>
        <w:t>“</w:t>
      </w:r>
      <w:r w:rsidR="004005AF">
        <w:rPr>
          <w:b/>
          <w:color w:val="00188F"/>
          <w:sz w:val="18"/>
        </w:rPr>
        <w:t>Período de Indisponibilidade</w:t>
      </w:r>
      <w:r>
        <w:rPr>
          <w:sz w:val="18"/>
        </w:rPr>
        <w:t>”</w:t>
      </w:r>
      <w:r w:rsidR="004005AF">
        <w:rPr>
          <w:rFonts w:eastAsiaTheme="minorEastAsia"/>
          <w:sz w:val="18"/>
          <w:szCs w:val="18"/>
        </w:rPr>
        <w:t xml:space="preserve"> </w:t>
      </w:r>
      <w:r w:rsidR="004005AF">
        <w:rPr>
          <w:sz w:val="18"/>
        </w:rPr>
        <w:t>designa o número total de minutos durante o Máximo de Minutos Disponíveis sem Conectividade.</w:t>
      </w:r>
    </w:p>
    <w:p w14:paraId="03725B88" w14:textId="2B583F57" w:rsidR="004005AF" w:rsidRDefault="00AC48A7" w:rsidP="00F01ED6">
      <w:pPr>
        <w:pStyle w:val="ProductList-Body"/>
      </w:pPr>
      <w:r>
        <w:rPr>
          <w:b/>
          <w:color w:val="00188F"/>
        </w:rPr>
        <w:lastRenderedPageBreak/>
        <w:t>Percentagem de Período de Disponibilidade</w:t>
      </w:r>
      <w:r w:rsidRPr="00473DD3">
        <w:rPr>
          <w:b/>
          <w:color w:val="00188F"/>
        </w:rPr>
        <w:t>:</w:t>
      </w:r>
      <w:r>
        <w:t xml:space="preserve"> A Percentagem de Período de Disponibilidade é calculada através da seguinte fórmula:</w:t>
      </w:r>
    </w:p>
    <w:p w14:paraId="552E1066" w14:textId="77777777" w:rsidR="004005AF" w:rsidRDefault="004005AF" w:rsidP="00F01ED6">
      <w:pPr>
        <w:pStyle w:val="ProductList-Body"/>
      </w:pPr>
    </w:p>
    <w:p w14:paraId="63380865" w14:textId="570C8D4B" w:rsidR="004005AF" w:rsidRPr="00AB1841" w:rsidRDefault="00000000" w:rsidP="00F01ED6">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77A707BE" w14:textId="77777777" w:rsidR="004005AF" w:rsidRPr="00774368" w:rsidRDefault="004005AF" w:rsidP="00F01ED6">
      <w:pPr>
        <w:pStyle w:val="ProductList-Body"/>
        <w:keepNext/>
        <w:rPr>
          <w:b/>
          <w:bCs/>
          <w:color w:val="00188F"/>
        </w:rPr>
      </w:pPr>
      <w:r>
        <w:rPr>
          <w:rFonts w:ascii="Calibri" w:hAnsi="Calibri" w:cs="Calibri"/>
          <w:b/>
          <w:bCs/>
          <w:color w:val="00188F"/>
          <w:shd w:val="clear" w:color="auto" w:fill="FFFFFF"/>
        </w:rPr>
        <w:t>Os seguintes Níveis de Serviço e Créditos de Serviço são aplicáveis à utilização do Grupo de Contentores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D54CC45"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078EA220" w14:textId="77777777" w:rsidTr="00277097">
        <w:tc>
          <w:tcPr>
            <w:tcW w:w="5400" w:type="dxa"/>
          </w:tcPr>
          <w:p w14:paraId="35D30128" w14:textId="77777777" w:rsidR="004005AF" w:rsidRPr="0076238C" w:rsidRDefault="004005AF" w:rsidP="00F01ED6">
            <w:pPr>
              <w:pStyle w:val="ProductList-OfferingBody"/>
              <w:jc w:val="center"/>
            </w:pPr>
            <w:r>
              <w:t>&lt; 99,9%</w:t>
            </w:r>
          </w:p>
        </w:tc>
        <w:tc>
          <w:tcPr>
            <w:tcW w:w="5400" w:type="dxa"/>
          </w:tcPr>
          <w:p w14:paraId="7AE03CEF" w14:textId="77777777" w:rsidR="004005AF" w:rsidRPr="0076238C" w:rsidRDefault="004005AF" w:rsidP="00F01ED6">
            <w:pPr>
              <w:pStyle w:val="ProductList-OfferingBody"/>
              <w:jc w:val="center"/>
            </w:pPr>
            <w:r>
              <w:t>10%</w:t>
            </w:r>
          </w:p>
        </w:tc>
      </w:tr>
      <w:tr w:rsidR="004005AF" w:rsidRPr="00B44CF9" w14:paraId="75F47C6A" w14:textId="77777777" w:rsidTr="00277097">
        <w:tc>
          <w:tcPr>
            <w:tcW w:w="5400" w:type="dxa"/>
          </w:tcPr>
          <w:p w14:paraId="05EE5E80" w14:textId="77777777" w:rsidR="004005AF" w:rsidRPr="0076238C" w:rsidRDefault="004005AF" w:rsidP="00F01ED6">
            <w:pPr>
              <w:pStyle w:val="ProductList-OfferingBody"/>
              <w:jc w:val="center"/>
            </w:pPr>
            <w:r>
              <w:t>&lt; 99%</w:t>
            </w:r>
          </w:p>
        </w:tc>
        <w:tc>
          <w:tcPr>
            <w:tcW w:w="5400" w:type="dxa"/>
          </w:tcPr>
          <w:p w14:paraId="24AC02CF" w14:textId="77777777" w:rsidR="004005AF" w:rsidRPr="0076238C" w:rsidRDefault="004005AF" w:rsidP="00F01ED6">
            <w:pPr>
              <w:pStyle w:val="ProductList-OfferingBody"/>
              <w:jc w:val="center"/>
            </w:pPr>
            <w:r>
              <w:t>25%</w:t>
            </w:r>
          </w:p>
        </w:tc>
      </w:tr>
    </w:tbl>
    <w:bookmarkStart w:id="187" w:name="_Hlk144403372"/>
    <w:bookmarkStart w:id="188" w:name="_Toc52348947"/>
    <w:bookmarkStart w:id="189" w:name="_Toc52348926"/>
    <w:bookmarkStart w:id="190" w:name="AzureCosmosDB"/>
    <w:bookmarkEnd w:id="165"/>
    <w:p w14:paraId="2CFC924C"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83BB6F2" w14:textId="77777777" w:rsidR="00491D0A" w:rsidRPr="00EF7CF9" w:rsidRDefault="00491D0A" w:rsidP="00F01ED6">
      <w:pPr>
        <w:pStyle w:val="ProductList-Offering2Heading"/>
        <w:keepNext/>
        <w:tabs>
          <w:tab w:val="clear" w:pos="360"/>
          <w:tab w:val="clear" w:pos="720"/>
          <w:tab w:val="clear" w:pos="1080"/>
        </w:tabs>
        <w:outlineLvl w:val="2"/>
      </w:pPr>
      <w:bookmarkStart w:id="191" w:name="_Toc239176446"/>
      <w:bookmarkEnd w:id="187"/>
      <w:r>
        <w:t>Azure Container Registry</w:t>
      </w:r>
      <w:bookmarkEnd w:id="188"/>
      <w:bookmarkEnd w:id="191"/>
    </w:p>
    <w:p w14:paraId="05E63E28" w14:textId="77777777" w:rsidR="00491D0A" w:rsidRPr="00EF7CF9" w:rsidRDefault="00491D0A" w:rsidP="00F01ED6">
      <w:pPr>
        <w:pStyle w:val="ProductList-Body"/>
        <w:keepNext/>
        <w:rPr>
          <w:rFonts w:cstheme="minorHAnsi"/>
          <w:b/>
          <w:color w:val="00188F"/>
          <w:szCs w:val="18"/>
        </w:rPr>
      </w:pPr>
      <w:r>
        <w:rPr>
          <w:rFonts w:cstheme="minorHAnsi"/>
          <w:b/>
          <w:color w:val="00188F"/>
          <w:szCs w:val="18"/>
        </w:rPr>
        <w:t>Definições Adicionais</w:t>
      </w:r>
      <w:r w:rsidRPr="00473DD3">
        <w:rPr>
          <w:rFonts w:cstheme="minorHAnsi"/>
          <w:b/>
          <w:color w:val="00188F"/>
          <w:szCs w:val="18"/>
        </w:rPr>
        <w:t>:</w:t>
      </w:r>
    </w:p>
    <w:p w14:paraId="6CEB28A5" w14:textId="3F6A5410" w:rsidR="00491D0A" w:rsidRPr="00EF7CF9" w:rsidRDefault="00380305" w:rsidP="00F01ED6">
      <w:pPr>
        <w:spacing w:after="0" w:line="240" w:lineRule="auto"/>
        <w:rPr>
          <w:rFonts w:eastAsia="Calibri" w:cstheme="minorHAnsi"/>
          <w:sz w:val="18"/>
          <w:szCs w:val="18"/>
        </w:rPr>
      </w:pPr>
      <w:r>
        <w:rPr>
          <w:rFonts w:eastAsia="Calibri" w:cstheme="minorHAnsi"/>
          <w:sz w:val="18"/>
          <w:szCs w:val="18"/>
        </w:rPr>
        <w:t>“</w:t>
      </w:r>
      <w:r w:rsidR="00491D0A">
        <w:rPr>
          <w:rFonts w:cstheme="minorHAnsi"/>
          <w:b/>
          <w:color w:val="00188F"/>
          <w:sz w:val="18"/>
          <w:szCs w:val="18"/>
        </w:rPr>
        <w:t>Registo</w:t>
      </w:r>
      <w:r w:rsidR="00491D0A">
        <w:rPr>
          <w:rFonts w:eastAsia="Calibri" w:cstheme="minorHAnsi"/>
          <w:b/>
          <w:sz w:val="18"/>
          <w:szCs w:val="18"/>
        </w:rPr>
        <w:t xml:space="preserve"> </w:t>
      </w:r>
      <w:r w:rsidR="00491D0A">
        <w:rPr>
          <w:rFonts w:cstheme="minorHAnsi"/>
          <w:b/>
          <w:color w:val="00188F"/>
          <w:sz w:val="18"/>
          <w:szCs w:val="18"/>
        </w:rPr>
        <w:t>Gerido</w:t>
      </w:r>
      <w:r>
        <w:rPr>
          <w:rFonts w:eastAsia="Calibri" w:cstheme="minorHAnsi"/>
          <w:sz w:val="18"/>
          <w:szCs w:val="18"/>
        </w:rPr>
        <w:t>”</w:t>
      </w:r>
      <w:r w:rsidR="00491D0A">
        <w:rPr>
          <w:rFonts w:eastAsia="Calibri" w:cstheme="minorHAnsi"/>
          <w:sz w:val="18"/>
          <w:szCs w:val="18"/>
        </w:rPr>
        <w:t xml:space="preserve"> designa qualquer instância do Registo de Contentores Basic, Standard ou Premium.</w:t>
      </w:r>
    </w:p>
    <w:p w14:paraId="148330EA" w14:textId="3729EF31" w:rsidR="00491D0A" w:rsidRPr="00EF7CF9" w:rsidRDefault="00380305" w:rsidP="00F01ED6">
      <w:pPr>
        <w:spacing w:after="0" w:line="240" w:lineRule="auto"/>
        <w:rPr>
          <w:rFonts w:cstheme="minorHAnsi"/>
          <w:sz w:val="18"/>
          <w:szCs w:val="18"/>
        </w:rPr>
      </w:pPr>
      <w:r>
        <w:rPr>
          <w:rFonts w:cstheme="minorHAnsi"/>
          <w:sz w:val="18"/>
          <w:szCs w:val="18"/>
        </w:rPr>
        <w:t>“</w:t>
      </w:r>
      <w:r w:rsidR="00491D0A">
        <w:rPr>
          <w:rFonts w:cstheme="minorHAnsi"/>
          <w:b/>
          <w:color w:val="00188F"/>
          <w:sz w:val="18"/>
          <w:szCs w:val="18"/>
        </w:rPr>
        <w:t>Parâmetro</w:t>
      </w:r>
      <w:r w:rsidR="00491D0A">
        <w:rPr>
          <w:rFonts w:cstheme="minorHAnsi"/>
          <w:b/>
          <w:sz w:val="18"/>
          <w:szCs w:val="18"/>
        </w:rPr>
        <w:t xml:space="preserve"> </w:t>
      </w:r>
      <w:r w:rsidR="00491D0A">
        <w:rPr>
          <w:rFonts w:cstheme="minorHAnsi"/>
          <w:b/>
          <w:color w:val="00188F"/>
          <w:sz w:val="18"/>
          <w:szCs w:val="18"/>
        </w:rPr>
        <w:t>do Registo</w:t>
      </w:r>
      <w:r>
        <w:rPr>
          <w:rFonts w:cstheme="minorHAnsi"/>
          <w:sz w:val="18"/>
          <w:szCs w:val="18"/>
        </w:rPr>
        <w:t>”</w:t>
      </w:r>
      <w:r w:rsidR="00491D0A">
        <w:rPr>
          <w:rFonts w:cstheme="minorHAnsi"/>
          <w:sz w:val="18"/>
          <w:szCs w:val="18"/>
        </w:rPr>
        <w:t xml:space="preserve"> designa o nome do anfitrião a partir do qual um determinado Registo Gerido é acedido pelos clientes para executarem operações relacionadas com o Registo de Contentores. </w:t>
      </w:r>
    </w:p>
    <w:p w14:paraId="07F834F0" w14:textId="297D75FA" w:rsidR="00491D0A" w:rsidRPr="00EF7CF9" w:rsidRDefault="00380305" w:rsidP="00F01ED6">
      <w:pPr>
        <w:spacing w:after="0" w:line="240" w:lineRule="auto"/>
        <w:rPr>
          <w:rFonts w:cstheme="minorHAnsi"/>
          <w:sz w:val="18"/>
          <w:szCs w:val="18"/>
        </w:rPr>
      </w:pPr>
      <w:r>
        <w:rPr>
          <w:rFonts w:cstheme="minorHAnsi"/>
          <w:sz w:val="18"/>
          <w:szCs w:val="18"/>
        </w:rPr>
        <w:t>“</w:t>
      </w:r>
      <w:r w:rsidR="00491D0A">
        <w:rPr>
          <w:rFonts w:cstheme="minorHAnsi"/>
          <w:b/>
          <w:color w:val="00188F"/>
          <w:sz w:val="18"/>
          <w:szCs w:val="18"/>
        </w:rPr>
        <w:t>Transações</w:t>
      </w:r>
      <w:r w:rsidR="00491D0A">
        <w:rPr>
          <w:rFonts w:cstheme="minorHAnsi"/>
          <w:b/>
          <w:sz w:val="18"/>
          <w:szCs w:val="18"/>
        </w:rPr>
        <w:t xml:space="preserve"> </w:t>
      </w:r>
      <w:r w:rsidR="00491D0A">
        <w:rPr>
          <w:rFonts w:cstheme="minorHAnsi"/>
          <w:b/>
          <w:color w:val="00188F"/>
          <w:sz w:val="18"/>
          <w:szCs w:val="18"/>
        </w:rPr>
        <w:t>do Registo</w:t>
      </w:r>
      <w:r>
        <w:rPr>
          <w:rFonts w:cstheme="minorHAnsi"/>
          <w:sz w:val="18"/>
          <w:szCs w:val="18"/>
        </w:rPr>
        <w:t>”</w:t>
      </w:r>
      <w:r w:rsidR="00491D0A">
        <w:rPr>
          <w:rFonts w:cstheme="minorHAnsi"/>
          <w:sz w:val="18"/>
          <w:szCs w:val="18"/>
        </w:rPr>
        <w:t xml:space="preserve"> designa o conjunto de pedidos de transações enviados pelo cliente para o Parâmetro do Registo. </w:t>
      </w:r>
    </w:p>
    <w:p w14:paraId="009FC995" w14:textId="2E93592D" w:rsidR="00491D0A" w:rsidRPr="00ED4527" w:rsidRDefault="00EE6E3C" w:rsidP="00F01ED6">
      <w:pPr>
        <w:spacing w:after="0" w:line="240" w:lineRule="auto"/>
        <w:rPr>
          <w:rFonts w:eastAsia="Calibri" w:cstheme="minorHAnsi"/>
          <w:b/>
          <w:bCs/>
          <w:color w:val="00188F"/>
          <w:sz w:val="18"/>
          <w:szCs w:val="18"/>
        </w:rPr>
      </w:pPr>
      <w:r>
        <w:rPr>
          <w:rFonts w:eastAsia="Calibri" w:cstheme="minorHAnsi"/>
          <w:b/>
          <w:bCs/>
          <w:color w:val="00188F"/>
          <w:sz w:val="18"/>
          <w:szCs w:val="18"/>
        </w:rPr>
        <w:t>Cálculo do Período de Disponibilidade e Níveis de Serviço para o Registo Gerido de Contentores</w:t>
      </w:r>
    </w:p>
    <w:p w14:paraId="0D05033E" w14:textId="17928601" w:rsidR="00491D0A" w:rsidRPr="00EF7CF9" w:rsidRDefault="00380305" w:rsidP="00F01ED6">
      <w:pPr>
        <w:spacing w:after="0" w:line="240" w:lineRule="auto"/>
        <w:rPr>
          <w:rFonts w:cstheme="minorHAnsi"/>
          <w:sz w:val="18"/>
          <w:szCs w:val="18"/>
        </w:rPr>
      </w:pPr>
      <w:r>
        <w:rPr>
          <w:rFonts w:eastAsia="Calibri" w:cstheme="minorHAnsi"/>
          <w:sz w:val="18"/>
          <w:szCs w:val="18"/>
        </w:rPr>
        <w:t>“</w:t>
      </w:r>
      <w:r w:rsidR="00491D0A">
        <w:rPr>
          <w:rFonts w:cstheme="minorHAnsi"/>
          <w:b/>
          <w:color w:val="00188F"/>
          <w:sz w:val="18"/>
          <w:szCs w:val="18"/>
        </w:rPr>
        <w:t>Máximo de</w:t>
      </w:r>
      <w:r w:rsidR="00491D0A">
        <w:rPr>
          <w:rFonts w:eastAsia="Calibri" w:cstheme="minorHAnsi"/>
          <w:b/>
          <w:bCs/>
          <w:sz w:val="18"/>
          <w:szCs w:val="18"/>
        </w:rPr>
        <w:t xml:space="preserve"> </w:t>
      </w:r>
      <w:r w:rsidR="00491D0A">
        <w:rPr>
          <w:rFonts w:cstheme="minorHAnsi"/>
          <w:b/>
          <w:color w:val="00188F"/>
          <w:sz w:val="18"/>
          <w:szCs w:val="18"/>
        </w:rPr>
        <w:t>Minutos</w:t>
      </w:r>
      <w:r w:rsidR="00491D0A">
        <w:rPr>
          <w:rFonts w:eastAsia="Calibri" w:cstheme="minorHAnsi"/>
          <w:b/>
          <w:bCs/>
          <w:sz w:val="18"/>
          <w:szCs w:val="18"/>
        </w:rPr>
        <w:t xml:space="preserve"> </w:t>
      </w:r>
      <w:r w:rsidR="00491D0A">
        <w:rPr>
          <w:rFonts w:cstheme="minorHAnsi"/>
          <w:b/>
          <w:color w:val="00188F"/>
          <w:sz w:val="18"/>
          <w:szCs w:val="18"/>
        </w:rPr>
        <w:t>Disponíveis</w:t>
      </w:r>
      <w:r>
        <w:rPr>
          <w:rFonts w:cstheme="minorHAnsi"/>
          <w:sz w:val="18"/>
          <w:szCs w:val="18"/>
        </w:rPr>
        <w:t>”</w:t>
      </w:r>
      <w:r w:rsidR="00491D0A">
        <w:rPr>
          <w:rFonts w:cstheme="minorHAnsi"/>
          <w:sz w:val="18"/>
          <w:szCs w:val="18"/>
        </w:rPr>
        <w:t xml:space="preserve"> é o número total de minutos durante os quais um Registo Gerido de Contentores foi implementado pelo Cliente numa subscrição da Microsoft durante um Período Aplicável.</w:t>
      </w:r>
    </w:p>
    <w:p w14:paraId="145A1826" w14:textId="388C886C" w:rsidR="00491D0A" w:rsidRPr="00EF7CF9" w:rsidRDefault="00380305" w:rsidP="00F01ED6">
      <w:pPr>
        <w:spacing w:after="0" w:line="240" w:lineRule="auto"/>
        <w:rPr>
          <w:rFonts w:eastAsia="Calibri" w:cstheme="minorHAnsi"/>
          <w:sz w:val="18"/>
          <w:szCs w:val="18"/>
        </w:rPr>
      </w:pPr>
      <w:r>
        <w:rPr>
          <w:rFonts w:eastAsia="Calibri" w:cstheme="minorHAnsi"/>
          <w:sz w:val="18"/>
          <w:szCs w:val="18"/>
        </w:rPr>
        <w:t>“</w:t>
      </w:r>
      <w:r w:rsidR="00491D0A">
        <w:rPr>
          <w:rFonts w:cstheme="minorHAnsi"/>
          <w:b/>
          <w:color w:val="00188F"/>
          <w:sz w:val="18"/>
          <w:szCs w:val="18"/>
        </w:rPr>
        <w:t>Período de Indisponibilidade</w:t>
      </w:r>
      <w:r>
        <w:rPr>
          <w:rFonts w:eastAsia="Calibri" w:cstheme="minorHAnsi"/>
          <w:sz w:val="18"/>
          <w:szCs w:val="18"/>
        </w:rPr>
        <w:t>”</w:t>
      </w:r>
      <w:r w:rsidR="00491D0A">
        <w:rPr>
          <w:rFonts w:eastAsia="Calibri" w:cstheme="minorHAnsi"/>
          <w:sz w:val="18"/>
          <w:szCs w:val="18"/>
        </w:rPr>
        <w:t xml:space="preserve"> designa o número total de minutos no Máximo de Minutos Disponíveis durante o qual o Registo Gerido está indisponível. Um minuto é considerado indisponível se todas as tentativas contínuas para enviar Transações do Registo recebem um Código de Erro</w:t>
      </w:r>
      <w:r w:rsidR="00A54B67">
        <w:rPr>
          <w:rFonts w:eastAsia="Calibri" w:cstheme="minorHAnsi"/>
          <w:sz w:val="18"/>
          <w:szCs w:val="18"/>
        </w:rPr>
        <w:t> </w:t>
      </w:r>
      <w:r w:rsidR="00491D0A">
        <w:rPr>
          <w:rFonts w:eastAsia="Calibri" w:cstheme="minorHAnsi"/>
          <w:sz w:val="18"/>
          <w:szCs w:val="18"/>
        </w:rPr>
        <w:t>ou não respondem no Tempo Máximo de Processamento descrito na tabela abaixo.</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F01ED6">
            <w:pPr>
              <w:keepNext/>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Tipos de Transação</w:t>
            </w:r>
          </w:p>
        </w:tc>
        <w:tc>
          <w:tcPr>
            <w:tcW w:w="2500" w:type="pct"/>
            <w:shd w:val="clear" w:color="auto" w:fill="0070C0"/>
          </w:tcPr>
          <w:p w14:paraId="1656A56F" w14:textId="77777777" w:rsidR="00491D0A" w:rsidRPr="00D30B89" w:rsidRDefault="00491D0A" w:rsidP="00F01ED6">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Tempo Máximo de Processamento</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391FE2" w:rsidRDefault="00491D0A" w:rsidP="008E18CD">
            <w:pPr>
              <w:keepNext/>
              <w:spacing w:before="20" w:after="20"/>
              <w:jc w:val="center"/>
              <w:rPr>
                <w:rFonts w:eastAsia="Calibri" w:cstheme="minorHAnsi"/>
                <w:b w:val="0"/>
                <w:sz w:val="16"/>
                <w:szCs w:val="16"/>
              </w:rPr>
            </w:pPr>
            <w:r w:rsidRPr="00391FE2">
              <w:rPr>
                <w:rFonts w:eastAsia="Calibri" w:cstheme="minorHAnsi"/>
                <w:b w:val="0"/>
                <w:sz w:val="16"/>
                <w:szCs w:val="16"/>
              </w:rPr>
              <w:t>Lista (Repositório, Manifestos, Etiquetas)</w:t>
            </w:r>
          </w:p>
        </w:tc>
        <w:tc>
          <w:tcPr>
            <w:tcW w:w="2500" w:type="pct"/>
          </w:tcPr>
          <w:p w14:paraId="3388B82A" w14:textId="77777777" w:rsidR="00491D0A" w:rsidRPr="00391FE2" w:rsidRDefault="00491D0A" w:rsidP="008E18CD">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91FE2">
              <w:rPr>
                <w:rFonts w:eastAsia="Calibri" w:cstheme="minorHAnsi"/>
                <w:sz w:val="16"/>
                <w:szCs w:val="16"/>
              </w:rPr>
              <w:t>8 minutos</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391FE2" w:rsidRDefault="00491D0A" w:rsidP="008E18CD">
            <w:pPr>
              <w:spacing w:before="20" w:after="20"/>
              <w:jc w:val="center"/>
              <w:rPr>
                <w:rFonts w:eastAsia="Calibri" w:cstheme="minorHAnsi"/>
                <w:b w:val="0"/>
                <w:sz w:val="16"/>
                <w:szCs w:val="16"/>
              </w:rPr>
            </w:pPr>
            <w:r w:rsidRPr="00391FE2">
              <w:rPr>
                <w:rFonts w:eastAsia="Calibri" w:cstheme="minorHAnsi"/>
                <w:b w:val="0"/>
                <w:sz w:val="16"/>
                <w:szCs w:val="16"/>
              </w:rPr>
              <w:t>Outros</w:t>
            </w:r>
          </w:p>
        </w:tc>
        <w:tc>
          <w:tcPr>
            <w:tcW w:w="2500" w:type="pct"/>
          </w:tcPr>
          <w:p w14:paraId="4B4DD1DD" w14:textId="77777777" w:rsidR="00491D0A" w:rsidRPr="00391FE2" w:rsidRDefault="00491D0A" w:rsidP="008E18CD">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91FE2">
              <w:rPr>
                <w:rFonts w:eastAsia="Calibri" w:cstheme="minorHAnsi"/>
                <w:sz w:val="16"/>
                <w:szCs w:val="16"/>
              </w:rPr>
              <w:t>1 Minuto</w:t>
            </w:r>
          </w:p>
        </w:tc>
      </w:tr>
    </w:tbl>
    <w:p w14:paraId="61A3F4B8" w14:textId="49B1601F" w:rsidR="00491D0A" w:rsidRPr="00EF7CF9" w:rsidRDefault="00491D0A" w:rsidP="000C1785">
      <w:pPr>
        <w:pStyle w:val="ProductList-Body"/>
        <w:spacing w:before="120" w:after="120"/>
        <w:rPr>
          <w:rFonts w:eastAsia="Calibri" w:cstheme="minorHAnsi"/>
          <w:szCs w:val="18"/>
        </w:rPr>
      </w:pPr>
      <w:r>
        <w:t xml:space="preserve">A </w:t>
      </w:r>
      <w:r w:rsidR="00380305">
        <w:rPr>
          <w:rFonts w:eastAsia="Calibri" w:cstheme="minorHAnsi"/>
          <w:szCs w:val="18"/>
        </w:rPr>
        <w:t>“</w:t>
      </w:r>
      <w:r>
        <w:rPr>
          <w:rFonts w:cstheme="minorHAnsi"/>
          <w:b/>
          <w:color w:val="00188F"/>
          <w:szCs w:val="18"/>
        </w:rPr>
        <w:t>Percentagem de Período de Disponibilidade</w:t>
      </w:r>
      <w:r w:rsidR="00380305">
        <w:rPr>
          <w:rFonts w:eastAsia="Calibri" w:cstheme="minorHAnsi"/>
          <w:szCs w:val="18"/>
        </w:rPr>
        <w:t>”</w:t>
      </w:r>
      <w:r>
        <w:rPr>
          <w:rFonts w:eastAsia="Calibri" w:cstheme="minorHAnsi"/>
          <w:szCs w:val="18"/>
        </w:rPr>
        <w:t xml:space="preserve"> para o Registo Gerido de Contentores é calculada com a seguinte fórmula: </w:t>
      </w:r>
    </w:p>
    <w:p w14:paraId="3D465282" w14:textId="1F92ED02" w:rsidR="00491D0A" w:rsidRPr="00EF7CF9" w:rsidRDefault="008E7C1C" w:rsidP="00E430E1">
      <w:pPr>
        <w:spacing w:before="120" w:after="120" w:line="240" w:lineRule="auto"/>
        <w:rPr>
          <w:rFonts w:eastAsia="Calibri" w:cstheme="minorHAnsi"/>
          <w:sz w:val="18"/>
          <w:szCs w:val="18"/>
        </w:rPr>
      </w:pPr>
      <m:oMathPara>
        <m:oMath>
          <m:r>
            <w:rPr>
              <w:rFonts w:ascii="Cambria Math" w:hAnsi="Cambria Math" w:cs="Tahoma"/>
              <w:sz w:val="18"/>
              <w:szCs w:val="18"/>
            </w:rPr>
            <m:t xml:space="preserve">% </m:t>
          </m:r>
          <m:r>
            <m:rPr>
              <m:nor/>
            </m:rPr>
            <w:rPr>
              <w:rFonts w:ascii="Cambria Math" w:hAnsi="Cambria Math" w:cs="Tahoma"/>
              <w:i/>
              <w:iCs/>
              <w:sz w:val="18"/>
              <w:szCs w:val="18"/>
            </w:rPr>
            <m:t>de Período de Disponibilidade Mensal</m:t>
          </m:r>
          <m:r>
            <w:rPr>
              <w:rFonts w:ascii="Cambria Math" w:hAnsi="Cambria Math" w:cs="Tahoma"/>
              <w:sz w:val="18"/>
              <w:szCs w:val="18"/>
            </w:rPr>
            <m:t>=</m:t>
          </m:r>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Disponíveis-Período de Indisponibilidade)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1E0CE1">
      <w:pPr>
        <w:keepNext/>
        <w:spacing w:after="0" w:line="240" w:lineRule="auto"/>
        <w:rPr>
          <w:rFonts w:cstheme="minorHAnsi"/>
          <w:b/>
          <w:color w:val="00188F"/>
          <w:sz w:val="18"/>
          <w:szCs w:val="18"/>
        </w:rPr>
      </w:pPr>
      <w:r>
        <w:rPr>
          <w:rFonts w:cstheme="minorHAnsi"/>
          <w:b/>
          <w:color w:val="00188F"/>
          <w:sz w:val="18"/>
          <w:szCs w:val="18"/>
        </w:rPr>
        <w:t>Crédito de Serviço</w:t>
      </w:r>
      <w:r w:rsidRPr="00473DD3">
        <w:rPr>
          <w:rFonts w:cstheme="minorHAnsi"/>
          <w:b/>
          <w:color w:val="00188F"/>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8E18CD" w:rsidRDefault="00AC48A7" w:rsidP="008E18CD">
            <w:pPr>
              <w:pStyle w:val="ProductList-OfferingBody"/>
              <w:keepNext/>
              <w:jc w:val="center"/>
              <w:rPr>
                <w:b w:val="0"/>
                <w:bCs w:val="0"/>
                <w:color w:val="FFFFFF" w:themeColor="background1"/>
                <w:szCs w:val="16"/>
              </w:rPr>
            </w:pPr>
            <w:r w:rsidRPr="008E18CD">
              <w:rPr>
                <w:b w:val="0"/>
                <w:bCs w:val="0"/>
                <w:color w:val="FFFFFF" w:themeColor="background1"/>
                <w:szCs w:val="16"/>
              </w:rPr>
              <w:t xml:space="preserve">Percentagem de Período de Disponibilidade </w:t>
            </w:r>
          </w:p>
        </w:tc>
        <w:tc>
          <w:tcPr>
            <w:tcW w:w="2500" w:type="pct"/>
            <w:shd w:val="clear" w:color="auto" w:fill="0070C0"/>
          </w:tcPr>
          <w:p w14:paraId="315157CE" w14:textId="77777777" w:rsidR="00491D0A" w:rsidRPr="008E18CD" w:rsidRDefault="00491D0A" w:rsidP="008E18CD">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szCs w:val="16"/>
                <w:lang w:eastAsia="en-US"/>
              </w:rPr>
            </w:pPr>
            <w:r w:rsidRPr="008E18CD">
              <w:rPr>
                <w:rFonts w:eastAsiaTheme="minorHAnsi"/>
                <w:b w:val="0"/>
                <w:bCs w:val="0"/>
                <w:color w:val="FFFFFF" w:themeColor="background1"/>
                <w:sz w:val="16"/>
                <w:szCs w:val="16"/>
              </w:rPr>
              <w:t>Crédito de Serviço</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8E18CD" w:rsidRDefault="00491D0A" w:rsidP="008E18CD">
            <w:pPr>
              <w:keepNext/>
              <w:spacing w:before="20" w:after="20"/>
              <w:jc w:val="center"/>
              <w:rPr>
                <w:rFonts w:cstheme="minorHAnsi"/>
                <w:b w:val="0"/>
                <w:sz w:val="16"/>
                <w:szCs w:val="16"/>
              </w:rPr>
            </w:pPr>
            <w:r w:rsidRPr="008E18CD">
              <w:rPr>
                <w:rFonts w:cstheme="minorHAnsi"/>
                <w:b w:val="0"/>
                <w:sz w:val="16"/>
                <w:szCs w:val="16"/>
              </w:rPr>
              <w:t>&lt; 99,9%</w:t>
            </w:r>
          </w:p>
        </w:tc>
        <w:tc>
          <w:tcPr>
            <w:tcW w:w="2500" w:type="pct"/>
          </w:tcPr>
          <w:p w14:paraId="371E2752" w14:textId="77777777" w:rsidR="00491D0A" w:rsidRPr="008E18CD" w:rsidRDefault="00491D0A" w:rsidP="008E18CD">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8E18CD">
              <w:rPr>
                <w:rFonts w:cstheme="minorHAnsi"/>
                <w:sz w:val="16"/>
                <w:szCs w:val="16"/>
              </w:rPr>
              <w:t>10%</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8E18CD" w:rsidRDefault="00491D0A" w:rsidP="008E18CD">
            <w:pPr>
              <w:spacing w:before="20" w:after="20"/>
              <w:jc w:val="center"/>
              <w:rPr>
                <w:rFonts w:cstheme="minorHAnsi"/>
                <w:b w:val="0"/>
                <w:sz w:val="16"/>
                <w:szCs w:val="16"/>
              </w:rPr>
            </w:pPr>
            <w:r w:rsidRPr="008E18CD">
              <w:rPr>
                <w:rFonts w:cstheme="minorHAnsi"/>
                <w:b w:val="0"/>
                <w:sz w:val="16"/>
                <w:szCs w:val="16"/>
              </w:rPr>
              <w:t>&lt; 99%</w:t>
            </w:r>
          </w:p>
        </w:tc>
        <w:tc>
          <w:tcPr>
            <w:tcW w:w="2500" w:type="pct"/>
          </w:tcPr>
          <w:p w14:paraId="7DD34A5C" w14:textId="77777777" w:rsidR="00491D0A" w:rsidRPr="008E18CD" w:rsidRDefault="00491D0A" w:rsidP="008E18CD">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8E18CD">
              <w:rPr>
                <w:rFonts w:cstheme="minorHAnsi"/>
                <w:sz w:val="16"/>
                <w:szCs w:val="16"/>
              </w:rPr>
              <w:t>25%</w:t>
            </w:r>
          </w:p>
        </w:tc>
      </w:tr>
    </w:tbl>
    <w:p w14:paraId="406EF9C2"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004D553" w14:textId="77777777" w:rsidR="00491D0A" w:rsidRPr="00EF7CF9" w:rsidRDefault="00491D0A" w:rsidP="00F01ED6">
      <w:pPr>
        <w:pStyle w:val="ProductList-Offering2Heading"/>
        <w:tabs>
          <w:tab w:val="clear" w:pos="360"/>
          <w:tab w:val="clear" w:pos="720"/>
          <w:tab w:val="clear" w:pos="1080"/>
        </w:tabs>
        <w:outlineLvl w:val="2"/>
      </w:pPr>
      <w:bookmarkStart w:id="192" w:name="_Toc239176447"/>
      <w:r>
        <w:t>Rede de Distribuição de Conteúdos (CDN)</w:t>
      </w:r>
      <w:bookmarkEnd w:id="192"/>
    </w:p>
    <w:p w14:paraId="3478C418" w14:textId="7A50E535" w:rsidR="00491D0A" w:rsidRDefault="00EE6E3C" w:rsidP="00F01ED6">
      <w:pPr>
        <w:pStyle w:val="ProductList-Body"/>
        <w:rPr>
          <w:b/>
          <w:color w:val="00188F"/>
        </w:rPr>
      </w:pPr>
      <w:r>
        <w:rPr>
          <w:b/>
          <w:color w:val="00188F"/>
        </w:rPr>
        <w:t>Cálculo do Período de Disponibilidade e Níveis de Serviço para o Serviço CDN</w:t>
      </w:r>
    </w:p>
    <w:p w14:paraId="180798A0" w14:textId="77777777" w:rsidR="00491D0A" w:rsidRPr="00EF7CF9" w:rsidRDefault="00491D0A" w:rsidP="00F01ED6">
      <w:pPr>
        <w:pStyle w:val="ProductList-Body"/>
      </w:pPr>
      <w:r>
        <w:t>A Microsoft analisará os dados de qualquer sistema de medição independente razoável do ponto de vista comercial utilizado pelo Cliente.</w:t>
      </w:r>
    </w:p>
    <w:p w14:paraId="7676E5AC" w14:textId="77777777" w:rsidR="00491D0A" w:rsidRPr="00B06E74" w:rsidRDefault="00491D0A" w:rsidP="00F01ED6">
      <w:pPr>
        <w:pStyle w:val="ProductList-Body"/>
        <w:rPr>
          <w:sz w:val="12"/>
          <w:szCs w:val="12"/>
        </w:rPr>
      </w:pPr>
    </w:p>
    <w:p w14:paraId="4A55F67D" w14:textId="77777777" w:rsidR="00491D0A" w:rsidRPr="00EF7CF9" w:rsidRDefault="00491D0A" w:rsidP="00F01ED6">
      <w:pPr>
        <w:pStyle w:val="ProductList-Body"/>
      </w:pPr>
      <w:r>
        <w:t>O Cliente tem de selecionar um conjunto de agentes da lista do sistema de medição de agentes padrão que estão normalmente disponíveis e representados em pelo menos cinco localizações diversas geograficamente nas maiores áreas metropolitanas do mundo (excluindo a República Popular da China).</w:t>
      </w:r>
    </w:p>
    <w:p w14:paraId="5EDDEEC0" w14:textId="77777777" w:rsidR="00491D0A" w:rsidRPr="00B06E74" w:rsidRDefault="00491D0A" w:rsidP="00F01ED6">
      <w:pPr>
        <w:pStyle w:val="ProductList-Body"/>
        <w:rPr>
          <w:sz w:val="12"/>
          <w:szCs w:val="12"/>
        </w:rPr>
      </w:pPr>
    </w:p>
    <w:p w14:paraId="031D37AF" w14:textId="77777777" w:rsidR="00491D0A" w:rsidRPr="00EF7CF9" w:rsidRDefault="00491D0A" w:rsidP="00F01ED6">
      <w:pPr>
        <w:pStyle w:val="ProductList-Body"/>
      </w:pPr>
      <w:r>
        <w:t>Os testes do Sistema de Medição (frequência de pelo menos um teste por hora por agente) serão configurados para executar uma operação HTTP GET de acordo com o modelo abaixo:</w:t>
      </w:r>
    </w:p>
    <w:p w14:paraId="12EDF8B0" w14:textId="43E22733" w:rsidR="00491D0A" w:rsidRPr="00EF7CF9" w:rsidRDefault="00491D0A" w:rsidP="00F01ED6">
      <w:pPr>
        <w:pStyle w:val="ProductList-Body"/>
        <w:numPr>
          <w:ilvl w:val="0"/>
          <w:numId w:val="2"/>
        </w:numPr>
        <w:ind w:left="720" w:hanging="360"/>
      </w:pPr>
      <w:r>
        <w:t>Um ficheiro de teste será colocado na origem do Cliente (por exemplo, conta de Armazenamento do Azure).</w:t>
      </w:r>
    </w:p>
    <w:p w14:paraId="4E6A2FB0" w14:textId="77777777" w:rsidR="00491D0A" w:rsidRPr="00EF7CF9" w:rsidRDefault="00491D0A" w:rsidP="00F01ED6">
      <w:pPr>
        <w:pStyle w:val="ProductList-Body"/>
        <w:numPr>
          <w:ilvl w:val="0"/>
          <w:numId w:val="2"/>
        </w:numPr>
        <w:ind w:left="720" w:hanging="360"/>
      </w:pPr>
      <w:r>
        <w:t xml:space="preserve">A operação GET obterá o ficheiro através do Serviço CDN, pedindo o objeto do nome do anfitrião correspondente ao nome de domínio do Microsoft Azure. </w:t>
      </w:r>
    </w:p>
    <w:p w14:paraId="5AB442CF" w14:textId="77777777" w:rsidR="00491D0A" w:rsidRPr="00EF7CF9" w:rsidRDefault="00491D0A" w:rsidP="00F01ED6">
      <w:pPr>
        <w:pStyle w:val="ProductList-Body"/>
        <w:numPr>
          <w:ilvl w:val="0"/>
          <w:numId w:val="2"/>
        </w:numPr>
        <w:ind w:left="720" w:hanging="360"/>
      </w:pPr>
      <w:r>
        <w:t>O ficheiro de teste cumprirá os seguintes critérios:</w:t>
      </w:r>
    </w:p>
    <w:p w14:paraId="5073F12A" w14:textId="7DB1C82C" w:rsidR="00491D0A" w:rsidRPr="00EF7CF9" w:rsidRDefault="00491D0A" w:rsidP="00F01ED6">
      <w:pPr>
        <w:pStyle w:val="ProductList-Body"/>
        <w:numPr>
          <w:ilvl w:val="0"/>
          <w:numId w:val="3"/>
        </w:numPr>
        <w:tabs>
          <w:tab w:val="clear" w:pos="360"/>
          <w:tab w:val="clear" w:pos="720"/>
        </w:tabs>
        <w:ind w:hanging="360"/>
      </w:pPr>
      <w:r>
        <w:t xml:space="preserve">O objeto de teste permitirá colocar em cache incluindo os cabeçalhos explícitos </w:t>
      </w:r>
      <w:r w:rsidR="00380305">
        <w:t>“</w:t>
      </w:r>
      <w:r>
        <w:t>Controlo da cache: público</w:t>
      </w:r>
      <w:r w:rsidR="00380305">
        <w:t>”</w:t>
      </w:r>
      <w:r>
        <w:t xml:space="preserve"> ou a falta do cabeçalho </w:t>
      </w:r>
      <w:r w:rsidR="00380305">
        <w:t>“</w:t>
      </w:r>
      <w:r>
        <w:t>Controlo da cache: privado</w:t>
      </w:r>
      <w:r w:rsidR="00380305">
        <w:t>”</w:t>
      </w:r>
      <w:r>
        <w:t>.</w:t>
      </w:r>
    </w:p>
    <w:p w14:paraId="0AF7BCAA" w14:textId="77777777" w:rsidR="00491D0A" w:rsidRPr="00EF7CF9" w:rsidRDefault="00491D0A" w:rsidP="00F01ED6">
      <w:pPr>
        <w:pStyle w:val="ProductList-Body"/>
        <w:numPr>
          <w:ilvl w:val="0"/>
          <w:numId w:val="3"/>
        </w:numPr>
        <w:tabs>
          <w:tab w:val="clear" w:pos="360"/>
          <w:tab w:val="clear" w:pos="720"/>
        </w:tabs>
        <w:ind w:hanging="360"/>
      </w:pPr>
      <w:r>
        <w:t>O objeto de teste será um ficheiro com um tamanho entre 50 KB e 1 MB.</w:t>
      </w:r>
    </w:p>
    <w:p w14:paraId="5D0D8884" w14:textId="77777777" w:rsidR="00491D0A" w:rsidRPr="00EF7CF9" w:rsidRDefault="00491D0A" w:rsidP="00F01ED6">
      <w:pPr>
        <w:pStyle w:val="ProductList-Body"/>
        <w:numPr>
          <w:ilvl w:val="0"/>
          <w:numId w:val="3"/>
        </w:numPr>
        <w:tabs>
          <w:tab w:val="clear" w:pos="360"/>
          <w:tab w:val="clear" w:pos="720"/>
        </w:tabs>
        <w:ind w:hanging="360"/>
      </w:pPr>
      <w:r>
        <w:lastRenderedPageBreak/>
        <w:t>Os dados não processados serão organizados de modo a eliminar quaisquer medições que sejam provenientes de um agente com problemas técnicos durante o período de medição.</w:t>
      </w:r>
    </w:p>
    <w:p w14:paraId="6B3B2A15" w14:textId="77777777" w:rsidR="00491D0A" w:rsidRPr="00B06E74" w:rsidRDefault="00491D0A" w:rsidP="00F01ED6">
      <w:pPr>
        <w:pStyle w:val="ProductList-Body"/>
        <w:rPr>
          <w:sz w:val="12"/>
          <w:szCs w:val="12"/>
        </w:rPr>
      </w:pPr>
    </w:p>
    <w:p w14:paraId="57CA6AAD" w14:textId="608796EC" w:rsidR="00491D0A" w:rsidRPr="00EF7CF9" w:rsidRDefault="00380305" w:rsidP="00F01ED6">
      <w:pPr>
        <w:pStyle w:val="ProductList-Body"/>
      </w:pPr>
      <w:r w:rsidRPr="00380305">
        <w:t>“</w:t>
      </w:r>
      <w:r w:rsidR="00491D0A">
        <w:rPr>
          <w:b/>
          <w:color w:val="00188F"/>
        </w:rPr>
        <w:t>Percentagem de Período de Disponibilidade</w:t>
      </w:r>
      <w:r>
        <w:t>”</w:t>
      </w:r>
      <w:r w:rsidR="00491D0A">
        <w:t xml:space="preserve"> é a percentagem de transações de HTTP em que o CDN responde aos pedidos de cliente e fornece o</w:t>
      </w:r>
      <w:r w:rsidR="00336C28">
        <w:t> </w:t>
      </w:r>
      <w:r w:rsidR="00491D0A">
        <w:t>conteúdo pedido sem erro. A Percentagem de Período de Disponibilidade do Serviço CDN é calculada como o número de vezes que o objeto foi fornecido com êxito a dividir pelo número total de pedidos (depois de remover dados incorretos.</w:t>
      </w:r>
    </w:p>
    <w:p w14:paraId="0B6B6337" w14:textId="77777777" w:rsidR="00491D0A" w:rsidRPr="00B06E74" w:rsidRDefault="00491D0A" w:rsidP="00F01ED6">
      <w:pPr>
        <w:pStyle w:val="ProductList-Body"/>
        <w:rPr>
          <w:sz w:val="12"/>
          <w:szCs w:val="12"/>
        </w:rPr>
      </w:pPr>
    </w:p>
    <w:p w14:paraId="31C9EBD4" w14:textId="77777777" w:rsidR="00491D0A" w:rsidRPr="00EF7CF9" w:rsidRDefault="00491D0A" w:rsidP="00F01ED6">
      <w:pPr>
        <w:pStyle w:val="ProductList-Body"/>
        <w:keepNext/>
      </w:pPr>
      <w:r>
        <w:rPr>
          <w:b/>
          <w:color w:val="00188F"/>
        </w:rPr>
        <w:t>Os seguintes Níveis de Serviço e Créditos de Serviço são aplicáveis à utilização que o Cliente faz do Serviço CDN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8A60ED2" w14:textId="77777777" w:rsidR="00491D0A" w:rsidRPr="00EF7CF9" w:rsidRDefault="00491D0A" w:rsidP="00F01ED6">
            <w:pPr>
              <w:pStyle w:val="ProductList-OfferingBody"/>
              <w:jc w:val="center"/>
              <w:rPr>
                <w:color w:val="FFFFFF" w:themeColor="background1"/>
              </w:rPr>
            </w:pPr>
            <w:r>
              <w:rPr>
                <w:color w:val="FFFFFF" w:themeColor="background1"/>
              </w:rPr>
              <w:t>Crédito de Serviço</w:t>
            </w:r>
          </w:p>
        </w:tc>
      </w:tr>
      <w:tr w:rsidR="00491D0A" w:rsidRPr="00B44CF9" w14:paraId="38D892B3" w14:textId="77777777" w:rsidTr="00277097">
        <w:tc>
          <w:tcPr>
            <w:tcW w:w="5400" w:type="dxa"/>
          </w:tcPr>
          <w:p w14:paraId="6E1804D2" w14:textId="77777777" w:rsidR="00491D0A" w:rsidRPr="00EF7CF9" w:rsidRDefault="00491D0A" w:rsidP="00F01ED6">
            <w:pPr>
              <w:pStyle w:val="ProductList-OfferingBody"/>
              <w:jc w:val="center"/>
            </w:pPr>
            <w:r>
              <w:t>&lt; 99,9%</w:t>
            </w:r>
          </w:p>
        </w:tc>
        <w:tc>
          <w:tcPr>
            <w:tcW w:w="5400" w:type="dxa"/>
          </w:tcPr>
          <w:p w14:paraId="2A7DD81D" w14:textId="77777777" w:rsidR="00491D0A" w:rsidRPr="00EF7CF9" w:rsidRDefault="00491D0A" w:rsidP="00F01ED6">
            <w:pPr>
              <w:pStyle w:val="ProductList-OfferingBody"/>
              <w:jc w:val="center"/>
            </w:pPr>
            <w:r>
              <w:t>10%</w:t>
            </w:r>
          </w:p>
        </w:tc>
      </w:tr>
      <w:tr w:rsidR="00491D0A" w:rsidRPr="00B44CF9" w14:paraId="12708F67" w14:textId="77777777" w:rsidTr="00277097">
        <w:tc>
          <w:tcPr>
            <w:tcW w:w="5400" w:type="dxa"/>
          </w:tcPr>
          <w:p w14:paraId="67809F69" w14:textId="77777777" w:rsidR="00491D0A" w:rsidRPr="00EF7CF9" w:rsidRDefault="00491D0A" w:rsidP="00F01ED6">
            <w:pPr>
              <w:pStyle w:val="ProductList-OfferingBody"/>
              <w:jc w:val="center"/>
            </w:pPr>
            <w:r>
              <w:t>&lt; 99,5%</w:t>
            </w:r>
          </w:p>
        </w:tc>
        <w:tc>
          <w:tcPr>
            <w:tcW w:w="5400" w:type="dxa"/>
          </w:tcPr>
          <w:p w14:paraId="4C707CCD" w14:textId="77777777" w:rsidR="00491D0A" w:rsidRPr="00EF7CF9" w:rsidRDefault="00491D0A" w:rsidP="00F01ED6">
            <w:pPr>
              <w:pStyle w:val="ProductList-OfferingBody"/>
              <w:jc w:val="center"/>
            </w:pPr>
            <w:r>
              <w:t>25%</w:t>
            </w:r>
          </w:p>
        </w:tc>
      </w:tr>
    </w:tbl>
    <w:p w14:paraId="5B83743C"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B41157E" w14:textId="459F39B0" w:rsidR="004005AF" w:rsidRPr="00EF7CF9" w:rsidRDefault="004005AF" w:rsidP="00F01ED6">
      <w:pPr>
        <w:pStyle w:val="ProductList-Offering2Heading"/>
        <w:keepNext/>
        <w:tabs>
          <w:tab w:val="clear" w:pos="360"/>
          <w:tab w:val="clear" w:pos="720"/>
          <w:tab w:val="clear" w:pos="1080"/>
        </w:tabs>
        <w:outlineLvl w:val="2"/>
      </w:pPr>
      <w:bookmarkStart w:id="193" w:name="_Toc239176448"/>
      <w:r>
        <w:t>Azure Cosmos DB</w:t>
      </w:r>
      <w:bookmarkEnd w:id="148"/>
      <w:bookmarkEnd w:id="189"/>
      <w:bookmarkEnd w:id="193"/>
    </w:p>
    <w:bookmarkEnd w:id="190"/>
    <w:p w14:paraId="6AE25B56" w14:textId="77777777" w:rsidR="004005AF" w:rsidRPr="00401AE7" w:rsidRDefault="004005AF" w:rsidP="00F01ED6">
      <w:pPr>
        <w:pStyle w:val="ProductList-Body"/>
        <w:rPr>
          <w:bCs/>
          <w:color w:val="000000" w:themeColor="text1"/>
        </w:rPr>
      </w:pPr>
      <w:r>
        <w:rPr>
          <w:bCs/>
          <w:color w:val="000000" w:themeColor="text1"/>
        </w:rPr>
        <w:t>Os detalhes do SLA enumerados para o serviço Azure Cosmos DB incluem as seguintes APIs de base de dados com diferentes definições e detalhes para a API para PostgreSQL das APIs de base de dados restantes:</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for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for NoSQL</w:t>
      </w:r>
    </w:p>
    <w:p w14:paraId="3E4C3F17" w14:textId="2AE0A4CE" w:rsidR="004005AF" w:rsidRPr="00401AE7" w:rsidRDefault="004005AF">
      <w:pPr>
        <w:pStyle w:val="ProductList-Body"/>
        <w:numPr>
          <w:ilvl w:val="0"/>
          <w:numId w:val="8"/>
        </w:numPr>
        <w:rPr>
          <w:bCs/>
          <w:color w:val="000000" w:themeColor="text1"/>
        </w:rPr>
      </w:pPr>
      <w:r>
        <w:rPr>
          <w:bCs/>
          <w:color w:val="000000" w:themeColor="text1"/>
        </w:rPr>
        <w:t>Azure Cosmos DB for MongoDB</w:t>
      </w:r>
      <w:r w:rsidR="009A306C">
        <w:rPr>
          <w:bCs/>
          <w:color w:val="000000" w:themeColor="text1"/>
        </w:rPr>
        <w:t xml:space="preserve"> RU</w:t>
      </w:r>
    </w:p>
    <w:p w14:paraId="0E1D327F" w14:textId="77777777" w:rsidR="004005AF" w:rsidRPr="00401AE7" w:rsidRDefault="004005AF">
      <w:pPr>
        <w:pStyle w:val="ProductList-Body"/>
        <w:numPr>
          <w:ilvl w:val="0"/>
          <w:numId w:val="8"/>
        </w:numPr>
        <w:rPr>
          <w:bCs/>
          <w:color w:val="000000" w:themeColor="text1"/>
        </w:rPr>
      </w:pPr>
      <w:r>
        <w:rPr>
          <w:bCs/>
          <w:color w:val="000000" w:themeColor="text1"/>
        </w:rPr>
        <w:t>Azure Cosmos DB for Apache Cassandra</w:t>
      </w:r>
    </w:p>
    <w:p w14:paraId="1126DD26" w14:textId="77777777" w:rsidR="004005AF" w:rsidRPr="00401AE7" w:rsidRDefault="004005AF">
      <w:pPr>
        <w:pStyle w:val="ProductList-Body"/>
        <w:numPr>
          <w:ilvl w:val="0"/>
          <w:numId w:val="8"/>
        </w:numPr>
        <w:rPr>
          <w:bCs/>
          <w:color w:val="000000" w:themeColor="text1"/>
        </w:rPr>
      </w:pPr>
      <w:r>
        <w:rPr>
          <w:bCs/>
          <w:color w:val="000000" w:themeColor="text1"/>
        </w:rPr>
        <w:t>Azure Cosmos DB for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for Table</w:t>
      </w:r>
    </w:p>
    <w:p w14:paraId="38F20080" w14:textId="77777777" w:rsidR="004005AF" w:rsidRPr="00B06E74" w:rsidRDefault="004005AF" w:rsidP="00F01ED6">
      <w:pPr>
        <w:pStyle w:val="ProductList-Body"/>
        <w:rPr>
          <w:b/>
          <w:color w:val="00188F"/>
          <w:sz w:val="12"/>
          <w:szCs w:val="12"/>
        </w:rPr>
      </w:pPr>
    </w:p>
    <w:p w14:paraId="3709F8C1" w14:textId="77777777" w:rsidR="004005AF" w:rsidRDefault="004005AF" w:rsidP="00F01ED6">
      <w:pPr>
        <w:pStyle w:val="ProductList-Body"/>
        <w:rPr>
          <w:b/>
          <w:color w:val="00188F"/>
        </w:rPr>
      </w:pPr>
      <w:r>
        <w:rPr>
          <w:b/>
          <w:color w:val="00188F"/>
        </w:rPr>
        <w:t>Microsoft Azure Cosmos DB for PostgreSQL</w:t>
      </w:r>
    </w:p>
    <w:p w14:paraId="1498DE2E" w14:textId="5C8022FA" w:rsidR="004005AF" w:rsidRPr="00AC11E3" w:rsidRDefault="00380305" w:rsidP="00F01ED6">
      <w:pPr>
        <w:pStyle w:val="ProductList-Body"/>
        <w:rPr>
          <w:bCs/>
          <w:color w:val="000000" w:themeColor="text1"/>
        </w:rPr>
      </w:pPr>
      <w:r w:rsidRPr="00380305">
        <w:t>“</w:t>
      </w:r>
      <w:r w:rsidR="004005AF">
        <w:rPr>
          <w:b/>
          <w:color w:val="00188F"/>
        </w:rPr>
        <w:t>Servidor</w:t>
      </w:r>
      <w:r w:rsidRPr="00380305">
        <w:t>”</w:t>
      </w:r>
      <w:r w:rsidR="004005AF">
        <w:rPr>
          <w:bCs/>
          <w:color w:val="000000" w:themeColor="text1"/>
        </w:rPr>
        <w:t xml:space="preserve"> designa qualquer servidor específico do Azure Cosmos DB for PostgreSQL.</w:t>
      </w:r>
    </w:p>
    <w:p w14:paraId="47904AED" w14:textId="39D5A5E1" w:rsidR="004005AF" w:rsidRPr="00AC11E3" w:rsidRDefault="00380305" w:rsidP="00F01ED6">
      <w:pPr>
        <w:pStyle w:val="ProductList-Body"/>
        <w:rPr>
          <w:bCs/>
          <w:color w:val="000000" w:themeColor="text1"/>
        </w:rPr>
      </w:pPr>
      <w:r w:rsidRPr="00380305">
        <w:t>“</w:t>
      </w:r>
      <w:r w:rsidR="004005AF">
        <w:rPr>
          <w:b/>
          <w:color w:val="00188F"/>
        </w:rPr>
        <w:t>Cluster de Elevada Disponibilidade</w:t>
      </w:r>
      <w:r w:rsidRPr="00380305">
        <w:t>”</w:t>
      </w:r>
      <w:r w:rsidR="004005AF">
        <w:rPr>
          <w:bCs/>
          <w:color w:val="000000" w:themeColor="text1"/>
        </w:rPr>
        <w:t xml:space="preserve"> designa um conjunto de Nós de Elevada Disponibilidade.</w:t>
      </w:r>
    </w:p>
    <w:p w14:paraId="05973321" w14:textId="60A58F59" w:rsidR="004005AF" w:rsidRPr="00AC11E3" w:rsidRDefault="00380305" w:rsidP="00F01ED6">
      <w:pPr>
        <w:pStyle w:val="ProductList-Body"/>
        <w:rPr>
          <w:bCs/>
          <w:color w:val="000000" w:themeColor="text1"/>
        </w:rPr>
      </w:pPr>
      <w:r w:rsidRPr="00380305">
        <w:t>“</w:t>
      </w:r>
      <w:r w:rsidR="004005AF">
        <w:rPr>
          <w:b/>
          <w:color w:val="00188F"/>
        </w:rPr>
        <w:t>Nó de Elevada Disponibilidade</w:t>
      </w:r>
      <w:r w:rsidRPr="00380305">
        <w:t>”</w:t>
      </w:r>
      <w:r w:rsidR="004005AF">
        <w:rPr>
          <w:bCs/>
          <w:color w:val="000000" w:themeColor="text1"/>
        </w:rPr>
        <w:t xml:space="preserve"> designa um Nó num cluster, com elevada disponibilidade ativada.</w:t>
      </w:r>
    </w:p>
    <w:p w14:paraId="149121FA" w14:textId="15ABCD16" w:rsidR="004005AF" w:rsidRPr="00AC11E3" w:rsidRDefault="00380305" w:rsidP="00F01ED6">
      <w:pPr>
        <w:pStyle w:val="ProductList-Body"/>
        <w:rPr>
          <w:bCs/>
          <w:color w:val="000000" w:themeColor="text1"/>
        </w:rPr>
      </w:pPr>
      <w:r w:rsidRPr="00380305">
        <w:t>“</w:t>
      </w:r>
      <w:r w:rsidR="004005AF">
        <w:rPr>
          <w:b/>
          <w:color w:val="00188F"/>
        </w:rPr>
        <w:t>Nó Coordenador</w:t>
      </w:r>
      <w:r w:rsidRPr="00380305">
        <w:t>”</w:t>
      </w:r>
      <w:r w:rsidR="004005AF">
        <w:rPr>
          <w:bCs/>
          <w:color w:val="000000" w:themeColor="text1"/>
        </w:rPr>
        <w:t xml:space="preserve"> é um Nó que é atribuído à função de Coordenador do Cluster.</w:t>
      </w:r>
    </w:p>
    <w:p w14:paraId="1ED13503" w14:textId="523DCB24" w:rsidR="004005AF" w:rsidRPr="00AC11E3" w:rsidRDefault="00380305" w:rsidP="00F01ED6">
      <w:pPr>
        <w:pStyle w:val="ProductList-Body"/>
        <w:rPr>
          <w:bCs/>
          <w:color w:val="000000" w:themeColor="text1"/>
        </w:rPr>
      </w:pPr>
      <w:r w:rsidRPr="00380305">
        <w:t>“</w:t>
      </w:r>
      <w:r w:rsidR="004005AF">
        <w:rPr>
          <w:b/>
          <w:color w:val="00188F"/>
        </w:rPr>
        <w:t>Nó de Trabalho</w:t>
      </w:r>
      <w:r w:rsidRPr="00380305">
        <w:t>”</w:t>
      </w:r>
      <w:r w:rsidR="004005AF">
        <w:rPr>
          <w:bCs/>
          <w:color w:val="000000" w:themeColor="text1"/>
        </w:rPr>
        <w:t xml:space="preserve"> é um Nó que é atribuído à função de Trabalho.</w:t>
      </w:r>
    </w:p>
    <w:p w14:paraId="5AEB689D" w14:textId="35F29574" w:rsidR="004005AF" w:rsidRPr="00AC11E3" w:rsidRDefault="00380305" w:rsidP="00F01ED6">
      <w:pPr>
        <w:pStyle w:val="ProductList-Body"/>
        <w:rPr>
          <w:bCs/>
          <w:color w:val="000000" w:themeColor="text1"/>
        </w:rPr>
      </w:pPr>
      <w:r w:rsidRPr="00380305">
        <w:t>“</w:t>
      </w:r>
      <w:r w:rsidR="004005AF">
        <w:rPr>
          <w:b/>
          <w:color w:val="00188F"/>
        </w:rPr>
        <w:t>Nó</w:t>
      </w:r>
      <w:r w:rsidRPr="00380305">
        <w:t>”</w:t>
      </w:r>
      <w:r w:rsidR="004005AF">
        <w:rPr>
          <w:bCs/>
          <w:color w:val="000000" w:themeColor="text1"/>
        </w:rPr>
        <w:t xml:space="preserve"> ou </w:t>
      </w:r>
      <w:r w:rsidRPr="00380305">
        <w:t>“</w:t>
      </w:r>
      <w:r w:rsidR="004005AF">
        <w:rPr>
          <w:b/>
          <w:color w:val="00188F"/>
        </w:rPr>
        <w:t>Nós</w:t>
      </w:r>
      <w:r w:rsidRPr="00380305">
        <w:t>”</w:t>
      </w:r>
      <w:r w:rsidR="004005AF">
        <w:rPr>
          <w:bCs/>
          <w:color w:val="000000" w:themeColor="text1"/>
        </w:rPr>
        <w:t xml:space="preserve"> é um nó de Coordenador ou Trabalhador do Azure Cosmos DB for PostgreSQL.</w:t>
      </w:r>
    </w:p>
    <w:p w14:paraId="1419358A" w14:textId="77777777" w:rsidR="004005AF" w:rsidRPr="00B06E74" w:rsidRDefault="004005AF" w:rsidP="00F01ED6">
      <w:pPr>
        <w:pStyle w:val="ProductList-Body"/>
        <w:rPr>
          <w:bCs/>
          <w:color w:val="000000" w:themeColor="text1"/>
          <w:sz w:val="12"/>
          <w:szCs w:val="12"/>
        </w:rPr>
      </w:pPr>
    </w:p>
    <w:p w14:paraId="2627B531" w14:textId="2F0782A0" w:rsidR="004005AF" w:rsidRPr="00401AE7" w:rsidRDefault="00EE6E3C" w:rsidP="00C55C00">
      <w:pPr>
        <w:pStyle w:val="ProductList-Body"/>
        <w:keepNext/>
        <w:keepLines/>
        <w:rPr>
          <w:b/>
          <w:color w:val="00188F"/>
        </w:rPr>
      </w:pPr>
      <w:r>
        <w:rPr>
          <w:b/>
          <w:color w:val="00188F"/>
        </w:rPr>
        <w:t>Cálculo do Período de Disponibilidade e Níveis de Serviço para o Microsoft Azure Cosmos DB for PostgreSQL – Nó de Elevada Disponibilidade</w:t>
      </w:r>
    </w:p>
    <w:p w14:paraId="5C5EEC45" w14:textId="4E179ABB" w:rsidR="004005AF" w:rsidRPr="00AC11E3" w:rsidRDefault="00380305" w:rsidP="00F01ED6">
      <w:pPr>
        <w:pStyle w:val="ProductList-Body"/>
        <w:rPr>
          <w:bCs/>
          <w:color w:val="000000" w:themeColor="text1"/>
        </w:rPr>
      </w:pPr>
      <w:r w:rsidRPr="00380305">
        <w:t>“</w:t>
      </w:r>
      <w:r w:rsidR="004005AF">
        <w:rPr>
          <w:b/>
          <w:color w:val="00188F"/>
        </w:rPr>
        <w:t>Máximo de Minutos Disponíveis</w:t>
      </w:r>
      <w:r w:rsidRPr="00380305">
        <w:t>”</w:t>
      </w:r>
      <w:r w:rsidR="004005AF">
        <w:rPr>
          <w:bCs/>
          <w:color w:val="00188F"/>
        </w:rPr>
        <w:t xml:space="preserve"> </w:t>
      </w:r>
      <w:r w:rsidR="004005AF">
        <w:rPr>
          <w:bCs/>
          <w:color w:val="000000" w:themeColor="text1"/>
        </w:rPr>
        <w:t>designa o número total de minutos para um determinado Nó de Elevada Disponibilidade implementado pelo Cliente numa subscrição do Microsoft Azure durante um Período Aplicável.</w:t>
      </w:r>
    </w:p>
    <w:p w14:paraId="409AFA3E" w14:textId="5F0C5916" w:rsidR="004005AF" w:rsidRPr="00AC11E3" w:rsidRDefault="00380305" w:rsidP="00F01ED6">
      <w:pPr>
        <w:pStyle w:val="ProductList-Body"/>
        <w:rPr>
          <w:bCs/>
          <w:color w:val="000000" w:themeColor="text1"/>
        </w:rPr>
      </w:pPr>
      <w:r w:rsidRPr="00380305">
        <w:t>“</w:t>
      </w:r>
      <w:r w:rsidR="004005AF">
        <w:rPr>
          <w:b/>
          <w:color w:val="00188F"/>
        </w:rPr>
        <w:t>Período de Indisponibilidade</w:t>
      </w:r>
      <w:r w:rsidRPr="00380305">
        <w:t>”</w:t>
      </w:r>
      <w:r w:rsidR="004005AF">
        <w:rPr>
          <w:bCs/>
          <w:color w:val="000000" w:themeColor="text1"/>
        </w:rPr>
        <w:t xml:space="preserve"> designa o número total de minutos no Máximo de Minutos Disponíveis durante o qual um Nó está indisponível. Um</w:t>
      </w:r>
      <w:r w:rsidR="00431263">
        <w:rPr>
          <w:bCs/>
          <w:color w:val="000000" w:themeColor="text1"/>
        </w:rPr>
        <w:t> </w:t>
      </w:r>
      <w:r w:rsidR="004005AF">
        <w:rPr>
          <w:bCs/>
          <w:color w:val="000000" w:themeColor="text1"/>
        </w:rPr>
        <w:t>minuto é considerado indisponível se todas as tentativas contínuas por parte do Cliente para estabelecer ligação ao Nó devolveram um Código de Erro ou não responderam ao fim de um minuto. Um minuto também é considerado indisponível para um Nó de Trabalho se o respetivo Nó de Coordenador tiver estado indisponível durante o minuto.</w:t>
      </w:r>
    </w:p>
    <w:p w14:paraId="147EFAF0" w14:textId="0396679C" w:rsidR="004005AF" w:rsidRPr="00AC11E3" w:rsidRDefault="004005AF" w:rsidP="00F01ED6">
      <w:pPr>
        <w:pStyle w:val="ProductList-Body"/>
        <w:rPr>
          <w:bCs/>
          <w:color w:val="000000" w:themeColor="text1"/>
        </w:rPr>
      </w:pPr>
      <w:r>
        <w:t xml:space="preserve">A </w:t>
      </w:r>
      <w:r w:rsidR="00380305" w:rsidRPr="00380305">
        <w:t>“</w:t>
      </w:r>
      <w:r>
        <w:rPr>
          <w:b/>
          <w:color w:val="00188F"/>
        </w:rPr>
        <w:t>Percentagem de Período de Disponibilidade</w:t>
      </w:r>
      <w:r w:rsidR="00380305" w:rsidRPr="00380305">
        <w:t>”</w:t>
      </w:r>
      <w:r>
        <w:rPr>
          <w:bCs/>
          <w:color w:val="000000" w:themeColor="text1"/>
        </w:rPr>
        <w:t xml:space="preserve"> para o Nó de Elevada Disponibilidade do Azure Cosmos DB for PostgreSQL é calculada como o</w:t>
      </w:r>
      <w:r w:rsidR="00147224">
        <w:rPr>
          <w:bCs/>
          <w:color w:val="000000" w:themeColor="text1"/>
        </w:rPr>
        <w:t> </w:t>
      </w:r>
      <w:r>
        <w:rPr>
          <w:bCs/>
          <w:color w:val="000000" w:themeColor="text1"/>
        </w:rPr>
        <w:t>Máximo de Minutos Disponíveis menos o Período de Indisponibilidade a dividir pelo Máximo de Minutos Disponíveis.</w:t>
      </w:r>
    </w:p>
    <w:p w14:paraId="1090E03A" w14:textId="047E8E92" w:rsidR="004005AF" w:rsidRDefault="004005AF" w:rsidP="00F01ED6">
      <w:pPr>
        <w:pStyle w:val="ProductList-Body"/>
      </w:pPr>
      <w:r>
        <w:t>A Percentagem de Período de Disponibilidade é calculada através da seguinte fórmula:</w:t>
      </w:r>
    </w:p>
    <w:p w14:paraId="20F6CFCA" w14:textId="77777777" w:rsidR="004005AF" w:rsidRPr="00B06E74" w:rsidRDefault="004005AF" w:rsidP="00F01ED6">
      <w:pPr>
        <w:pStyle w:val="ProductList-Body"/>
        <w:rPr>
          <w:bCs/>
          <w:color w:val="00188F"/>
          <w:sz w:val="12"/>
          <w:szCs w:val="12"/>
        </w:rPr>
      </w:pPr>
    </w:p>
    <w:p w14:paraId="378E2D22" w14:textId="65B05FAA" w:rsidR="004005AF" w:rsidRPr="00AC11E3" w:rsidRDefault="00000000" w:rsidP="00C55C00">
      <w:pPr>
        <w:pStyle w:val="ProductList-Body"/>
        <w:spacing w:after="160"/>
        <w:rPr>
          <w:bCs/>
          <w:color w:val="00188F"/>
        </w:rPr>
      </w:pPr>
      <m:oMathPara>
        <m:oMath>
          <m:f>
            <m:fPr>
              <m:ctrlPr>
                <w:rPr>
                  <w:rFonts w:ascii="Cambria Math" w:hAnsi="Cambria Math" w:cs="Calibri"/>
                  <w:i/>
                  <w:szCs w:val="18"/>
                </w:rPr>
              </m:ctrlPr>
            </m:fPr>
            <m:num>
              <m:r>
                <m:rPr>
                  <m:nor/>
                </m:rPr>
                <w:rPr>
                  <w:rFonts w:ascii="Cambria Math" w:hAnsi="Cambria Math" w:cs="Calibri"/>
                  <w:i/>
                  <w:iCs/>
                  <w:szCs w:val="18"/>
                </w:rPr>
                <m:t>Máximo de Minutos Disponíveis - Período de Indisponibilidade</m:t>
              </m:r>
            </m:num>
            <m:den>
              <m:r>
                <m:rPr>
                  <m:nor/>
                </m:rPr>
                <w:rPr>
                  <w:rFonts w:ascii="Cambria Math" w:hAnsi="Cambria Math" w:cs="Calibri"/>
                  <w:i/>
                  <w:iCs/>
                  <w:szCs w:val="18"/>
                </w:rPr>
                <m:t>Máximo de Minutos Disponíveis</m:t>
              </m:r>
            </m:den>
          </m:f>
          <m:r>
            <w:rPr>
              <w:rFonts w:ascii="Cambria Math" w:hAnsi="Cambria Math" w:cs="Calibri"/>
              <w:szCs w:val="18"/>
            </w:rPr>
            <m:t xml:space="preserve"> x 100</m:t>
          </m:r>
        </m:oMath>
      </m:oMathPara>
    </w:p>
    <w:p w14:paraId="42A770C0" w14:textId="77777777" w:rsidR="004005AF" w:rsidRPr="00491D0A" w:rsidRDefault="004005AF" w:rsidP="00F01ED6">
      <w:pPr>
        <w:pStyle w:val="ProductList-Body"/>
        <w:keepNext/>
        <w:spacing w:before="120"/>
        <w:rPr>
          <w:b/>
          <w:bCs/>
          <w:color w:val="00188F"/>
        </w:rPr>
      </w:pPr>
      <w:r>
        <w:rPr>
          <w:rFonts w:ascii="Calibri" w:hAnsi="Calibri" w:cs="Calibri"/>
          <w:b/>
          <w:bCs/>
          <w:color w:val="00188F"/>
          <w:shd w:val="clear" w:color="auto" w:fill="FFFFFF"/>
        </w:rPr>
        <w:t>Os seguintes Níveis de Serviço e Crédito de Serviço são aplicáveis à utilização que o Cliente faz do Nó de Elevada Disponibilidade do Microsoft Azure Cosmos DB for PostgreSQL.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939EE95"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551D3C59" w14:textId="77777777" w:rsidTr="00277097">
        <w:tc>
          <w:tcPr>
            <w:tcW w:w="5400" w:type="dxa"/>
          </w:tcPr>
          <w:p w14:paraId="6204D35B" w14:textId="4B88CAE8" w:rsidR="004005AF" w:rsidRPr="0076238C" w:rsidRDefault="004005AF" w:rsidP="00F01ED6">
            <w:pPr>
              <w:pStyle w:val="ProductList-OfferingBody"/>
              <w:jc w:val="center"/>
            </w:pPr>
            <w:r>
              <w:t>&lt; 99,99%</w:t>
            </w:r>
          </w:p>
        </w:tc>
        <w:tc>
          <w:tcPr>
            <w:tcW w:w="5400" w:type="dxa"/>
          </w:tcPr>
          <w:p w14:paraId="6E2D2625" w14:textId="77777777" w:rsidR="004005AF" w:rsidRPr="0076238C" w:rsidRDefault="004005AF" w:rsidP="00F01ED6">
            <w:pPr>
              <w:pStyle w:val="ProductList-OfferingBody"/>
              <w:jc w:val="center"/>
            </w:pPr>
            <w:r>
              <w:t>10%</w:t>
            </w:r>
          </w:p>
        </w:tc>
      </w:tr>
      <w:tr w:rsidR="004005AF" w:rsidRPr="00B44CF9" w14:paraId="0339648C" w14:textId="77777777" w:rsidTr="00277097">
        <w:tc>
          <w:tcPr>
            <w:tcW w:w="5400" w:type="dxa"/>
          </w:tcPr>
          <w:p w14:paraId="5DA0F32E" w14:textId="77777777" w:rsidR="004005AF" w:rsidRPr="0076238C" w:rsidRDefault="004005AF" w:rsidP="00F01ED6">
            <w:pPr>
              <w:pStyle w:val="ProductList-OfferingBody"/>
              <w:jc w:val="center"/>
            </w:pPr>
            <w:r>
              <w:t>&lt; 99%</w:t>
            </w:r>
          </w:p>
        </w:tc>
        <w:tc>
          <w:tcPr>
            <w:tcW w:w="5400" w:type="dxa"/>
          </w:tcPr>
          <w:p w14:paraId="029E052E" w14:textId="77777777" w:rsidR="004005AF" w:rsidRPr="0076238C" w:rsidRDefault="004005AF" w:rsidP="00F01ED6">
            <w:pPr>
              <w:pStyle w:val="ProductList-OfferingBody"/>
              <w:jc w:val="center"/>
            </w:pPr>
            <w:r>
              <w:t>25%</w:t>
            </w:r>
          </w:p>
        </w:tc>
      </w:tr>
    </w:tbl>
    <w:p w14:paraId="76530556" w14:textId="220D316B" w:rsidR="004005AF" w:rsidRPr="00AC11E3" w:rsidRDefault="004005AF" w:rsidP="00B06E74">
      <w:pPr>
        <w:pStyle w:val="ProductList-Body"/>
        <w:spacing w:before="120"/>
        <w:rPr>
          <w:b/>
          <w:color w:val="00188F"/>
        </w:rPr>
      </w:pPr>
      <w:r>
        <w:rPr>
          <w:b/>
          <w:color w:val="00188F"/>
        </w:rPr>
        <w:t>Microsoft Azure Cosmos DB for NoSQL, Microsoft Azure Cosmos DB for MongoDB</w:t>
      </w:r>
      <w:r w:rsidR="005E5097">
        <w:rPr>
          <w:b/>
          <w:color w:val="00188F"/>
        </w:rPr>
        <w:t xml:space="preserve"> (RU)</w:t>
      </w:r>
      <w:r>
        <w:rPr>
          <w:b/>
          <w:color w:val="00188F"/>
        </w:rPr>
        <w:t>, Microsoft Azure Cosmos DB for Apache Cassandra, Microsoft Azure Cosmos DB for Apache Gremlin, Microsoft Azure Cosmos DB for Table</w:t>
      </w:r>
    </w:p>
    <w:p w14:paraId="6A00A741" w14:textId="77777777" w:rsidR="004005AF" w:rsidRPr="00EF7CF9" w:rsidRDefault="004005AF" w:rsidP="00F01ED6">
      <w:pPr>
        <w:pStyle w:val="ProductList-Body"/>
        <w:rPr>
          <w:b/>
          <w:color w:val="00188F"/>
        </w:rPr>
      </w:pPr>
      <w:r>
        <w:rPr>
          <w:b/>
          <w:color w:val="00188F"/>
        </w:rPr>
        <w:t>Definições Adicionais</w:t>
      </w:r>
      <w:r w:rsidRPr="00473DD3">
        <w:rPr>
          <w:b/>
          <w:color w:val="00188F"/>
        </w:rPr>
        <w:t>:</w:t>
      </w:r>
    </w:p>
    <w:p w14:paraId="361D61EC" w14:textId="1DC7A551" w:rsidR="004005AF" w:rsidRPr="00EF7CF9" w:rsidRDefault="00380305" w:rsidP="00F01ED6">
      <w:pPr>
        <w:pStyle w:val="ProductList-Body"/>
      </w:pPr>
      <w:r>
        <w:t>“</w:t>
      </w:r>
      <w:r w:rsidR="004005AF">
        <w:rPr>
          <w:b/>
          <w:color w:val="00188F"/>
        </w:rPr>
        <w:t>Contentor</w:t>
      </w:r>
      <w:r>
        <w:t>”</w:t>
      </w:r>
      <w:r w:rsidR="004005AF">
        <w:t xml:space="preserve"> é um contentor de itens de dados e uma unidade de escala para transações e consultas.</w:t>
      </w:r>
    </w:p>
    <w:p w14:paraId="2042777F" w14:textId="4ED0C6F2" w:rsidR="004005AF" w:rsidRPr="00EF7CF9" w:rsidRDefault="00380305" w:rsidP="00F01ED6">
      <w:pPr>
        <w:pStyle w:val="ProductList-Body"/>
      </w:pPr>
      <w:r>
        <w:t>“</w:t>
      </w:r>
      <w:r w:rsidR="004005AF">
        <w:rPr>
          <w:b/>
          <w:color w:val="00188F"/>
        </w:rPr>
        <w:t>RUs Consumidas</w:t>
      </w:r>
      <w:r>
        <w:t>”</w:t>
      </w:r>
      <w:r w:rsidR="004005AF">
        <w:t xml:space="preserve"> é a soma das Unidades de Pedido consumidas por todos os pedidos processados pelo Contentor do Azure Cosmos DB num determinado segundo.</w:t>
      </w:r>
    </w:p>
    <w:p w14:paraId="30EF1808" w14:textId="6A111E00" w:rsidR="004005AF" w:rsidRPr="00EF7CF9" w:rsidRDefault="00380305" w:rsidP="00F01ED6">
      <w:pPr>
        <w:pStyle w:val="ProductList-Body"/>
        <w:spacing w:after="40"/>
      </w:pPr>
      <w:r>
        <w:lastRenderedPageBreak/>
        <w:t>“</w:t>
      </w:r>
      <w:r w:rsidR="004005AF">
        <w:rPr>
          <w:b/>
          <w:color w:val="00188F"/>
        </w:rPr>
        <w:t>Conta de Base de Dados</w:t>
      </w:r>
      <w:r>
        <w:t>”</w:t>
      </w:r>
      <w:r w:rsidR="004005AF">
        <w:t xml:space="preserve"> é o recurso de nível superior do modelo de recurso Azure Cosmos DB. Uma Conta de Base de Dados Azure Cosmos DB contém uma ou mais bases de dados.</w:t>
      </w:r>
    </w:p>
    <w:p w14:paraId="5F79BD07" w14:textId="5290133E" w:rsidR="004005AF" w:rsidRPr="00EF7CF9" w:rsidRDefault="00380305" w:rsidP="00F01ED6">
      <w:pPr>
        <w:pStyle w:val="ProductList-Body"/>
        <w:spacing w:after="40"/>
      </w:pPr>
      <w:r>
        <w:t>“</w:t>
      </w:r>
      <w:r w:rsidR="004005AF">
        <w:rPr>
          <w:b/>
          <w:color w:val="00188F"/>
        </w:rPr>
        <w:t>Pedidos com Falha</w:t>
      </w:r>
      <w:r>
        <w:t>”</w:t>
      </w:r>
      <w:r w:rsidR="004005AF">
        <w:t xml:space="preserve"> são os pedidos no Total de Pedidos que devolvem um Código de Erro ou que não conseguem devolver um Código de Êxito dentro dos limites superiores máximos documentados na tabela abaixo.</w:t>
      </w:r>
    </w:p>
    <w:p w14:paraId="5C559261" w14:textId="29CCF5CB" w:rsidR="004005AF" w:rsidRPr="00EF7CF9" w:rsidRDefault="00380305" w:rsidP="00F01ED6">
      <w:pPr>
        <w:pStyle w:val="ProductList-Body"/>
      </w:pPr>
      <w:r>
        <w:t>“</w:t>
      </w:r>
      <w:r w:rsidR="004005AF">
        <w:rPr>
          <w:b/>
          <w:color w:val="00188F"/>
        </w:rPr>
        <w:t>Pedidos de Leitura com Falha</w:t>
      </w:r>
      <w:r>
        <w:t>”</w:t>
      </w:r>
      <w:r w:rsidR="004005AF">
        <w:t xml:space="preserve"> são pedidos no Total de Pedidos de Leitura que devolvem um Código de Erro ou que não devolvem um Código de</w:t>
      </w:r>
      <w:r w:rsidR="00394338">
        <w:t> </w:t>
      </w:r>
      <w:r w:rsidR="004005AF">
        <w:t>Êxito nos limites superiores máximos documentados na tabela abaixo.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F01ED6">
            <w:pPr>
              <w:pStyle w:val="ProductList-OfferingBody"/>
              <w:rPr>
                <w:color w:val="FFFFFF" w:themeColor="background1"/>
              </w:rPr>
            </w:pPr>
            <w:r>
              <w:rPr>
                <w:color w:val="FFFFFF" w:themeColor="background1"/>
              </w:rPr>
              <w:t>Operação</w:t>
            </w:r>
          </w:p>
        </w:tc>
        <w:tc>
          <w:tcPr>
            <w:tcW w:w="5400" w:type="dxa"/>
            <w:shd w:val="clear" w:color="auto" w:fill="0072C6"/>
          </w:tcPr>
          <w:p w14:paraId="459020A0" w14:textId="77777777" w:rsidR="004005AF" w:rsidRPr="00EF7CF9" w:rsidRDefault="004005AF" w:rsidP="00F01ED6">
            <w:pPr>
              <w:pStyle w:val="ProductList-OfferingBody"/>
              <w:rPr>
                <w:color w:val="FFFFFF" w:themeColor="background1"/>
              </w:rPr>
            </w:pPr>
            <w:r>
              <w:rPr>
                <w:color w:val="FFFFFF" w:themeColor="background1"/>
              </w:rPr>
              <w:t>Limite Superior Máximo na Latência de Processamento</w:t>
            </w:r>
          </w:p>
        </w:tc>
      </w:tr>
      <w:tr w:rsidR="004005AF" w:rsidRPr="00B44CF9" w14:paraId="71A7335E" w14:textId="77777777" w:rsidTr="00277097">
        <w:tc>
          <w:tcPr>
            <w:tcW w:w="5400" w:type="dxa"/>
          </w:tcPr>
          <w:p w14:paraId="54741EFD" w14:textId="77777777" w:rsidR="004005AF" w:rsidRPr="00EF7CF9" w:rsidRDefault="004005AF" w:rsidP="00F01ED6">
            <w:pPr>
              <w:pStyle w:val="ProductList-OfferingBody"/>
            </w:pPr>
            <w:r>
              <w:t>Operações de Recursos</w:t>
            </w:r>
          </w:p>
        </w:tc>
        <w:tc>
          <w:tcPr>
            <w:tcW w:w="5400" w:type="dxa"/>
          </w:tcPr>
          <w:p w14:paraId="05D5AEFF" w14:textId="77777777" w:rsidR="004005AF" w:rsidRPr="00EF7CF9" w:rsidRDefault="004005AF" w:rsidP="00F01ED6">
            <w:pPr>
              <w:pStyle w:val="ProductList-OfferingBody"/>
              <w:rPr>
                <w:rFonts w:ascii="Calibri" w:eastAsia="Times New Roman" w:hAnsi="Calibri"/>
              </w:rPr>
            </w:pPr>
            <w:r>
              <w:rPr>
                <w:rFonts w:ascii="Calibri" w:eastAsia="Times New Roman" w:hAnsi="Calibri"/>
              </w:rPr>
              <w:t>5 Segundos</w:t>
            </w:r>
          </w:p>
        </w:tc>
      </w:tr>
      <w:tr w:rsidR="004005AF" w:rsidRPr="00B44CF9" w14:paraId="430DE826" w14:textId="77777777" w:rsidTr="00277097">
        <w:tc>
          <w:tcPr>
            <w:tcW w:w="5400" w:type="dxa"/>
          </w:tcPr>
          <w:p w14:paraId="366A88F9" w14:textId="77777777" w:rsidR="004005AF" w:rsidRPr="00EF7CF9" w:rsidRDefault="004005AF" w:rsidP="00F01ED6">
            <w:pPr>
              <w:pStyle w:val="ProductList-OfferingBody"/>
            </w:pPr>
            <w:r>
              <w:t>Operações de Multimédia</w:t>
            </w:r>
          </w:p>
        </w:tc>
        <w:tc>
          <w:tcPr>
            <w:tcW w:w="5400" w:type="dxa"/>
          </w:tcPr>
          <w:p w14:paraId="30157A9F" w14:textId="77777777" w:rsidR="004005AF" w:rsidRPr="00EF7CF9" w:rsidRDefault="004005AF" w:rsidP="00F01ED6">
            <w:pPr>
              <w:pStyle w:val="ProductList-OfferingBody"/>
            </w:pPr>
            <w:r>
              <w:t>60 Segundos</w:t>
            </w:r>
          </w:p>
        </w:tc>
      </w:tr>
    </w:tbl>
    <w:p w14:paraId="078FD11A" w14:textId="77777777" w:rsidR="004005AF" w:rsidRPr="00B06E74" w:rsidRDefault="004005AF" w:rsidP="00F01ED6">
      <w:pPr>
        <w:spacing w:after="0" w:line="240" w:lineRule="auto"/>
        <w:rPr>
          <w:sz w:val="12"/>
          <w:szCs w:val="12"/>
        </w:rPr>
      </w:pPr>
    </w:p>
    <w:p w14:paraId="33557703" w14:textId="6E336B00" w:rsidR="004005AF" w:rsidRPr="008E7C1C" w:rsidRDefault="00380305" w:rsidP="00F01ED6">
      <w:pPr>
        <w:spacing w:after="0" w:line="240" w:lineRule="auto"/>
        <w:jc w:val="both"/>
        <w:rPr>
          <w:spacing w:val="-3"/>
          <w:sz w:val="18"/>
        </w:rPr>
      </w:pPr>
      <w:r>
        <w:rPr>
          <w:spacing w:val="-3"/>
          <w:sz w:val="18"/>
        </w:rPr>
        <w:t>“</w:t>
      </w:r>
      <w:r w:rsidR="004005AF" w:rsidRPr="008E7C1C">
        <w:rPr>
          <w:b/>
          <w:color w:val="00188F"/>
          <w:spacing w:val="-3"/>
          <w:sz w:val="18"/>
        </w:rPr>
        <w:t>RUs Aprovisionados</w:t>
      </w:r>
      <w:r>
        <w:rPr>
          <w:spacing w:val="-3"/>
          <w:sz w:val="18"/>
        </w:rPr>
        <w:t>”</w:t>
      </w:r>
      <w:r w:rsidR="004005AF" w:rsidRPr="008E7C1C">
        <w:rPr>
          <w:spacing w:val="-3"/>
          <w:sz w:val="18"/>
        </w:rPr>
        <w:t xml:space="preserve"> é o total de Unidades de Pedido Aprovisionadas para um determinado Contentor do Azure </w:t>
      </w:r>
      <w:r w:rsidR="004005AF" w:rsidRPr="008E7C1C">
        <w:rPr>
          <w:rStyle w:val="ProductList-BodyChar"/>
          <w:spacing w:val="-3"/>
        </w:rPr>
        <w:t>Cosmos DB</w:t>
      </w:r>
      <w:r w:rsidR="004005AF" w:rsidRPr="008E7C1C">
        <w:rPr>
          <w:spacing w:val="-3"/>
          <w:sz w:val="18"/>
        </w:rPr>
        <w:t xml:space="preserve"> num determinado segundo.</w:t>
      </w:r>
    </w:p>
    <w:p w14:paraId="70C37A24" w14:textId="5FE2E6E4" w:rsidR="004005AF" w:rsidRPr="00ED4527" w:rsidRDefault="00380305" w:rsidP="00F01ED6">
      <w:pPr>
        <w:spacing w:after="0" w:line="240" w:lineRule="auto"/>
        <w:rPr>
          <w:color w:val="000000" w:themeColor="text1"/>
          <w:sz w:val="18"/>
        </w:rPr>
      </w:pPr>
      <w:r w:rsidRPr="00380305">
        <w:rPr>
          <w:sz w:val="18"/>
        </w:rPr>
        <w:t>“</w:t>
      </w:r>
      <w:r w:rsidR="004005AF">
        <w:rPr>
          <w:b/>
          <w:bCs/>
          <w:color w:val="00188F"/>
          <w:sz w:val="18"/>
        </w:rPr>
        <w:t>Recursos de Débito Aprovisionado</w:t>
      </w:r>
      <w:r w:rsidRPr="00380305">
        <w:rPr>
          <w:sz w:val="18"/>
        </w:rPr>
        <w:t>”</w:t>
      </w:r>
      <w:r w:rsidR="004005AF">
        <w:rPr>
          <w:color w:val="000000" w:themeColor="text1"/>
          <w:sz w:val="18"/>
        </w:rPr>
        <w:t xml:space="preserve"> são Contentores do Azure Cosmos DB configurados em modo de débito aprovisionado, em que é faturado o</w:t>
      </w:r>
      <w:r w:rsidR="007C0172">
        <w:rPr>
          <w:color w:val="000000" w:themeColor="text1"/>
          <w:sz w:val="18"/>
        </w:rPr>
        <w:t> </w:t>
      </w:r>
      <w:r w:rsidR="004005AF">
        <w:rPr>
          <w:color w:val="000000" w:themeColor="text1"/>
          <w:sz w:val="18"/>
        </w:rPr>
        <w:t>número de RU Aprovisionadas.</w:t>
      </w:r>
    </w:p>
    <w:p w14:paraId="16319EEE" w14:textId="37825219" w:rsidR="004005AF" w:rsidRPr="00EF7CF9" w:rsidRDefault="00380305" w:rsidP="00F01ED6">
      <w:pPr>
        <w:spacing w:after="0" w:line="240" w:lineRule="auto"/>
        <w:rPr>
          <w:sz w:val="18"/>
        </w:rPr>
      </w:pPr>
      <w:r>
        <w:rPr>
          <w:sz w:val="18"/>
        </w:rPr>
        <w:t>“</w:t>
      </w:r>
      <w:r w:rsidR="004005AF">
        <w:rPr>
          <w:b/>
          <w:color w:val="00188F"/>
          <w:sz w:val="18"/>
        </w:rPr>
        <w:t>Pedidos Limitados por Taxa</w:t>
      </w:r>
      <w:r>
        <w:rPr>
          <w:sz w:val="18"/>
        </w:rPr>
        <w:t>”</w:t>
      </w:r>
      <w:r w:rsidR="004005AF">
        <w:rPr>
          <w:sz w:val="18"/>
        </w:rPr>
        <w:t xml:space="preserve"> são pedidos que devolvem um código de estado 429 a partir do Contentor do Azure Cosmos DB, o que indica que as</w:t>
      </w:r>
      <w:r w:rsidR="00F54ACA">
        <w:rPr>
          <w:sz w:val="18"/>
        </w:rPr>
        <w:t> </w:t>
      </w:r>
      <w:r w:rsidR="004005AF">
        <w:rPr>
          <w:sz w:val="18"/>
        </w:rPr>
        <w:t>RUs Consumidas excederem as RUs Aprovisionadas para uma partição no Contentor num determinado segundo.</w:t>
      </w:r>
    </w:p>
    <w:p w14:paraId="08AAE103" w14:textId="555BA433" w:rsidR="004005AF" w:rsidRPr="00EF7CF9" w:rsidRDefault="00380305" w:rsidP="00F01ED6">
      <w:pPr>
        <w:pStyle w:val="ProductList-Body"/>
      </w:pPr>
      <w:r>
        <w:t>“</w:t>
      </w:r>
      <w:r w:rsidR="004005AF">
        <w:rPr>
          <w:b/>
          <w:color w:val="00188F"/>
        </w:rPr>
        <w:t>Unidade de Pedido (RU)</w:t>
      </w:r>
      <w:r>
        <w:t>”</w:t>
      </w:r>
      <w:r w:rsidR="004005AF">
        <w:t xml:space="preserve"> é uma medida de débito no Azure Cosmos</w:t>
      </w:r>
      <w:r w:rsidR="004005AF">
        <w:rPr>
          <w:rStyle w:val="ProductList-BodyChar"/>
        </w:rPr>
        <w:t xml:space="preserve"> DB</w:t>
      </w:r>
      <w:r w:rsidR="004005AF">
        <w:t>.</w:t>
      </w:r>
    </w:p>
    <w:p w14:paraId="1E86EDAF" w14:textId="16EAA8AD" w:rsidR="004005AF" w:rsidRPr="00EF7CF9" w:rsidRDefault="00380305" w:rsidP="00F01ED6">
      <w:pPr>
        <w:pStyle w:val="ProductList-Body"/>
        <w:spacing w:after="40"/>
      </w:pPr>
      <w:r>
        <w:t>“</w:t>
      </w:r>
      <w:r w:rsidR="004005AF">
        <w:rPr>
          <w:b/>
          <w:color w:val="00188F"/>
        </w:rPr>
        <w:t>Recurso</w:t>
      </w:r>
      <w:r>
        <w:t>”</w:t>
      </w:r>
      <w:r w:rsidR="004005AF">
        <w:t xml:space="preserve"> é um conjunto de entidades endereçáveis de URI associadas a uma Conta de Base de Dados.</w:t>
      </w:r>
    </w:p>
    <w:p w14:paraId="395911E4" w14:textId="13D41B95" w:rsidR="004005AF" w:rsidRPr="008E7C1C" w:rsidRDefault="00380305" w:rsidP="00F01ED6">
      <w:pPr>
        <w:pStyle w:val="ProductList-Body"/>
        <w:spacing w:after="40"/>
        <w:rPr>
          <w:color w:val="000000" w:themeColor="text1"/>
          <w:spacing w:val="-3"/>
        </w:rPr>
      </w:pPr>
      <w:r w:rsidRPr="009D6328">
        <w:t>“</w:t>
      </w:r>
      <w:r w:rsidR="004005AF" w:rsidRPr="008E7C1C">
        <w:rPr>
          <w:b/>
          <w:bCs/>
          <w:color w:val="00188F"/>
          <w:spacing w:val="-3"/>
        </w:rPr>
        <w:t>Recursos Sem Servidor</w:t>
      </w:r>
      <w:r w:rsidRPr="009D6328">
        <w:t>”</w:t>
      </w:r>
      <w:r w:rsidR="004005AF" w:rsidRPr="008E7C1C">
        <w:rPr>
          <w:color w:val="000000" w:themeColor="text1"/>
          <w:spacing w:val="-3"/>
        </w:rPr>
        <w:t xml:space="preserve"> são Contentores do Azure Cosmos DB configurados em modo sem servidor, em que é faturado o número de RU Consumidas.</w:t>
      </w:r>
    </w:p>
    <w:p w14:paraId="29101DF6" w14:textId="4114D50E" w:rsidR="004005AF" w:rsidRPr="00EF7CF9" w:rsidRDefault="00380305" w:rsidP="00F01ED6">
      <w:pPr>
        <w:pStyle w:val="ProductList-Body"/>
        <w:spacing w:after="40"/>
      </w:pPr>
      <w:r>
        <w:t>“</w:t>
      </w:r>
      <w:r w:rsidR="004005AF">
        <w:rPr>
          <w:b/>
          <w:color w:val="00188F"/>
        </w:rPr>
        <w:t>Pedidos Com Êxito</w:t>
      </w:r>
      <w:r>
        <w:t>”</w:t>
      </w:r>
      <w:r w:rsidR="004005AF">
        <w:t xml:space="preserve"> designa o Total de Pedidos menos os Pedidos com Falha.</w:t>
      </w:r>
    </w:p>
    <w:p w14:paraId="6A5A40CE" w14:textId="55806C7B" w:rsidR="004005AF" w:rsidRPr="00EF7CF9" w:rsidRDefault="00380305" w:rsidP="00F01ED6">
      <w:pPr>
        <w:pStyle w:val="ProductList-Body"/>
        <w:ind w:right="126"/>
      </w:pPr>
      <w:r>
        <w:t>“</w:t>
      </w:r>
      <w:r w:rsidR="004005AF">
        <w:rPr>
          <w:b/>
          <w:color w:val="00188F"/>
        </w:rPr>
        <w:t>Total de Pedidos de Leitura</w:t>
      </w:r>
      <w:r>
        <w:t>”</w:t>
      </w:r>
      <w:r w:rsidR="004005AF">
        <w:t xml:space="preserve"> designa o conjunto de todos os pedidos de leitura, incluindo Pedidos Limitados por Taxa e todos os Pedidos de Leitura com Falha, emitidos relativamente a Recursos num intervalo de uma hora, no âmbito de uma determinada subscrição do Azure durante um Período Aplicável.</w:t>
      </w:r>
    </w:p>
    <w:p w14:paraId="237501E5" w14:textId="1F3465ED" w:rsidR="004005AF" w:rsidRPr="00EF7CF9" w:rsidRDefault="00380305" w:rsidP="00F01ED6">
      <w:pPr>
        <w:pStyle w:val="ProductList-Body"/>
      </w:pPr>
      <w:r>
        <w:t>“</w:t>
      </w:r>
      <w:r w:rsidR="004005AF">
        <w:rPr>
          <w:b/>
          <w:color w:val="00188F"/>
        </w:rPr>
        <w:t>Total de Pedidos</w:t>
      </w:r>
      <w:r>
        <w:t>”</w:t>
      </w:r>
      <w:r w:rsidR="004005AF">
        <w:t xml:space="preserve"> designa o conjunto de todos os pedidos, incluindo os Pedidos Limitados pela Taxa e todos os Pedidos com Falha, emitidos relativamente a Recursos num intervalo de uma hora, no âmbito de uma determinada subscrição do Azure durante um Período Aplicável.</w:t>
      </w:r>
    </w:p>
    <w:p w14:paraId="6E2B6641" w14:textId="77777777" w:rsidR="004005AF" w:rsidRPr="00EF7CF9" w:rsidRDefault="004005AF" w:rsidP="00F01ED6">
      <w:pPr>
        <w:pStyle w:val="ProductList-Body"/>
        <w:rPr>
          <w:b/>
          <w:color w:val="00188F"/>
        </w:rPr>
      </w:pPr>
      <w:r>
        <w:rPr>
          <w:b/>
          <w:color w:val="00188F"/>
        </w:rPr>
        <w:t>SLA de disponibilidade</w:t>
      </w:r>
    </w:p>
    <w:p w14:paraId="11FEC7EC" w14:textId="6563A5CA" w:rsidR="004005AF" w:rsidRPr="00EF7CF9" w:rsidRDefault="00380305" w:rsidP="00F01ED6">
      <w:pPr>
        <w:pStyle w:val="ProductList-Body"/>
        <w:ind w:left="360"/>
      </w:pPr>
      <w:r>
        <w:t>“</w:t>
      </w:r>
      <w:r w:rsidR="004005AF">
        <w:rPr>
          <w:b/>
          <w:color w:val="0072C6"/>
        </w:rPr>
        <w:t>Taxa de Erros de Leitura</w:t>
      </w:r>
      <w:r>
        <w:t>”</w:t>
      </w:r>
      <w:r w:rsidR="004005AF">
        <w:t xml:space="preserve"> designa o número total de Pedidos de Leitura com Falha a dividir pelo Total de Pedidos de Leitura, em todos os Recursos numa determinada subscrição do Azure, durante um intervalo de uma hora. Se o Total de Pedidos de Leitura num determinado intervalo de uma hora for zero, a Taxa de Erros de Leitura para esse intervalo é de 0%. </w:t>
      </w:r>
    </w:p>
    <w:p w14:paraId="76486965" w14:textId="780D9CD2" w:rsidR="004005AF" w:rsidRPr="00EF7CF9" w:rsidRDefault="00380305" w:rsidP="00F01ED6">
      <w:pPr>
        <w:pStyle w:val="ProductList-Body"/>
        <w:ind w:left="360"/>
      </w:pPr>
      <w:r>
        <w:t>“</w:t>
      </w:r>
      <w:r w:rsidR="004005AF">
        <w:rPr>
          <w:b/>
          <w:color w:val="0072C6"/>
        </w:rPr>
        <w:t>Total de Erros</w:t>
      </w:r>
      <w:r>
        <w:t>”</w:t>
      </w:r>
      <w:r w:rsidR="004005AF">
        <w:t xml:space="preserve"> é o número total de Pedidos com Falha a dividir pelo Total de Pedidos, em todos os Recursos numa determinada subscrição do Azure, durante um intervalo de uma hora. Se o Total de Pedidos num determinado intervalo de uma hora for zero, a Taxa de Erros para esse intervalo é de 0%.</w:t>
      </w:r>
    </w:p>
    <w:p w14:paraId="53003E87" w14:textId="7D3887E5" w:rsidR="004005AF" w:rsidRPr="00EF7CF9" w:rsidRDefault="004005AF" w:rsidP="00F01ED6">
      <w:pPr>
        <w:pStyle w:val="ProductList-Body"/>
        <w:ind w:left="360"/>
      </w:pPr>
      <w:r>
        <w:t xml:space="preserve">A </w:t>
      </w:r>
      <w:r w:rsidR="00380305">
        <w:t>“</w:t>
      </w:r>
      <w:r>
        <w:rPr>
          <w:b/>
          <w:color w:val="0072C6"/>
        </w:rPr>
        <w:t>Taxa Média de Erros</w:t>
      </w:r>
      <w:r w:rsidR="00380305">
        <w:t>”</w:t>
      </w:r>
      <w:r>
        <w:t xml:space="preserve"> para um Período Aplicável designa a soma das Taxas de Erros para cada hora no Período Aplicável a dividir pelo número total de horas no Período Aplicável. </w:t>
      </w:r>
    </w:p>
    <w:p w14:paraId="4B6B9E2E" w14:textId="10D22B4F" w:rsidR="004005AF" w:rsidRPr="00ED4527" w:rsidRDefault="00380305" w:rsidP="00F01ED6">
      <w:pPr>
        <w:pStyle w:val="ProductList-Body"/>
        <w:ind w:left="360"/>
        <w:rPr>
          <w:rFonts w:cstheme="minorHAnsi"/>
          <w:color w:val="000000" w:themeColor="text1"/>
        </w:rPr>
      </w:pPr>
      <w:r>
        <w:t>“</w:t>
      </w:r>
      <w:r w:rsidR="004005AF">
        <w:rPr>
          <w:b/>
          <w:color w:val="0072C6"/>
        </w:rPr>
        <w:t>Taxa Média de Erros de Leitura</w:t>
      </w:r>
      <w:r>
        <w:t>”</w:t>
      </w:r>
      <w:r w:rsidR="004005AF">
        <w:t xml:space="preserve"> para um Período Aplicável designa a soma das Taxas de Erros para cada hora no Período Aplicável a dividir pelo número total de horas no Período Aplicável.</w:t>
      </w:r>
    </w:p>
    <w:p w14:paraId="7AA01C14" w14:textId="4B7551B6" w:rsidR="004005AF" w:rsidRDefault="004005AF" w:rsidP="00F01ED6">
      <w:pPr>
        <w:pStyle w:val="ProductList-Body"/>
        <w:ind w:left="360"/>
      </w:pPr>
      <w:r>
        <w:t xml:space="preserve">A </w:t>
      </w:r>
      <w:r w:rsidR="00380305" w:rsidRPr="00380305">
        <w:t>“</w:t>
      </w:r>
      <w:r>
        <w:rPr>
          <w:b/>
          <w:color w:val="0072C6"/>
        </w:rPr>
        <w:t>Percentagem de Disponibilidade, região única</w:t>
      </w:r>
      <w:r w:rsidR="00380305" w:rsidRPr="00380305">
        <w:t>”</w:t>
      </w:r>
      <w:r>
        <w:t xml:space="preserve"> para o Serviço Azure Cosmos DB implementado através das Contas da Base de Dados, destinadas a uma única região do Azure configuradas com qualquer um dos cinco Níveis de Consistência, é calculada ao subtrair de 100% a</w:t>
      </w:r>
      <w:r w:rsidR="00656EFA">
        <w:t> </w:t>
      </w:r>
      <w:r>
        <w:t>Taxa Média de Erros para uma determinada subscrição do Microsoft Azure num Período Aplicável.</w:t>
      </w:r>
    </w:p>
    <w:p w14:paraId="6B623582" w14:textId="49CC4D1B" w:rsidR="004005AF" w:rsidRPr="00EF7CF9" w:rsidRDefault="004005AF" w:rsidP="00F01ED6">
      <w:pPr>
        <w:pStyle w:val="ProductList-Body"/>
        <w:ind w:left="360"/>
      </w:pPr>
      <w:r>
        <w:t>A Percentagem de Disponibilidade é representada pela seguinte fórmula:</w:t>
      </w:r>
    </w:p>
    <w:p w14:paraId="1F669364" w14:textId="5C2C8156" w:rsidR="004005AF" w:rsidRPr="00EF7CF9" w:rsidRDefault="008E7C1C" w:rsidP="004F259F">
      <w:pPr>
        <w:pStyle w:val="ListParagraph"/>
        <w:spacing w:before="120" w:after="120" w:line="240" w:lineRule="auto"/>
        <w:rPr>
          <w:rFonts w:ascii="Cambria Math" w:hAnsi="Cambria Math" w:cs="Tahoma"/>
          <w:i/>
          <w:sz w:val="12"/>
          <w:szCs w:val="12"/>
        </w:rPr>
      </w:pPr>
      <m:oMathPara>
        <m:oMath>
          <m:r>
            <m:rPr>
              <m:nor/>
            </m:rPr>
            <w:rPr>
              <w:rFonts w:ascii="Cambria Math" w:hAnsi="Cambria Math" w:cs="Tahoma"/>
              <w:i/>
              <w:sz w:val="18"/>
              <w:szCs w:val="18"/>
            </w:rPr>
            <m:t>100% – Taxa Média de Erros</m:t>
          </m:r>
        </m:oMath>
      </m:oMathPara>
    </w:p>
    <w:p w14:paraId="3D3119E0" w14:textId="77777777" w:rsidR="004005AF" w:rsidRPr="00EF7CF9" w:rsidRDefault="004005AF" w:rsidP="00F01ED6">
      <w:pPr>
        <w:pStyle w:val="ProductList-Body"/>
        <w:keepNext/>
        <w:ind w:left="360"/>
        <w:rPr>
          <w:color w:val="0072C6"/>
        </w:rPr>
      </w:pPr>
      <w:r>
        <w:rPr>
          <w:b/>
          <w:color w:val="0072C6"/>
        </w:rPr>
        <w:t>Crédito de Serviço para Recursos de Débito Aprovisionado</w:t>
      </w:r>
      <w:r w:rsidRPr="00473DD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F01ED6">
            <w:pPr>
              <w:pStyle w:val="ProductList-OfferingBody"/>
              <w:jc w:val="center"/>
              <w:rPr>
                <w:color w:val="FFFFFF" w:themeColor="background1"/>
              </w:rPr>
            </w:pPr>
            <w:r>
              <w:rPr>
                <w:color w:val="FFFFFF" w:themeColor="background1"/>
              </w:rPr>
              <w:t>Percentagem de Disponibilidade</w:t>
            </w:r>
          </w:p>
        </w:tc>
        <w:tc>
          <w:tcPr>
            <w:tcW w:w="5220" w:type="dxa"/>
            <w:shd w:val="clear" w:color="auto" w:fill="0072C6"/>
          </w:tcPr>
          <w:p w14:paraId="522E8022"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3F7E68C5" w14:textId="77777777" w:rsidTr="000F31B4">
        <w:tc>
          <w:tcPr>
            <w:tcW w:w="5220" w:type="dxa"/>
          </w:tcPr>
          <w:p w14:paraId="76174D01" w14:textId="77777777" w:rsidR="004005AF" w:rsidRPr="00EF7CF9" w:rsidRDefault="004005AF" w:rsidP="00F01ED6">
            <w:pPr>
              <w:pStyle w:val="ProductList-OfferingBody"/>
              <w:jc w:val="center"/>
            </w:pPr>
            <w:r>
              <w:t>&lt; 99,99%</w:t>
            </w:r>
          </w:p>
        </w:tc>
        <w:tc>
          <w:tcPr>
            <w:tcW w:w="5220" w:type="dxa"/>
          </w:tcPr>
          <w:p w14:paraId="76F210E0" w14:textId="77777777" w:rsidR="004005AF" w:rsidRPr="00EF7CF9" w:rsidRDefault="004005AF" w:rsidP="00F01ED6">
            <w:pPr>
              <w:pStyle w:val="ProductList-OfferingBody"/>
              <w:jc w:val="center"/>
            </w:pPr>
            <w:r>
              <w:t>10%</w:t>
            </w:r>
          </w:p>
        </w:tc>
      </w:tr>
      <w:tr w:rsidR="004005AF" w:rsidRPr="00B44CF9" w14:paraId="57C140FF" w14:textId="77777777" w:rsidTr="000F31B4">
        <w:tc>
          <w:tcPr>
            <w:tcW w:w="5220" w:type="dxa"/>
          </w:tcPr>
          <w:p w14:paraId="6F863018" w14:textId="77777777" w:rsidR="004005AF" w:rsidRPr="00EF7CF9" w:rsidRDefault="004005AF" w:rsidP="00F01ED6">
            <w:pPr>
              <w:pStyle w:val="ProductList-OfferingBody"/>
              <w:jc w:val="center"/>
            </w:pPr>
            <w:r>
              <w:t>&lt; 99%</w:t>
            </w:r>
          </w:p>
        </w:tc>
        <w:tc>
          <w:tcPr>
            <w:tcW w:w="5220" w:type="dxa"/>
          </w:tcPr>
          <w:p w14:paraId="09F00374" w14:textId="77777777" w:rsidR="004005AF" w:rsidRPr="00EF7CF9" w:rsidRDefault="004005AF" w:rsidP="00F01ED6">
            <w:pPr>
              <w:pStyle w:val="ProductList-OfferingBody"/>
              <w:jc w:val="center"/>
            </w:pPr>
            <w:r>
              <w:t>25%</w:t>
            </w:r>
          </w:p>
        </w:tc>
      </w:tr>
    </w:tbl>
    <w:p w14:paraId="1C678F12" w14:textId="01ED039C" w:rsidR="004005AF" w:rsidRDefault="004005AF" w:rsidP="00F01ED6">
      <w:pPr>
        <w:pStyle w:val="ProductList-Body"/>
        <w:ind w:left="360"/>
        <w:rPr>
          <w:color w:val="000000" w:themeColor="text1"/>
        </w:rPr>
      </w:pPr>
      <w:r>
        <w:t xml:space="preserve">A </w:t>
      </w:r>
      <w:r w:rsidR="00380305" w:rsidRPr="00380305">
        <w:t>“</w:t>
      </w:r>
      <w:r>
        <w:rPr>
          <w:b/>
          <w:bCs/>
          <w:color w:val="00188F"/>
        </w:rPr>
        <w:t>Percentagem de Disponibilidade, região única com zonas de disponibilidade (SR-AZ)</w:t>
      </w:r>
      <w:r w:rsidR="00380305" w:rsidRPr="00380305">
        <w:t>”</w:t>
      </w:r>
      <w:r>
        <w:t xml:space="preserve"> </w:t>
      </w:r>
      <w:r>
        <w:rPr>
          <w:color w:val="000000" w:themeColor="text1"/>
        </w:rPr>
        <w:t xml:space="preserve">para o Serviço Azure Cosmos DB implementado através das Contas da Base de Dados, destinadas a uma única região do Azure configuradas com zonas de disponibilidade e qualquer um dos cinco Níveis de Consistência, é calculada ao subtrair de 100% a Taxa Média de Erros para uma determinada subscrição do Microsoft Azure num Período Aplicável. </w:t>
      </w:r>
    </w:p>
    <w:p w14:paraId="4BE8750A" w14:textId="118E4410" w:rsidR="004005AF" w:rsidRPr="00ED4527" w:rsidRDefault="004005AF" w:rsidP="00F01ED6">
      <w:pPr>
        <w:pStyle w:val="ProductList-Body"/>
        <w:ind w:left="360"/>
        <w:rPr>
          <w:color w:val="000000" w:themeColor="text1"/>
        </w:rPr>
      </w:pPr>
      <w:r>
        <w:rPr>
          <w:color w:val="000000" w:themeColor="text1"/>
        </w:rPr>
        <w:t>A Percentagem de Disponibilidade é representada pela seguinte fórmula:</w:t>
      </w:r>
    </w:p>
    <w:p w14:paraId="11D51820" w14:textId="7D5876D3" w:rsidR="004005AF" w:rsidRPr="00EF7CF9" w:rsidRDefault="008E7C1C" w:rsidP="00A12377">
      <w:pPr>
        <w:pStyle w:val="ListParagraph"/>
        <w:spacing w:before="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Taxa Média de Erros</m:t>
          </m:r>
        </m:oMath>
      </m:oMathPara>
    </w:p>
    <w:p w14:paraId="370B4484" w14:textId="77777777" w:rsidR="004005AF" w:rsidRPr="00EF7CF9" w:rsidRDefault="004005AF" w:rsidP="00F01ED6">
      <w:pPr>
        <w:pStyle w:val="ProductList-Body"/>
        <w:keepNext/>
        <w:ind w:left="360"/>
        <w:rPr>
          <w:color w:val="0072C6"/>
        </w:rPr>
      </w:pPr>
      <w:r>
        <w:rPr>
          <w:b/>
          <w:color w:val="0072C6"/>
        </w:rPr>
        <w:t>Crédito de Serviço para Recursos de Débito Aprovisionado</w:t>
      </w:r>
      <w:r w:rsidRPr="00473DD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F01ED6">
            <w:pPr>
              <w:pStyle w:val="ProductList-OfferingBody"/>
              <w:jc w:val="center"/>
              <w:rPr>
                <w:color w:val="FFFFFF" w:themeColor="background1"/>
              </w:rPr>
            </w:pPr>
            <w:r>
              <w:rPr>
                <w:color w:val="FFFFFF" w:themeColor="background1"/>
              </w:rPr>
              <w:t>Percentagem de Disponibilidade (SR-AZ)</w:t>
            </w:r>
          </w:p>
        </w:tc>
        <w:tc>
          <w:tcPr>
            <w:tcW w:w="5220" w:type="dxa"/>
            <w:shd w:val="clear" w:color="auto" w:fill="0072C6"/>
          </w:tcPr>
          <w:p w14:paraId="0EF30CB8"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10B4E570" w14:textId="77777777" w:rsidTr="000F31B4">
        <w:tc>
          <w:tcPr>
            <w:tcW w:w="5220" w:type="dxa"/>
          </w:tcPr>
          <w:p w14:paraId="165E57FA" w14:textId="77777777" w:rsidR="004005AF" w:rsidRPr="00EF7CF9" w:rsidRDefault="004005AF" w:rsidP="00F01ED6">
            <w:pPr>
              <w:pStyle w:val="ProductList-OfferingBody"/>
              <w:jc w:val="center"/>
            </w:pPr>
            <w:r>
              <w:t>&lt; 99,995%</w:t>
            </w:r>
          </w:p>
        </w:tc>
        <w:tc>
          <w:tcPr>
            <w:tcW w:w="5220" w:type="dxa"/>
          </w:tcPr>
          <w:p w14:paraId="3C61D854" w14:textId="77777777" w:rsidR="004005AF" w:rsidRPr="00EF7CF9" w:rsidRDefault="004005AF" w:rsidP="00F01ED6">
            <w:pPr>
              <w:pStyle w:val="ProductList-OfferingBody"/>
              <w:jc w:val="center"/>
            </w:pPr>
            <w:r>
              <w:t>10%</w:t>
            </w:r>
          </w:p>
        </w:tc>
      </w:tr>
      <w:tr w:rsidR="004005AF" w:rsidRPr="00B44CF9" w14:paraId="459DA578" w14:textId="77777777" w:rsidTr="000F31B4">
        <w:tc>
          <w:tcPr>
            <w:tcW w:w="5220" w:type="dxa"/>
          </w:tcPr>
          <w:p w14:paraId="06D2A1C7" w14:textId="77777777" w:rsidR="004005AF" w:rsidRPr="00EF7CF9" w:rsidRDefault="004005AF" w:rsidP="00F01ED6">
            <w:pPr>
              <w:pStyle w:val="ProductList-OfferingBody"/>
              <w:jc w:val="center"/>
            </w:pPr>
            <w:r>
              <w:t>&lt; 99%</w:t>
            </w:r>
          </w:p>
        </w:tc>
        <w:tc>
          <w:tcPr>
            <w:tcW w:w="5220" w:type="dxa"/>
          </w:tcPr>
          <w:p w14:paraId="59950996" w14:textId="77777777" w:rsidR="004005AF" w:rsidRPr="00EF7CF9" w:rsidRDefault="004005AF" w:rsidP="00F01ED6">
            <w:pPr>
              <w:pStyle w:val="ProductList-OfferingBody"/>
              <w:jc w:val="center"/>
            </w:pPr>
            <w:r>
              <w:t>25%</w:t>
            </w:r>
          </w:p>
        </w:tc>
      </w:tr>
    </w:tbl>
    <w:p w14:paraId="2163FA83" w14:textId="6EEF8E05" w:rsidR="004005AF" w:rsidRDefault="004005AF" w:rsidP="00F01ED6">
      <w:pPr>
        <w:pStyle w:val="ProductList-Body"/>
        <w:ind w:left="360"/>
      </w:pPr>
      <w:r>
        <w:lastRenderedPageBreak/>
        <w:t xml:space="preserve">A </w:t>
      </w:r>
      <w:r w:rsidR="00380305" w:rsidRPr="00380305">
        <w:t>“</w:t>
      </w:r>
      <w:r>
        <w:rPr>
          <w:b/>
          <w:color w:val="0072C6"/>
        </w:rPr>
        <w:t>Percentagem da Disponibilidade de Leitura, múltiplas regiões</w:t>
      </w:r>
      <w:r w:rsidR="00380305">
        <w:t>”</w:t>
      </w:r>
      <w:r>
        <w:t xml:space="preserve"> para o Serviço Azure Cosmos DB implementado através da Conta da</w:t>
      </w:r>
      <w:r w:rsidR="00516AB4">
        <w:t> </w:t>
      </w:r>
      <w:r>
        <w:t>Base</w:t>
      </w:r>
      <w:r w:rsidR="00516AB4">
        <w:t> </w:t>
      </w:r>
      <w:r>
        <w:t>de Dados configurada para abranger duas ou mais</w:t>
      </w:r>
      <w:r>
        <w:rPr>
          <w:rFonts w:ascii="Segoe UI" w:hAnsi="Segoe UI"/>
          <w:color w:val="505050"/>
          <w:szCs w:val="18"/>
        </w:rPr>
        <w:t xml:space="preserve"> </w:t>
      </w:r>
      <w:r>
        <w:t>regiões é calculada ao subtrair de 100% a Taxa Média de Erros de Leitura para</w:t>
      </w:r>
      <w:r w:rsidR="00516AB4">
        <w:t> </w:t>
      </w:r>
      <w:r>
        <w:t>uma</w:t>
      </w:r>
      <w:r w:rsidR="00516AB4">
        <w:t> </w:t>
      </w:r>
      <w:r>
        <w:t>determinada subscrição do Microsoft Azure num Período Aplicável.</w:t>
      </w:r>
    </w:p>
    <w:p w14:paraId="138E383A" w14:textId="2F61485F" w:rsidR="004005AF" w:rsidRPr="00EF7CF9" w:rsidRDefault="004005AF" w:rsidP="00F01ED6">
      <w:pPr>
        <w:pStyle w:val="ProductList-Body"/>
        <w:ind w:left="360"/>
      </w:pPr>
      <w:r>
        <w:t>A Percentagem de Disponibilidade de Leitura é representada pela seguinte fórmula:</w:t>
      </w:r>
    </w:p>
    <w:p w14:paraId="42F47F2F" w14:textId="7AE3AE21" w:rsidR="004005AF" w:rsidRPr="00B44CF9" w:rsidRDefault="004005AF" w:rsidP="00A12377">
      <w:pPr>
        <w:pStyle w:val="ListParagraph"/>
        <w:spacing w:before="120" w:line="240" w:lineRule="auto"/>
        <w:contextualSpacing w:val="0"/>
        <w:jc w:val="center"/>
        <w:rPr>
          <w:rFonts w:ascii="Cambria Math" w:hAnsi="Cambria Math" w:cs="Tahoma"/>
          <w:i/>
          <w:sz w:val="18"/>
          <w:szCs w:val="18"/>
        </w:rPr>
      </w:pPr>
      <w:r>
        <w:rPr>
          <w:rFonts w:ascii="Cambria Math" w:hAnsi="Cambria Math" w:cs="Tahoma"/>
          <w:i/>
          <w:sz w:val="18"/>
          <w:szCs w:val="18"/>
        </w:rPr>
        <w:t xml:space="preserve">100% </w:t>
      </w:r>
      <w:r w:rsidR="00D2686E">
        <w:rPr>
          <w:rFonts w:ascii="Cambria Math" w:hAnsi="Cambria Math" w:cs="Tahoma"/>
          <w:i/>
          <w:sz w:val="18"/>
          <w:szCs w:val="18"/>
        </w:rPr>
        <w:t>–</w:t>
      </w:r>
      <w:r>
        <w:rPr>
          <w:rFonts w:ascii="Cambria Math" w:hAnsi="Cambria Math" w:cs="Tahoma"/>
          <w:i/>
          <w:sz w:val="18"/>
          <w:szCs w:val="18"/>
        </w:rPr>
        <w:t xml:space="preserve"> Taxa Média de Erros de Leitura</w:t>
      </w:r>
    </w:p>
    <w:p w14:paraId="38C0055E" w14:textId="77777777" w:rsidR="004005AF" w:rsidRPr="00EF7CF9" w:rsidRDefault="004005AF" w:rsidP="00F01ED6">
      <w:pPr>
        <w:pStyle w:val="ProductList-Body"/>
        <w:ind w:left="360"/>
        <w:rPr>
          <w:color w:val="0072C6"/>
        </w:rPr>
      </w:pPr>
      <w:r>
        <w:rPr>
          <w:b/>
          <w:color w:val="0072C6"/>
        </w:rPr>
        <w:t>Crédito de Serviço para Recursos de Débito Aprovisionado</w:t>
      </w:r>
      <w:r w:rsidRPr="00473DD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F01ED6">
            <w:pPr>
              <w:pStyle w:val="ProductList-OfferingBody"/>
              <w:jc w:val="center"/>
              <w:rPr>
                <w:color w:val="FFFFFF" w:themeColor="background1"/>
              </w:rPr>
            </w:pPr>
            <w:r>
              <w:rPr>
                <w:color w:val="FFFFFF" w:themeColor="background1"/>
              </w:rPr>
              <w:t>Percentagem de Disponibilidade de Leitura</w:t>
            </w:r>
          </w:p>
        </w:tc>
        <w:tc>
          <w:tcPr>
            <w:tcW w:w="5220" w:type="dxa"/>
            <w:shd w:val="clear" w:color="auto" w:fill="0072C6"/>
          </w:tcPr>
          <w:p w14:paraId="7EAE7550"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555F3CA0" w14:textId="77777777" w:rsidTr="000F31B4">
        <w:tc>
          <w:tcPr>
            <w:tcW w:w="5220" w:type="dxa"/>
          </w:tcPr>
          <w:p w14:paraId="392D5057" w14:textId="77777777" w:rsidR="004005AF" w:rsidRPr="00EF7CF9" w:rsidRDefault="004005AF" w:rsidP="00F01ED6">
            <w:pPr>
              <w:pStyle w:val="ProductList-OfferingBody"/>
              <w:jc w:val="center"/>
            </w:pPr>
            <w:r>
              <w:t>&lt; 99,999%</w:t>
            </w:r>
          </w:p>
        </w:tc>
        <w:tc>
          <w:tcPr>
            <w:tcW w:w="5220" w:type="dxa"/>
          </w:tcPr>
          <w:p w14:paraId="1A6FFD90" w14:textId="77777777" w:rsidR="004005AF" w:rsidRPr="00EF7CF9" w:rsidRDefault="004005AF" w:rsidP="00F01ED6">
            <w:pPr>
              <w:pStyle w:val="ProductList-OfferingBody"/>
              <w:jc w:val="center"/>
            </w:pPr>
            <w:r>
              <w:t>10%</w:t>
            </w:r>
          </w:p>
        </w:tc>
      </w:tr>
      <w:tr w:rsidR="004005AF" w:rsidRPr="00B44CF9" w14:paraId="16BE7F96" w14:textId="77777777" w:rsidTr="000F31B4">
        <w:tc>
          <w:tcPr>
            <w:tcW w:w="5220" w:type="dxa"/>
          </w:tcPr>
          <w:p w14:paraId="41A5B29F" w14:textId="77777777" w:rsidR="004005AF" w:rsidRPr="00EF7CF9" w:rsidRDefault="004005AF" w:rsidP="00F01ED6">
            <w:pPr>
              <w:pStyle w:val="ProductList-OfferingBody"/>
              <w:jc w:val="center"/>
            </w:pPr>
            <w:r>
              <w:t>&lt; 99%</w:t>
            </w:r>
          </w:p>
        </w:tc>
        <w:tc>
          <w:tcPr>
            <w:tcW w:w="5220" w:type="dxa"/>
          </w:tcPr>
          <w:p w14:paraId="0CC25834" w14:textId="77777777" w:rsidR="004005AF" w:rsidRPr="00EF7CF9" w:rsidRDefault="004005AF" w:rsidP="00F01ED6">
            <w:pPr>
              <w:pStyle w:val="ProductList-OfferingBody"/>
              <w:jc w:val="center"/>
            </w:pPr>
            <w:r>
              <w:t>25%</w:t>
            </w:r>
          </w:p>
        </w:tc>
      </w:tr>
    </w:tbl>
    <w:p w14:paraId="16EE59B5" w14:textId="748FB22D" w:rsidR="004005AF" w:rsidRDefault="004005AF" w:rsidP="00F01ED6">
      <w:pPr>
        <w:pStyle w:val="ProductList-Body"/>
        <w:ind w:left="360"/>
      </w:pPr>
      <w:r>
        <w:t xml:space="preserve">A </w:t>
      </w:r>
      <w:r w:rsidR="00380305" w:rsidRPr="00380305">
        <w:t>“</w:t>
      </w:r>
      <w:r>
        <w:rPr>
          <w:b/>
          <w:color w:val="0072C6"/>
        </w:rPr>
        <w:t>Percentagem de Disponibilidade de Múltiplas Localizações de Escrita</w:t>
      </w:r>
      <w:r w:rsidR="00380305">
        <w:t>”</w:t>
      </w:r>
      <w:r>
        <w:rPr>
          <w:b/>
          <w:color w:val="00188F"/>
        </w:rPr>
        <w:t xml:space="preserve"> </w:t>
      </w:r>
      <w:r>
        <w:t xml:space="preserve">para o Serviço Azure Cosmos DB implementado através de Contas da Base de Dados configuradas para abranger múltiplas regiões do Azure com múltiplas localizações graváveis é calculada ao subtrair de 100% a Taxa Média de Erros para uma determinada subscrição do Microsoft Azure num Período Aplicável. </w:t>
      </w:r>
    </w:p>
    <w:p w14:paraId="50F42BFA" w14:textId="3D482DA0" w:rsidR="004005AF" w:rsidRDefault="004005AF" w:rsidP="00F01ED6">
      <w:pPr>
        <w:pStyle w:val="ProductList-Body"/>
        <w:ind w:left="360"/>
        <w:rPr>
          <w:color w:val="00188F"/>
        </w:rPr>
      </w:pPr>
      <w:r>
        <w:t>A Percentagem de Disponibilidade é representada pela seguinte fórmula:</w:t>
      </w:r>
    </w:p>
    <w:p w14:paraId="5C0160BB" w14:textId="0100CEA7" w:rsidR="004005AF" w:rsidRPr="00445EC8" w:rsidRDefault="004005AF" w:rsidP="00A12377">
      <w:pPr>
        <w:pStyle w:val="ListParagraph"/>
        <w:spacing w:before="120" w:line="240" w:lineRule="auto"/>
        <w:jc w:val="center"/>
        <w:rPr>
          <w:rFonts w:ascii="Cambria Math" w:hAnsi="Cambria Math" w:cs="Tahoma"/>
          <w:i/>
          <w:sz w:val="18"/>
          <w:szCs w:val="18"/>
        </w:rPr>
      </w:pPr>
      <w:r>
        <w:rPr>
          <w:rFonts w:ascii="Cambria Math" w:hAnsi="Cambria Math" w:cs="Tahoma"/>
          <w:i/>
          <w:sz w:val="18"/>
          <w:szCs w:val="18"/>
        </w:rPr>
        <w:t xml:space="preserve">% de Período de Disponibilidade = 100% </w:t>
      </w:r>
      <w:r w:rsidR="00D2686E">
        <w:rPr>
          <w:rFonts w:ascii="Cambria Math" w:hAnsi="Cambria Math" w:cs="Tahoma"/>
          <w:i/>
          <w:sz w:val="18"/>
          <w:szCs w:val="18"/>
        </w:rPr>
        <w:t>–</w:t>
      </w:r>
      <w:r>
        <w:rPr>
          <w:rFonts w:ascii="Cambria Math" w:hAnsi="Cambria Math" w:cs="Tahoma"/>
          <w:i/>
          <w:sz w:val="18"/>
          <w:szCs w:val="18"/>
        </w:rPr>
        <w:t xml:space="preserve"> Taxa Média de Erros</w:t>
      </w:r>
    </w:p>
    <w:p w14:paraId="3BE8C6E4" w14:textId="77777777" w:rsidR="004005AF" w:rsidRPr="00EF7CF9" w:rsidRDefault="004005AF" w:rsidP="00F01ED6">
      <w:pPr>
        <w:pStyle w:val="ProductList-Body"/>
        <w:ind w:left="360"/>
        <w:rPr>
          <w:color w:val="0072C6"/>
        </w:rPr>
      </w:pPr>
      <w:r>
        <w:rPr>
          <w:b/>
          <w:color w:val="0072C6"/>
        </w:rPr>
        <w:t>Crédito de Serviço para Recursos de Débito Aprovisionado</w:t>
      </w:r>
      <w:r w:rsidRPr="00473DD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F01ED6">
            <w:pPr>
              <w:pStyle w:val="ProductList-OfferingBody"/>
              <w:jc w:val="center"/>
              <w:rPr>
                <w:color w:val="FFFFFF" w:themeColor="background1"/>
              </w:rPr>
            </w:pPr>
            <w:r>
              <w:rPr>
                <w:color w:val="FFFFFF" w:themeColor="background1"/>
              </w:rPr>
              <w:t>Percentagem de Disponibilidade de Múltiplas Localizações de Escrita</w:t>
            </w:r>
          </w:p>
        </w:tc>
        <w:tc>
          <w:tcPr>
            <w:tcW w:w="5220" w:type="dxa"/>
            <w:shd w:val="clear" w:color="auto" w:fill="0072C6"/>
          </w:tcPr>
          <w:p w14:paraId="140398F3"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37EFF141" w14:textId="77777777" w:rsidTr="000F31B4">
        <w:tc>
          <w:tcPr>
            <w:tcW w:w="5220" w:type="dxa"/>
          </w:tcPr>
          <w:p w14:paraId="0FF17567" w14:textId="77777777" w:rsidR="004005AF" w:rsidRPr="00EF7CF9" w:rsidRDefault="004005AF" w:rsidP="00F01ED6">
            <w:pPr>
              <w:pStyle w:val="ProductList-OfferingBody"/>
              <w:jc w:val="center"/>
            </w:pPr>
            <w:r>
              <w:t>&lt; 99,999%</w:t>
            </w:r>
          </w:p>
        </w:tc>
        <w:tc>
          <w:tcPr>
            <w:tcW w:w="5220" w:type="dxa"/>
          </w:tcPr>
          <w:p w14:paraId="3D31BB6C" w14:textId="77777777" w:rsidR="004005AF" w:rsidRPr="00EF7CF9" w:rsidRDefault="004005AF" w:rsidP="00F01ED6">
            <w:pPr>
              <w:pStyle w:val="ProductList-OfferingBody"/>
              <w:jc w:val="center"/>
            </w:pPr>
            <w:r>
              <w:t>10%</w:t>
            </w:r>
          </w:p>
        </w:tc>
      </w:tr>
      <w:tr w:rsidR="004005AF" w:rsidRPr="00B44CF9" w14:paraId="17346986" w14:textId="77777777" w:rsidTr="000F31B4">
        <w:tc>
          <w:tcPr>
            <w:tcW w:w="5220" w:type="dxa"/>
          </w:tcPr>
          <w:p w14:paraId="0B072E59" w14:textId="77777777" w:rsidR="004005AF" w:rsidRPr="00EF7CF9" w:rsidRDefault="004005AF" w:rsidP="00F01ED6">
            <w:pPr>
              <w:pStyle w:val="ProductList-OfferingBody"/>
              <w:jc w:val="center"/>
            </w:pPr>
            <w:r>
              <w:t>&lt; 99%</w:t>
            </w:r>
          </w:p>
        </w:tc>
        <w:tc>
          <w:tcPr>
            <w:tcW w:w="5220" w:type="dxa"/>
          </w:tcPr>
          <w:p w14:paraId="2D89B6BE" w14:textId="77777777" w:rsidR="004005AF" w:rsidRPr="00EF7CF9" w:rsidRDefault="004005AF" w:rsidP="00F01ED6">
            <w:pPr>
              <w:pStyle w:val="ProductList-OfferingBody"/>
              <w:jc w:val="center"/>
            </w:pPr>
            <w:r>
              <w:t>25%</w:t>
            </w:r>
          </w:p>
        </w:tc>
      </w:tr>
    </w:tbl>
    <w:p w14:paraId="709245B5" w14:textId="77777777" w:rsidR="004005AF" w:rsidRPr="000974C9" w:rsidRDefault="004005AF" w:rsidP="00F01ED6">
      <w:pPr>
        <w:pStyle w:val="ProductList-Body"/>
        <w:rPr>
          <w:sz w:val="12"/>
          <w:szCs w:val="12"/>
        </w:rPr>
      </w:pPr>
    </w:p>
    <w:p w14:paraId="368915AF" w14:textId="77777777" w:rsidR="004005AF" w:rsidRPr="00EF7CF9" w:rsidRDefault="004005AF" w:rsidP="00F01ED6">
      <w:pPr>
        <w:pStyle w:val="ProductList-Body"/>
        <w:tabs>
          <w:tab w:val="clear" w:pos="360"/>
        </w:tabs>
        <w:rPr>
          <w:b/>
          <w:color w:val="00188F"/>
        </w:rPr>
      </w:pPr>
      <w:r>
        <w:rPr>
          <w:b/>
          <w:color w:val="00188F"/>
        </w:rPr>
        <w:t>SLA de produtividade</w:t>
      </w:r>
    </w:p>
    <w:p w14:paraId="4411A7D3" w14:textId="63AB9958" w:rsidR="004005AF" w:rsidRPr="00EF7CF9" w:rsidRDefault="00380305" w:rsidP="00F01ED6">
      <w:pPr>
        <w:pStyle w:val="ProductList-Body"/>
        <w:ind w:left="360"/>
      </w:pPr>
      <w:r>
        <w:t>“</w:t>
      </w:r>
      <w:r w:rsidR="004005AF">
        <w:rPr>
          <w:b/>
          <w:color w:val="0072C6"/>
        </w:rPr>
        <w:t>Pedidos com Falha de Débito</w:t>
      </w:r>
      <w:r>
        <w:t>”</w:t>
      </w:r>
      <w:r w:rsidR="004005AF">
        <w:t xml:space="preserve"> são Pedidos com Taxa Limitada que resultam num Código de Erro, antes das RUs Consumidas excederem as</w:t>
      </w:r>
      <w:r w:rsidR="00D53B5F">
        <w:t> </w:t>
      </w:r>
      <w:r w:rsidR="004005AF">
        <w:t>RUs Aprovisionadas para uma partição no Contentor num determinado segundo.</w:t>
      </w:r>
    </w:p>
    <w:p w14:paraId="74602DE7" w14:textId="39F23F32" w:rsidR="004005AF" w:rsidRPr="00EF7CF9" w:rsidRDefault="00380305" w:rsidP="00F01ED6">
      <w:pPr>
        <w:pStyle w:val="ProductList-Body"/>
        <w:ind w:left="360"/>
      </w:pPr>
      <w:r>
        <w:t>“</w:t>
      </w:r>
      <w:r w:rsidR="004005AF">
        <w:rPr>
          <w:b/>
          <w:color w:val="0072C6"/>
        </w:rPr>
        <w:t>Total de Erros</w:t>
      </w:r>
      <w:r>
        <w:t>”</w:t>
      </w:r>
      <w:r w:rsidR="004005AF">
        <w:t xml:space="preserve"> é o número total de Pedidos com Falha de Débito a dividir pelo Total de Pedidos, em todos os Recursos numa determinada subscrição do Azure, durante um intervalo de uma hora. Se o Total de Pedidos num determinado intervalo de uma hora for zero, a Taxa de Erros para esse intervalo é de 0%.</w:t>
      </w:r>
    </w:p>
    <w:p w14:paraId="28CDF879" w14:textId="4D38200F" w:rsidR="004005AF" w:rsidRPr="00EF7CF9" w:rsidRDefault="004005AF" w:rsidP="00F01ED6">
      <w:pPr>
        <w:pStyle w:val="ProductList-Body"/>
        <w:ind w:left="360"/>
      </w:pPr>
      <w:r>
        <w:t xml:space="preserve">A </w:t>
      </w:r>
      <w:r w:rsidR="00380305">
        <w:t>“</w:t>
      </w:r>
      <w:r>
        <w:rPr>
          <w:b/>
          <w:color w:val="0072C6"/>
        </w:rPr>
        <w:t>Taxa Média de Erros</w:t>
      </w:r>
      <w:r w:rsidR="00380305">
        <w:t>”</w:t>
      </w:r>
      <w:r>
        <w:t xml:space="preserve"> para um Período Aplicável designa a soma das Taxas de Erros para cada hora no Período Aplicável a dividir pelo número total de horas no Período Aplicável.</w:t>
      </w:r>
    </w:p>
    <w:p w14:paraId="00C1EFAF" w14:textId="57C2B66E" w:rsidR="004005AF" w:rsidRDefault="004005AF" w:rsidP="00F01ED6">
      <w:pPr>
        <w:pStyle w:val="ProductList-Body"/>
        <w:ind w:left="360"/>
      </w:pPr>
      <w:r>
        <w:t xml:space="preserve">A </w:t>
      </w:r>
      <w:r w:rsidR="00380305">
        <w:t>“</w:t>
      </w:r>
      <w:r>
        <w:rPr>
          <w:b/>
          <w:color w:val="0072C6"/>
        </w:rPr>
        <w:t>Percentagem de Débito</w:t>
      </w:r>
      <w:r w:rsidR="00380305">
        <w:t>”</w:t>
      </w:r>
      <w:r>
        <w:t xml:space="preserve"> para o Serviço Azure Cosmos</w:t>
      </w:r>
      <w:r>
        <w:rPr>
          <w:rStyle w:val="ProductList-BodyChar"/>
        </w:rPr>
        <w:t xml:space="preserve"> DB</w:t>
      </w:r>
      <w:r>
        <w:t xml:space="preserve"> é calculada ao subtrair de 100% a Taxa Média de Erros para uma determinada subscrição do Microsoft Azure num Período Aplicável. </w:t>
      </w:r>
    </w:p>
    <w:p w14:paraId="2B14C91E" w14:textId="61E0049C" w:rsidR="004005AF" w:rsidRPr="00EF7CF9" w:rsidRDefault="004005AF" w:rsidP="00F01ED6">
      <w:pPr>
        <w:pStyle w:val="ProductList-Body"/>
        <w:ind w:left="360"/>
      </w:pPr>
      <w:r>
        <w:t>A Percentagem de Débito é representada pela seguinte fórmula:</w:t>
      </w:r>
    </w:p>
    <w:p w14:paraId="24E4085B" w14:textId="246B5501" w:rsidR="004005AF" w:rsidRPr="00EF7CF9" w:rsidRDefault="008E7C1C" w:rsidP="00A12377">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 xml:space="preserve">100% – Taxa Média de Erros </m:t>
          </m:r>
        </m:oMath>
      </m:oMathPara>
    </w:p>
    <w:p w14:paraId="5B214880" w14:textId="77777777" w:rsidR="004005AF" w:rsidRPr="00EF7CF9" w:rsidRDefault="004005AF" w:rsidP="00F01ED6">
      <w:pPr>
        <w:pStyle w:val="ProductList-Body"/>
        <w:keepNext/>
        <w:ind w:left="360"/>
        <w:rPr>
          <w:color w:val="0072C6"/>
        </w:rPr>
      </w:pPr>
      <w:r>
        <w:rPr>
          <w:b/>
          <w:color w:val="0072C6"/>
        </w:rPr>
        <w:t>Crédito de Serviço para Recursos de Débito Aprovisionado</w:t>
      </w:r>
      <w:r w:rsidRPr="00473DD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F01ED6">
            <w:pPr>
              <w:pStyle w:val="ProductList-OfferingBody"/>
              <w:jc w:val="center"/>
              <w:rPr>
                <w:color w:val="FFFFFF" w:themeColor="background1"/>
              </w:rPr>
            </w:pPr>
            <w:r>
              <w:rPr>
                <w:color w:val="FFFFFF" w:themeColor="background1"/>
              </w:rPr>
              <w:t>Percentagem de Débito</w:t>
            </w:r>
          </w:p>
        </w:tc>
        <w:tc>
          <w:tcPr>
            <w:tcW w:w="5220" w:type="dxa"/>
            <w:shd w:val="clear" w:color="auto" w:fill="0072C6"/>
          </w:tcPr>
          <w:p w14:paraId="0DE5CEE7"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2FD6482B" w14:textId="77777777" w:rsidTr="000F31B4">
        <w:tc>
          <w:tcPr>
            <w:tcW w:w="5220" w:type="dxa"/>
          </w:tcPr>
          <w:p w14:paraId="45D15F9F" w14:textId="77777777" w:rsidR="004005AF" w:rsidRPr="00EF7CF9" w:rsidRDefault="004005AF" w:rsidP="00F01ED6">
            <w:pPr>
              <w:pStyle w:val="ProductList-OfferingBody"/>
              <w:jc w:val="center"/>
            </w:pPr>
            <w:r>
              <w:t>&lt; 99,99%</w:t>
            </w:r>
          </w:p>
        </w:tc>
        <w:tc>
          <w:tcPr>
            <w:tcW w:w="5220" w:type="dxa"/>
          </w:tcPr>
          <w:p w14:paraId="0C4E3866" w14:textId="77777777" w:rsidR="004005AF" w:rsidRPr="00EF7CF9" w:rsidRDefault="004005AF" w:rsidP="00F01ED6">
            <w:pPr>
              <w:pStyle w:val="ProductList-OfferingBody"/>
              <w:jc w:val="center"/>
            </w:pPr>
            <w:r>
              <w:t>10%</w:t>
            </w:r>
          </w:p>
        </w:tc>
      </w:tr>
      <w:tr w:rsidR="004005AF" w:rsidRPr="00B44CF9" w14:paraId="234F70CD" w14:textId="77777777" w:rsidTr="000F31B4">
        <w:tc>
          <w:tcPr>
            <w:tcW w:w="5220" w:type="dxa"/>
          </w:tcPr>
          <w:p w14:paraId="4A9B6C6B" w14:textId="77777777" w:rsidR="004005AF" w:rsidRPr="00EF7CF9" w:rsidRDefault="004005AF" w:rsidP="00F01ED6">
            <w:pPr>
              <w:pStyle w:val="ProductList-OfferingBody"/>
              <w:jc w:val="center"/>
            </w:pPr>
            <w:r>
              <w:t>&lt; 99%</w:t>
            </w:r>
          </w:p>
        </w:tc>
        <w:tc>
          <w:tcPr>
            <w:tcW w:w="5220" w:type="dxa"/>
          </w:tcPr>
          <w:p w14:paraId="479B13B2" w14:textId="77777777" w:rsidR="004005AF" w:rsidRPr="00EF7CF9" w:rsidRDefault="004005AF" w:rsidP="00F01ED6">
            <w:pPr>
              <w:pStyle w:val="ProductList-OfferingBody"/>
              <w:jc w:val="center"/>
            </w:pPr>
            <w:r>
              <w:t>25%</w:t>
            </w:r>
          </w:p>
        </w:tc>
      </w:tr>
    </w:tbl>
    <w:p w14:paraId="39A739D8" w14:textId="77777777" w:rsidR="004005AF" w:rsidRPr="00EF7CF9" w:rsidRDefault="004005AF" w:rsidP="00F01ED6">
      <w:pPr>
        <w:pStyle w:val="ProductList-Body"/>
      </w:pPr>
    </w:p>
    <w:p w14:paraId="5F62F759" w14:textId="77777777" w:rsidR="004005AF" w:rsidRPr="00EF7CF9" w:rsidRDefault="004005AF" w:rsidP="00F01ED6">
      <w:pPr>
        <w:pStyle w:val="ProductList-Body"/>
        <w:tabs>
          <w:tab w:val="clear" w:pos="360"/>
        </w:tabs>
        <w:rPr>
          <w:b/>
          <w:color w:val="00188F"/>
        </w:rPr>
      </w:pPr>
      <w:r>
        <w:rPr>
          <w:b/>
          <w:color w:val="00188F"/>
        </w:rPr>
        <w:t>SLA de Consistência</w:t>
      </w:r>
    </w:p>
    <w:p w14:paraId="72B7F00A" w14:textId="3DF643D7" w:rsidR="004005AF" w:rsidRPr="00EF7CF9" w:rsidRDefault="00380305" w:rsidP="00F01ED6">
      <w:pPr>
        <w:pStyle w:val="ProductList-Body"/>
        <w:ind w:left="360"/>
      </w:pPr>
      <w:r>
        <w:t>“</w:t>
      </w:r>
      <w:r w:rsidR="004005AF">
        <w:rPr>
          <w:b/>
          <w:color w:val="0072C6"/>
        </w:rPr>
        <w:t>K</w:t>
      </w:r>
      <w:r>
        <w:t>”</w:t>
      </w:r>
      <w:r w:rsidR="004005AF">
        <w:t xml:space="preserve"> é o número de versões de um determinado item de dados para o qual as leituras estão atrasadas em relação às escritas.</w:t>
      </w:r>
    </w:p>
    <w:p w14:paraId="1580A041" w14:textId="29D4EF00" w:rsidR="004005AF" w:rsidRPr="00EF7CF9" w:rsidRDefault="00380305" w:rsidP="00F01ED6">
      <w:pPr>
        <w:pStyle w:val="ProductList-Body"/>
        <w:ind w:left="360"/>
      </w:pPr>
      <w:r>
        <w:t>“</w:t>
      </w:r>
      <w:r w:rsidR="004005AF">
        <w:rPr>
          <w:b/>
          <w:color w:val="0072C6"/>
        </w:rPr>
        <w:t>T</w:t>
      </w:r>
      <w:r>
        <w:t>”</w:t>
      </w:r>
      <w:r w:rsidR="004005AF">
        <w:t xml:space="preserve"> é um determinado intervalo de tempo.</w:t>
      </w:r>
    </w:p>
    <w:p w14:paraId="02909165" w14:textId="40C1B7BC" w:rsidR="004005AF" w:rsidRDefault="00380305" w:rsidP="00F01ED6">
      <w:pPr>
        <w:pStyle w:val="ProductList-Body"/>
        <w:ind w:left="360"/>
      </w:pPr>
      <w:r>
        <w:t>“</w:t>
      </w:r>
      <w:r w:rsidR="004005AF">
        <w:rPr>
          <w:b/>
          <w:color w:val="0072C6"/>
        </w:rPr>
        <w:t>Nível de consistência</w:t>
      </w:r>
      <w:r>
        <w:t>”</w:t>
      </w:r>
      <w:r w:rsidR="004005AF">
        <w:t xml:space="preserve"> é a definição de um determinado pedido de leitura que suporta garantias de consistência. A tabela seguinte captura as garantias associadas aos Níveis de Consistência. Note que os Níveis de Consistência de Sessão, de Ecletismo, de Prefixo Consistente e Eventual são todos referidos como </w:t>
      </w:r>
      <w:r>
        <w:t>“</w:t>
      </w:r>
      <w:r w:rsidR="004005AF">
        <w:t>relaxados</w:t>
      </w:r>
      <w:r>
        <w:t>”</w:t>
      </w:r>
      <w:r w:rsidR="004005AF">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F01ED6">
            <w:pPr>
              <w:pStyle w:val="ProductList-OfferingBody"/>
              <w:rPr>
                <w:color w:val="FFFFFF" w:themeColor="background1"/>
              </w:rPr>
            </w:pPr>
            <w:r>
              <w:rPr>
                <w:color w:val="FFFFFF" w:themeColor="background1"/>
              </w:rPr>
              <w:t>Nível de Consistência</w:t>
            </w:r>
          </w:p>
        </w:tc>
        <w:tc>
          <w:tcPr>
            <w:tcW w:w="5220" w:type="dxa"/>
            <w:shd w:val="clear" w:color="auto" w:fill="0072C6"/>
          </w:tcPr>
          <w:p w14:paraId="00B71A80" w14:textId="77777777" w:rsidR="004005AF" w:rsidRPr="00EF7CF9" w:rsidRDefault="004005AF" w:rsidP="00F01ED6">
            <w:pPr>
              <w:pStyle w:val="ProductList-OfferingBody"/>
              <w:rPr>
                <w:color w:val="FFFFFF" w:themeColor="background1"/>
              </w:rPr>
            </w:pPr>
            <w:r>
              <w:rPr>
                <w:color w:val="FFFFFF" w:themeColor="background1"/>
              </w:rPr>
              <w:t>Garantias de Consistência</w:t>
            </w:r>
          </w:p>
        </w:tc>
      </w:tr>
      <w:tr w:rsidR="004005AF" w:rsidRPr="00B44CF9" w14:paraId="79574E8B" w14:textId="77777777" w:rsidTr="000F31B4">
        <w:tc>
          <w:tcPr>
            <w:tcW w:w="5220" w:type="dxa"/>
          </w:tcPr>
          <w:p w14:paraId="5710D940" w14:textId="77777777" w:rsidR="004005AF" w:rsidRPr="00EF7CF9" w:rsidRDefault="004005AF" w:rsidP="00F01ED6">
            <w:pPr>
              <w:pStyle w:val="ProductList-OfferingBody"/>
            </w:pPr>
            <w:r>
              <w:t>Forte</w:t>
            </w:r>
          </w:p>
        </w:tc>
        <w:tc>
          <w:tcPr>
            <w:tcW w:w="5220" w:type="dxa"/>
          </w:tcPr>
          <w:p w14:paraId="3C6B3EDC" w14:textId="77777777" w:rsidR="004005AF" w:rsidRPr="00EF7CF9" w:rsidRDefault="004005AF" w:rsidP="00F01ED6">
            <w:pPr>
              <w:pStyle w:val="ProductList-OfferingBody"/>
            </w:pPr>
            <w:r>
              <w:t>Coerência atómica</w:t>
            </w:r>
          </w:p>
        </w:tc>
      </w:tr>
      <w:tr w:rsidR="004005AF" w:rsidRPr="00B44CF9" w14:paraId="3B5F933E" w14:textId="77777777" w:rsidTr="000F31B4">
        <w:tc>
          <w:tcPr>
            <w:tcW w:w="5220" w:type="dxa"/>
          </w:tcPr>
          <w:p w14:paraId="256D156C" w14:textId="77777777" w:rsidR="004005AF" w:rsidRPr="00EF7CF9" w:rsidRDefault="004005AF" w:rsidP="00F01ED6">
            <w:pPr>
              <w:pStyle w:val="ProductList-OfferingBody"/>
            </w:pPr>
            <w:r>
              <w:t>Sessão</w:t>
            </w:r>
          </w:p>
        </w:tc>
        <w:tc>
          <w:tcPr>
            <w:tcW w:w="5220" w:type="dxa"/>
          </w:tcPr>
          <w:p w14:paraId="64DB8B80" w14:textId="77777777" w:rsidR="004005AF" w:rsidRPr="00EF7CF9" w:rsidRDefault="004005AF" w:rsidP="00F01ED6">
            <w:pPr>
              <w:pStyle w:val="ProductList-OfferingBody"/>
              <w:rPr>
                <w:rFonts w:ascii="Calibri" w:eastAsia="Times New Roman" w:hAnsi="Calibri"/>
              </w:rPr>
            </w:pPr>
            <w:r>
              <w:rPr>
                <w:rFonts w:ascii="Calibri" w:eastAsia="Times New Roman" w:hAnsi="Calibri"/>
              </w:rPr>
              <w:t>Ler a Própria Escrita (na região de escrita)</w:t>
            </w:r>
          </w:p>
          <w:p w14:paraId="5583A157" w14:textId="77777777" w:rsidR="004005AF" w:rsidRPr="00EF7CF9" w:rsidRDefault="004005AF" w:rsidP="00F01ED6">
            <w:pPr>
              <w:pStyle w:val="ProductList-Body"/>
              <w:rPr>
                <w:sz w:val="16"/>
                <w:szCs w:val="16"/>
              </w:rPr>
            </w:pPr>
            <w:r>
              <w:rPr>
                <w:sz w:val="16"/>
                <w:szCs w:val="16"/>
              </w:rPr>
              <w:t>Leitura Monotónica</w:t>
            </w:r>
          </w:p>
          <w:p w14:paraId="35D15967" w14:textId="77777777" w:rsidR="004005AF" w:rsidRPr="00EF7CF9" w:rsidRDefault="004005AF" w:rsidP="00F01ED6">
            <w:pPr>
              <w:pStyle w:val="ProductList-Body"/>
            </w:pPr>
            <w:r>
              <w:rPr>
                <w:sz w:val="16"/>
                <w:szCs w:val="16"/>
              </w:rPr>
              <w:t>Prefixo Consistente</w:t>
            </w:r>
          </w:p>
        </w:tc>
      </w:tr>
      <w:tr w:rsidR="004005AF" w:rsidRPr="00B44CF9" w14:paraId="4C1EC5FC" w14:textId="77777777" w:rsidTr="000F31B4">
        <w:tc>
          <w:tcPr>
            <w:tcW w:w="5220" w:type="dxa"/>
          </w:tcPr>
          <w:p w14:paraId="5CA08EA8" w14:textId="77777777" w:rsidR="004005AF" w:rsidRPr="00EF7CF9" w:rsidRDefault="004005AF" w:rsidP="00F01ED6">
            <w:pPr>
              <w:pStyle w:val="ProductList-OfferingBody"/>
            </w:pPr>
            <w:r>
              <w:t>Ecletismo</w:t>
            </w:r>
          </w:p>
        </w:tc>
        <w:tc>
          <w:tcPr>
            <w:tcW w:w="5220" w:type="dxa"/>
          </w:tcPr>
          <w:p w14:paraId="168DBAC5" w14:textId="77777777" w:rsidR="004005AF" w:rsidRPr="00EF7CF9" w:rsidRDefault="004005AF" w:rsidP="00F01ED6">
            <w:pPr>
              <w:pStyle w:val="ProductList-OfferingBody"/>
              <w:rPr>
                <w:rFonts w:ascii="Calibri" w:eastAsia="Times New Roman" w:hAnsi="Calibri"/>
              </w:rPr>
            </w:pPr>
            <w:r>
              <w:rPr>
                <w:rFonts w:ascii="Calibri" w:eastAsia="Times New Roman" w:hAnsi="Calibri"/>
              </w:rPr>
              <w:t>Ler a Própria Escrita (na região de escrita)</w:t>
            </w:r>
          </w:p>
          <w:p w14:paraId="5642D515" w14:textId="77777777" w:rsidR="004005AF" w:rsidRPr="00EF7CF9" w:rsidRDefault="004005AF" w:rsidP="00F01ED6">
            <w:pPr>
              <w:pStyle w:val="ProductList-Body"/>
              <w:rPr>
                <w:sz w:val="16"/>
                <w:szCs w:val="16"/>
              </w:rPr>
            </w:pPr>
            <w:r>
              <w:rPr>
                <w:sz w:val="16"/>
                <w:szCs w:val="16"/>
              </w:rPr>
              <w:t>Leitura Monotónica (numa região)</w:t>
            </w:r>
          </w:p>
          <w:p w14:paraId="5CF56556" w14:textId="77777777" w:rsidR="004005AF" w:rsidRPr="00EF7CF9" w:rsidRDefault="004005AF" w:rsidP="00F01ED6">
            <w:pPr>
              <w:pStyle w:val="ProductList-OfferingBody"/>
              <w:rPr>
                <w:szCs w:val="16"/>
              </w:rPr>
            </w:pPr>
            <w:r>
              <w:rPr>
                <w:szCs w:val="16"/>
              </w:rPr>
              <w:t>Prefixo Consistente</w:t>
            </w:r>
          </w:p>
          <w:p w14:paraId="4D3D84DC" w14:textId="77777777" w:rsidR="004005AF" w:rsidRPr="00EF7CF9" w:rsidRDefault="004005AF" w:rsidP="00F01ED6">
            <w:pPr>
              <w:pStyle w:val="ProductList-Body"/>
              <w:rPr>
                <w:sz w:val="16"/>
                <w:szCs w:val="16"/>
              </w:rPr>
            </w:pPr>
            <w:r>
              <w:rPr>
                <w:sz w:val="16"/>
                <w:szCs w:val="16"/>
              </w:rPr>
              <w:t>Estagnação Limitada &lt; K,T</w:t>
            </w:r>
          </w:p>
        </w:tc>
      </w:tr>
      <w:tr w:rsidR="004005AF" w:rsidRPr="00B44CF9" w14:paraId="0AE56105" w14:textId="77777777" w:rsidTr="000F31B4">
        <w:tc>
          <w:tcPr>
            <w:tcW w:w="5220" w:type="dxa"/>
          </w:tcPr>
          <w:p w14:paraId="539E3B1F" w14:textId="77777777" w:rsidR="004005AF" w:rsidRPr="00EF7CF9" w:rsidRDefault="004005AF" w:rsidP="00F01ED6">
            <w:pPr>
              <w:pStyle w:val="ProductList-OfferingBody"/>
            </w:pPr>
            <w:r>
              <w:t>Prefixo Consistente</w:t>
            </w:r>
          </w:p>
        </w:tc>
        <w:tc>
          <w:tcPr>
            <w:tcW w:w="5220" w:type="dxa"/>
          </w:tcPr>
          <w:p w14:paraId="784F07A6" w14:textId="77777777" w:rsidR="004005AF" w:rsidRPr="00EF7CF9" w:rsidRDefault="004005AF" w:rsidP="00F01ED6">
            <w:pPr>
              <w:pStyle w:val="ProductList-OfferingBody"/>
              <w:rPr>
                <w:rFonts w:ascii="Calibri" w:eastAsia="Times New Roman" w:hAnsi="Calibri"/>
              </w:rPr>
            </w:pPr>
            <w:r>
              <w:rPr>
                <w:rFonts w:ascii="Calibri" w:eastAsia="Times New Roman" w:hAnsi="Calibri"/>
              </w:rPr>
              <w:t>Prefixo Consistente</w:t>
            </w:r>
          </w:p>
        </w:tc>
      </w:tr>
      <w:tr w:rsidR="004005AF" w:rsidRPr="00B44CF9" w14:paraId="1D5672A5" w14:textId="77777777" w:rsidTr="000F31B4">
        <w:tc>
          <w:tcPr>
            <w:tcW w:w="5220" w:type="dxa"/>
          </w:tcPr>
          <w:p w14:paraId="1CC7BE15" w14:textId="77777777" w:rsidR="004005AF" w:rsidRPr="00EF7CF9" w:rsidRDefault="004005AF" w:rsidP="00F01ED6">
            <w:pPr>
              <w:pStyle w:val="ProductList-OfferingBody"/>
            </w:pPr>
            <w:r>
              <w:t>Eventual</w:t>
            </w:r>
          </w:p>
        </w:tc>
        <w:tc>
          <w:tcPr>
            <w:tcW w:w="5220" w:type="dxa"/>
          </w:tcPr>
          <w:p w14:paraId="35D3E71F" w14:textId="77777777" w:rsidR="004005AF" w:rsidRPr="00EF7CF9" w:rsidRDefault="004005AF" w:rsidP="00F01ED6">
            <w:pPr>
              <w:pStyle w:val="ProductList-OfferingBody"/>
            </w:pPr>
            <w:r>
              <w:t>Eventual</w:t>
            </w:r>
          </w:p>
        </w:tc>
      </w:tr>
    </w:tbl>
    <w:p w14:paraId="71C434D2" w14:textId="7D871AAA" w:rsidR="004005AF" w:rsidRPr="00EF7CF9" w:rsidRDefault="004005AF" w:rsidP="00F01ED6">
      <w:pPr>
        <w:pStyle w:val="ProductList-Body"/>
        <w:ind w:left="360"/>
      </w:pPr>
      <w:r>
        <w:lastRenderedPageBreak/>
        <w:t xml:space="preserve">A </w:t>
      </w:r>
      <w:r w:rsidR="00380305">
        <w:t>“</w:t>
      </w:r>
      <w:r>
        <w:rPr>
          <w:b/>
          <w:color w:val="0072C6"/>
        </w:rPr>
        <w:t>Taxa de Violações de Consistência</w:t>
      </w:r>
      <w:r w:rsidR="00380305">
        <w:t>”</w:t>
      </w:r>
      <w:r>
        <w:t xml:space="preserve"> indica os Pedidos Com Êxito que não foi possível entregar ao exercer as garantias de consistência especificadas para o Nível de Consistência escolhido, dividido pelo Total de Pedidos, em todos os Recursos numa determinada subscrição do</w:t>
      </w:r>
      <w:r w:rsidR="00320399">
        <w:t> </w:t>
      </w:r>
      <w:r>
        <w:t>Azure, durante um determinado intervalo de uma hora. Se o Total de Pedidos num determinado intervalo de uma hora for zero, a Taxa de</w:t>
      </w:r>
      <w:r w:rsidR="00320399">
        <w:t> </w:t>
      </w:r>
      <w:r>
        <w:t>Violação de Consistência para esse intervalo é de 0%.</w:t>
      </w:r>
    </w:p>
    <w:p w14:paraId="0F2B553A" w14:textId="4DAC4AD3" w:rsidR="004005AF" w:rsidRPr="00EF7CF9" w:rsidRDefault="004005AF" w:rsidP="00F01ED6">
      <w:pPr>
        <w:pStyle w:val="ProductList-Body"/>
        <w:ind w:left="360"/>
      </w:pPr>
      <w:r>
        <w:t xml:space="preserve">A </w:t>
      </w:r>
      <w:r w:rsidR="00380305">
        <w:t>“</w:t>
      </w:r>
      <w:r>
        <w:rPr>
          <w:b/>
          <w:color w:val="0072C6"/>
        </w:rPr>
        <w:t>Taxa Média de Violação da Consistência</w:t>
      </w:r>
      <w:r w:rsidR="00380305">
        <w:t>”</w:t>
      </w:r>
      <w:r>
        <w:t xml:space="preserve"> para um Período Aplicável é a soma das Taxas de Violação da Consistência para cada hora no</w:t>
      </w:r>
      <w:r w:rsidR="00E8396C">
        <w:t> </w:t>
      </w:r>
      <w:r>
        <w:t>Período Aplicável, a dividir pelo número total de horas no mês de faturação.</w:t>
      </w:r>
    </w:p>
    <w:p w14:paraId="0C714C25" w14:textId="38CA9ECE" w:rsidR="004005AF" w:rsidRPr="00EF7CF9" w:rsidRDefault="004005AF" w:rsidP="00F01ED6">
      <w:pPr>
        <w:pStyle w:val="ProductList-Body"/>
        <w:ind w:left="360"/>
      </w:pPr>
      <w:r>
        <w:t xml:space="preserve">A </w:t>
      </w:r>
      <w:r w:rsidR="00380305">
        <w:t>“</w:t>
      </w:r>
      <w:r>
        <w:rPr>
          <w:b/>
          <w:color w:val="0072C6"/>
        </w:rPr>
        <w:t>Percentagem de Concretização da Consistência</w:t>
      </w:r>
      <w:r w:rsidR="00380305">
        <w:t>”</w:t>
      </w:r>
      <w:r>
        <w:t xml:space="preserve"> para o Serviço Azure Cosmos</w:t>
      </w:r>
      <w:r>
        <w:rPr>
          <w:rStyle w:val="ProductList-BodyChar"/>
        </w:rPr>
        <w:t xml:space="preserve"> DB</w:t>
      </w:r>
      <w:r>
        <w:t xml:space="preserve"> é calculada ao subtrair de 100% a Taxa de Violação da</w:t>
      </w:r>
      <w:r w:rsidR="007C5AC8">
        <w:t> </w:t>
      </w:r>
      <w:r>
        <w:t xml:space="preserve">Consistência Média para uma determinada subscrição do Microsoft Azure num Período Aplicável. </w:t>
      </w:r>
    </w:p>
    <w:p w14:paraId="7182D226" w14:textId="11AAA323" w:rsidR="004005AF" w:rsidRDefault="004005AF" w:rsidP="00F01ED6">
      <w:pPr>
        <w:pStyle w:val="ProductList-Body"/>
        <w:ind w:left="360"/>
      </w:pPr>
      <w:r>
        <w:rPr>
          <w:b/>
          <w:color w:val="0072C6"/>
        </w:rPr>
        <w:t>Percentagem de Consistência</w:t>
      </w:r>
      <w:r w:rsidRPr="00473DD3">
        <w:rPr>
          <w:b/>
          <w:color w:val="0072C6"/>
        </w:rPr>
        <w:t>:</w:t>
      </w:r>
      <w:r>
        <w:t xml:space="preserve"> Para o Serviço Azure Cosmos</w:t>
      </w:r>
      <w:r>
        <w:rPr>
          <w:rStyle w:val="ProductList-BodyChar"/>
        </w:rPr>
        <w:t xml:space="preserve"> DB</w:t>
      </w:r>
      <w:r>
        <w:t>, é calculada ao subtrair de 100% a Taxa Média de Violação da Consistência para uma determinada subscrição do Microsoft Azure num Período Aplicável.</w:t>
      </w:r>
    </w:p>
    <w:p w14:paraId="42C4EA2D" w14:textId="24BA79AA" w:rsidR="004005AF" w:rsidRPr="00EF7CF9" w:rsidRDefault="004005AF" w:rsidP="00F01ED6">
      <w:pPr>
        <w:pStyle w:val="ProductList-Body"/>
        <w:ind w:left="360"/>
      </w:pPr>
      <w:r>
        <w:t>A Percentagem de Consistência é representada pela seguinte fórmula:</w:t>
      </w:r>
    </w:p>
    <w:p w14:paraId="3A965256" w14:textId="1CEA141B" w:rsidR="004005AF" w:rsidRPr="00EF7CF9" w:rsidRDefault="008E7C1C" w:rsidP="009F16F1">
      <w:pPr>
        <w:pStyle w:val="ListParagraph"/>
        <w:spacing w:before="120" w:after="0" w:line="240" w:lineRule="auto"/>
        <w:rPr>
          <w:rFonts w:ascii="Cambria Math" w:hAnsi="Cambria Math" w:cs="Tahoma"/>
          <w:i/>
          <w:sz w:val="12"/>
          <w:szCs w:val="12"/>
        </w:rPr>
      </w:pPr>
      <m:oMathPara>
        <m:oMath>
          <m:r>
            <m:rPr>
              <m:nor/>
            </m:rPr>
            <w:rPr>
              <w:rFonts w:ascii="Cambria Math" w:hAnsi="Cambria Math" w:cs="Tahoma"/>
              <w:i/>
              <w:sz w:val="18"/>
              <w:szCs w:val="18"/>
            </w:rPr>
            <m:t>100% – Taxa de Violação da Consistência Média</m:t>
          </m:r>
        </m:oMath>
      </m:oMathPara>
    </w:p>
    <w:p w14:paraId="33E19146" w14:textId="77777777" w:rsidR="004005AF" w:rsidRPr="00EF7CF9" w:rsidRDefault="004005AF" w:rsidP="00F01ED6">
      <w:pPr>
        <w:pStyle w:val="ProductList-Body"/>
        <w:keepNext/>
        <w:ind w:left="360"/>
        <w:rPr>
          <w:color w:val="0072C6"/>
        </w:rPr>
      </w:pPr>
      <w:r>
        <w:rPr>
          <w:b/>
          <w:color w:val="0072C6"/>
        </w:rPr>
        <w:t>Crédito de Serviço</w:t>
      </w:r>
      <w:r w:rsidRPr="00473DD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F01ED6">
            <w:pPr>
              <w:pStyle w:val="ProductList-OfferingBody"/>
              <w:jc w:val="center"/>
              <w:rPr>
                <w:color w:val="FFFFFF" w:themeColor="background1"/>
              </w:rPr>
            </w:pPr>
            <w:r>
              <w:rPr>
                <w:color w:val="FFFFFF" w:themeColor="background1"/>
              </w:rPr>
              <w:t>Percentagem de Concretização da Consistência</w:t>
            </w:r>
          </w:p>
        </w:tc>
        <w:tc>
          <w:tcPr>
            <w:tcW w:w="5220" w:type="dxa"/>
            <w:shd w:val="clear" w:color="auto" w:fill="0072C6"/>
          </w:tcPr>
          <w:p w14:paraId="59B55E7E"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4AD5AE81" w14:textId="77777777" w:rsidTr="000F31B4">
        <w:tc>
          <w:tcPr>
            <w:tcW w:w="5220" w:type="dxa"/>
          </w:tcPr>
          <w:p w14:paraId="236253E6" w14:textId="77777777" w:rsidR="004005AF" w:rsidRPr="00EF7CF9" w:rsidRDefault="004005AF" w:rsidP="00F01ED6">
            <w:pPr>
              <w:pStyle w:val="ProductList-OfferingBody"/>
              <w:jc w:val="center"/>
            </w:pPr>
            <w:r>
              <w:t>&lt; 99,99%</w:t>
            </w:r>
          </w:p>
        </w:tc>
        <w:tc>
          <w:tcPr>
            <w:tcW w:w="5220" w:type="dxa"/>
          </w:tcPr>
          <w:p w14:paraId="0E39649E" w14:textId="77777777" w:rsidR="004005AF" w:rsidRPr="00EF7CF9" w:rsidRDefault="004005AF" w:rsidP="00F01ED6">
            <w:pPr>
              <w:pStyle w:val="ProductList-OfferingBody"/>
              <w:jc w:val="center"/>
            </w:pPr>
            <w:r>
              <w:t>10%</w:t>
            </w:r>
          </w:p>
        </w:tc>
      </w:tr>
      <w:tr w:rsidR="004005AF" w:rsidRPr="00B44CF9" w14:paraId="3DF222BE" w14:textId="77777777" w:rsidTr="000F31B4">
        <w:tc>
          <w:tcPr>
            <w:tcW w:w="5220" w:type="dxa"/>
          </w:tcPr>
          <w:p w14:paraId="0294720B" w14:textId="77777777" w:rsidR="004005AF" w:rsidRPr="00EF7CF9" w:rsidRDefault="004005AF" w:rsidP="00F01ED6">
            <w:pPr>
              <w:pStyle w:val="ProductList-OfferingBody"/>
              <w:jc w:val="center"/>
            </w:pPr>
            <w:r>
              <w:t>&lt; 99%</w:t>
            </w:r>
          </w:p>
        </w:tc>
        <w:tc>
          <w:tcPr>
            <w:tcW w:w="5220" w:type="dxa"/>
          </w:tcPr>
          <w:p w14:paraId="13E7C80C" w14:textId="77777777" w:rsidR="004005AF" w:rsidRPr="00EF7CF9" w:rsidRDefault="004005AF" w:rsidP="00F01ED6">
            <w:pPr>
              <w:pStyle w:val="ProductList-OfferingBody"/>
              <w:jc w:val="center"/>
            </w:pPr>
            <w:r>
              <w:t>25%</w:t>
            </w:r>
          </w:p>
        </w:tc>
      </w:tr>
    </w:tbl>
    <w:p w14:paraId="5FC729A1" w14:textId="77777777" w:rsidR="004005AF" w:rsidRPr="00EF7CF9" w:rsidRDefault="004005AF" w:rsidP="00F01ED6">
      <w:pPr>
        <w:pStyle w:val="ProductList-Body"/>
        <w:tabs>
          <w:tab w:val="clear" w:pos="360"/>
        </w:tabs>
        <w:rPr>
          <w:b/>
          <w:color w:val="00188F"/>
        </w:rPr>
      </w:pPr>
      <w:r>
        <w:rPr>
          <w:b/>
          <w:color w:val="00188F"/>
        </w:rPr>
        <w:t>SLA da Latência</w:t>
      </w:r>
    </w:p>
    <w:p w14:paraId="7694E16C" w14:textId="5509B04B" w:rsidR="004005AF" w:rsidRPr="00EF7CF9" w:rsidRDefault="00380305" w:rsidP="00F01ED6">
      <w:pPr>
        <w:pStyle w:val="ProductList-Body"/>
        <w:ind w:left="360"/>
      </w:pPr>
      <w:r>
        <w:t>“</w:t>
      </w:r>
      <w:r w:rsidR="004005AF">
        <w:rPr>
          <w:b/>
          <w:color w:val="0072C6"/>
        </w:rPr>
        <w:t>Aplicação</w:t>
      </w:r>
      <w:r>
        <w:t>”</w:t>
      </w:r>
      <w:r w:rsidR="004005AF">
        <w:t xml:space="preserve"> é uma aplicação do Azure Cosmos</w:t>
      </w:r>
      <w:r w:rsidR="004005AF">
        <w:rPr>
          <w:rStyle w:val="ProductList-BodyChar"/>
        </w:rPr>
        <w:t xml:space="preserve"> DB</w:t>
      </w:r>
      <w:r w:rsidR="004005AF">
        <w:t xml:space="preserve"> implementada numa região local do Azure com funcionamento em rede acelerado ativado e</w:t>
      </w:r>
      <w:r w:rsidR="0088023E">
        <w:t> </w:t>
      </w:r>
      <w:r w:rsidR="004005AF">
        <w:t>utilizando o SDK do cliente Azure Cosmos</w:t>
      </w:r>
      <w:r w:rsidR="004005AF">
        <w:rPr>
          <w:rStyle w:val="ProductList-BodyChar"/>
        </w:rPr>
        <w:t xml:space="preserve"> DB</w:t>
      </w:r>
      <w:r w:rsidR="004005AF">
        <w:t xml:space="preserve"> configurado com conectividade direta TCP para uma determinada subscrição do Microsoft Azure num Período Aplicável.</w:t>
      </w:r>
    </w:p>
    <w:p w14:paraId="4898E791" w14:textId="08C7A803" w:rsidR="004005AF" w:rsidRDefault="00380305" w:rsidP="00F01ED6">
      <w:pPr>
        <w:pStyle w:val="ProductList-Body"/>
        <w:ind w:left="360"/>
      </w:pPr>
      <w:r>
        <w:t>“</w:t>
      </w:r>
      <w:r w:rsidR="004005AF">
        <w:rPr>
          <w:b/>
          <w:color w:val="0072C6"/>
        </w:rPr>
        <w:t>N</w:t>
      </w:r>
      <w:r>
        <w:t>”</w:t>
      </w:r>
      <w:r w:rsidR="004005AF">
        <w:t xml:space="preserve"> é o número de Pedidos Com Êxito para uma determinada Aplicação a efetuar operações de leitura de itens de dados ou de escrita de itens de dados com um tamanho de payload menor ou igual a 1 KB numa determinada hora.</w:t>
      </w:r>
    </w:p>
    <w:p w14:paraId="2CF87EEB" w14:textId="3536C370" w:rsidR="004005AF" w:rsidRPr="00EF7CF9" w:rsidRDefault="00380305" w:rsidP="00F01ED6">
      <w:pPr>
        <w:pStyle w:val="ProductList-Body"/>
        <w:ind w:left="360"/>
      </w:pPr>
      <w:r>
        <w:t>“</w:t>
      </w:r>
      <w:r w:rsidR="004005AF">
        <w:rPr>
          <w:b/>
          <w:color w:val="0072C6"/>
        </w:rPr>
        <w:t>S</w:t>
      </w:r>
      <w:r>
        <w:t>”</w:t>
      </w:r>
      <w:r w:rsidR="004005AF">
        <w:t xml:space="preserve"> é o conjunto ordenado por latência de tempos de resposta dos Pedidos Com Êxito por ordem ascendente para uma determinada Aplicação a efetuar operações de leitura de itens de dados ou de escrita de itens de dados com um tamanho de payload menor ou igual a 1 KB numa determinada hora.</w:t>
      </w:r>
    </w:p>
    <w:p w14:paraId="5429BDA9" w14:textId="64F35F5D" w:rsidR="004005AF" w:rsidRDefault="00380305" w:rsidP="00F01ED6">
      <w:pPr>
        <w:pStyle w:val="ListParagraph"/>
        <w:spacing w:after="0" w:line="240" w:lineRule="auto"/>
        <w:ind w:left="360"/>
        <w:rPr>
          <w:sz w:val="18"/>
        </w:rPr>
      </w:pPr>
      <w:r>
        <w:rPr>
          <w:rStyle w:val="ProductList-BodyChar"/>
        </w:rPr>
        <w:t>“</w:t>
      </w:r>
      <w:r w:rsidR="004005AF">
        <w:rPr>
          <w:rStyle w:val="ProductList-BodyChar"/>
          <w:b/>
          <w:color w:val="0072C6"/>
        </w:rPr>
        <w:t>Classificação Ordinal</w:t>
      </w:r>
      <w:r>
        <w:rPr>
          <w:rStyle w:val="ProductList-BodyChar"/>
        </w:rPr>
        <w:t>”</w:t>
      </w:r>
      <w:r w:rsidR="004005AF">
        <w:rPr>
          <w:rStyle w:val="ProductList-BodyChar"/>
        </w:rPr>
        <w:t xml:space="preserve"> é o 99º percentil que utiliza o método de classificação mais próximo representado pela seguinte fórmula</w:t>
      </w:r>
      <w:r w:rsidR="004005AF" w:rsidRPr="00473DD3">
        <w:rPr>
          <w:rStyle w:val="ProductList-BodyChar"/>
        </w:rPr>
        <w:t>:</w:t>
      </w:r>
    </w:p>
    <w:p w14:paraId="0A10578F" w14:textId="690F3B2D" w:rsidR="004005AF" w:rsidRPr="00EF7CF9" w:rsidRDefault="00495285" w:rsidP="00F01ED6">
      <w:pPr>
        <w:pStyle w:val="ListParagraph"/>
        <w:spacing w:line="240" w:lineRule="auto"/>
        <w:ind w:left="360"/>
        <w:rPr>
          <w:rFonts w:ascii="Cambria Math" w:hAnsi="Cambria Math" w:cs="Tahoma"/>
          <w:i/>
          <w:sz w:val="12"/>
          <w:szCs w:val="12"/>
        </w:rPr>
      </w:pPr>
      <m:oMathPara>
        <m:oMath>
          <m:r>
            <m:rPr>
              <m:nor/>
            </m:rPr>
            <w:rPr>
              <w:rFonts w:ascii="Cambria Math" w:hAnsi="Cambria Math" w:cs="Tahoma"/>
              <w:i/>
              <w:iCs/>
              <w:sz w:val="18"/>
              <w:szCs w:val="18"/>
            </w:rPr>
            <m:t>Classificação Ordinal</m:t>
          </m:r>
          <m:r>
            <w:rPr>
              <w:rFonts w:ascii="Cambria Math" w:hAnsi="Cambria Math" w:cs="Tahoma"/>
              <w:sz w:val="18"/>
              <w:szCs w:val="18"/>
            </w:rPr>
            <m:t xml:space="preserve">=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55FE9C04" w:rsidR="004005AF" w:rsidRPr="00EF7CF9" w:rsidRDefault="00380305" w:rsidP="00F01ED6">
      <w:pPr>
        <w:pStyle w:val="ProductList-Body"/>
        <w:ind w:left="360"/>
      </w:pPr>
      <w:r>
        <w:t>“</w:t>
      </w:r>
      <w:r w:rsidR="004005AF">
        <w:rPr>
          <w:b/>
          <w:color w:val="0072C6"/>
        </w:rPr>
        <w:t>Latência P99</w:t>
      </w:r>
      <w:r>
        <w:t>”</w:t>
      </w:r>
      <w:r w:rsidR="004005AF">
        <w:t xml:space="preserve"> é o valor da Classificação Ordinal de S.</w:t>
      </w:r>
    </w:p>
    <w:p w14:paraId="6994DAF4" w14:textId="56666A42" w:rsidR="004005AF" w:rsidRPr="00EF7CF9" w:rsidRDefault="00380305" w:rsidP="00F01ED6">
      <w:pPr>
        <w:pStyle w:val="ProductList-Body"/>
        <w:ind w:left="360"/>
      </w:pPr>
      <w:r>
        <w:t>“</w:t>
      </w:r>
      <w:r w:rsidR="004005AF">
        <w:rPr>
          <w:b/>
          <w:color w:val="0072C6"/>
        </w:rPr>
        <w:t>Horas de Latência Excessiva</w:t>
      </w:r>
      <w:r>
        <w:t>”</w:t>
      </w:r>
      <w:r w:rsidR="004005AF">
        <w:t xml:space="preserve"> é o número total de intervalos de uma hora durante o qual os Pedidos Com Êxito submetidos por uma Aplicação resultaram numa Latência P99 maior ou igual a 10 ms para as operações de leitura de itens de dados ou 10 ms para as operações de</w:t>
      </w:r>
      <w:r w:rsidR="00350FCF">
        <w:t> </w:t>
      </w:r>
      <w:r w:rsidR="004005AF">
        <w:t>escrita de itens de dados. Se o número de Pedidos Com Êxito num determinado intervalo de uma hora for zero, as Horas de Latência Excessiva para esse intervalo é de 0.</w:t>
      </w:r>
    </w:p>
    <w:p w14:paraId="0EA0BAE7" w14:textId="2A328EA3" w:rsidR="004005AF" w:rsidRPr="00EF7CF9" w:rsidRDefault="00380305" w:rsidP="00F01ED6">
      <w:pPr>
        <w:pStyle w:val="ProductList-Body"/>
        <w:ind w:left="360"/>
      </w:pPr>
      <w:r>
        <w:t>“</w:t>
      </w:r>
      <w:r w:rsidR="004005AF">
        <w:rPr>
          <w:b/>
          <w:color w:val="0072C6"/>
        </w:rPr>
        <w:t>Taxa Média de Latência Excessiva</w:t>
      </w:r>
      <w:r>
        <w:t>”</w:t>
      </w:r>
      <w:r w:rsidR="004005AF">
        <w:t xml:space="preserve"> para um Período Aplicável é a soma das Horas de Latência Excessiva a dividir pelo número total de horas no Período Aplicável.</w:t>
      </w:r>
    </w:p>
    <w:p w14:paraId="472EF7D9" w14:textId="209A35DA" w:rsidR="004005AF" w:rsidRDefault="004005AF" w:rsidP="00F01ED6">
      <w:pPr>
        <w:pStyle w:val="ProductList-Body"/>
        <w:ind w:left="360"/>
      </w:pPr>
      <w:r>
        <w:t xml:space="preserve">A </w:t>
      </w:r>
      <w:r w:rsidR="00380305">
        <w:t>“</w:t>
      </w:r>
      <w:r>
        <w:rPr>
          <w:b/>
          <w:color w:val="0072C6"/>
        </w:rPr>
        <w:t>Percentagem de Concretização de Latência de P99</w:t>
      </w:r>
      <w:r w:rsidR="00380305">
        <w:t>”</w:t>
      </w:r>
      <w:r>
        <w:t xml:space="preserve"> para uma determinada Aplicação Azure Cosmos</w:t>
      </w:r>
      <w:r>
        <w:rPr>
          <w:rStyle w:val="ProductList-BodyChar"/>
        </w:rPr>
        <w:t xml:space="preserve"> DB</w:t>
      </w:r>
      <w:r>
        <w:t xml:space="preserve"> implementada através das Contas da Base de Dados destinadas a uma única região do Azure configuradas com qualquer um dos cinco Níveis de Consistência ou Contas da Base de Dados abrangendo múltiplas regiões, configuradas com qualquer um dos quatro Níveis de Consistência relaxados ao subtrair de 100% a</w:t>
      </w:r>
      <w:r w:rsidR="0090773A">
        <w:t> </w:t>
      </w:r>
      <w:r>
        <w:t>Taxa Média de Latência Excessiva para uma determinada subscrição do Microsoft Azure num Período Aplicável.</w:t>
      </w:r>
    </w:p>
    <w:p w14:paraId="6FE7280E" w14:textId="44C12839" w:rsidR="004005AF" w:rsidRDefault="004005AF" w:rsidP="00F01ED6">
      <w:pPr>
        <w:pStyle w:val="ProductList-Body"/>
        <w:ind w:left="360"/>
      </w:pPr>
      <w:r>
        <w:t>A Percentagem de Concretização de Latência de P99 é representada pela seguinte fórmula:</w:t>
      </w:r>
    </w:p>
    <w:p w14:paraId="11F89454" w14:textId="5E7C2906" w:rsidR="004005AF" w:rsidRPr="00EF7CF9" w:rsidRDefault="008E7C1C" w:rsidP="009F16F1">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Taxa de Latência Excessiva Média</m:t>
          </m:r>
        </m:oMath>
      </m:oMathPara>
    </w:p>
    <w:p w14:paraId="43C502A2" w14:textId="77777777" w:rsidR="004005AF" w:rsidRPr="00EF7CF9" w:rsidRDefault="004005AF" w:rsidP="00F01ED6">
      <w:pPr>
        <w:pStyle w:val="ProductList-Body"/>
        <w:keepNext/>
        <w:ind w:left="360"/>
        <w:rPr>
          <w:color w:val="0072C6"/>
        </w:rPr>
      </w:pPr>
      <w:r>
        <w:rPr>
          <w:b/>
          <w:color w:val="0072C6"/>
        </w:rPr>
        <w:t>Crédito de Serviço para Recursos de Débito Aprovisionado</w:t>
      </w:r>
      <w:r w:rsidRPr="00473DD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F01ED6">
            <w:pPr>
              <w:pStyle w:val="ProductList-OfferingBody"/>
              <w:jc w:val="center"/>
              <w:rPr>
                <w:color w:val="FFFFFF" w:themeColor="background1"/>
              </w:rPr>
            </w:pPr>
            <w:r>
              <w:rPr>
                <w:color w:val="FFFFFF" w:themeColor="background1"/>
              </w:rPr>
              <w:t>Percentagem de Concretização de Latência de P99</w:t>
            </w:r>
          </w:p>
        </w:tc>
        <w:tc>
          <w:tcPr>
            <w:tcW w:w="5220" w:type="dxa"/>
            <w:shd w:val="clear" w:color="auto" w:fill="0072C6"/>
          </w:tcPr>
          <w:p w14:paraId="1F5BD7AF"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2B90B2C9" w14:textId="77777777" w:rsidTr="000F31B4">
        <w:tc>
          <w:tcPr>
            <w:tcW w:w="5220" w:type="dxa"/>
          </w:tcPr>
          <w:p w14:paraId="175F9391" w14:textId="77777777" w:rsidR="004005AF" w:rsidRPr="00EF7CF9" w:rsidRDefault="004005AF" w:rsidP="00F01ED6">
            <w:pPr>
              <w:pStyle w:val="ProductList-OfferingBody"/>
              <w:jc w:val="center"/>
            </w:pPr>
            <w:r>
              <w:t>&lt; 99,99%</w:t>
            </w:r>
          </w:p>
        </w:tc>
        <w:tc>
          <w:tcPr>
            <w:tcW w:w="5220" w:type="dxa"/>
          </w:tcPr>
          <w:p w14:paraId="48ACE317" w14:textId="77777777" w:rsidR="004005AF" w:rsidRPr="00EF7CF9" w:rsidRDefault="004005AF" w:rsidP="00F01ED6">
            <w:pPr>
              <w:pStyle w:val="ProductList-OfferingBody"/>
              <w:jc w:val="center"/>
            </w:pPr>
            <w:r>
              <w:t>10%</w:t>
            </w:r>
          </w:p>
        </w:tc>
      </w:tr>
      <w:tr w:rsidR="004005AF" w:rsidRPr="00B44CF9" w14:paraId="306D7F2C" w14:textId="77777777" w:rsidTr="000F31B4">
        <w:tc>
          <w:tcPr>
            <w:tcW w:w="5220" w:type="dxa"/>
          </w:tcPr>
          <w:p w14:paraId="6927A328" w14:textId="77777777" w:rsidR="004005AF" w:rsidRPr="00EF7CF9" w:rsidRDefault="004005AF" w:rsidP="00F01ED6">
            <w:pPr>
              <w:pStyle w:val="ProductList-OfferingBody"/>
              <w:jc w:val="center"/>
            </w:pPr>
            <w:r>
              <w:t>&lt; 99%</w:t>
            </w:r>
          </w:p>
        </w:tc>
        <w:tc>
          <w:tcPr>
            <w:tcW w:w="5220" w:type="dxa"/>
          </w:tcPr>
          <w:p w14:paraId="30AB2314" w14:textId="77777777" w:rsidR="004005AF" w:rsidRPr="00EF7CF9" w:rsidRDefault="004005AF" w:rsidP="00F01ED6">
            <w:pPr>
              <w:pStyle w:val="ProductList-OfferingBody"/>
              <w:jc w:val="center"/>
            </w:pPr>
            <w:r>
              <w:t>25%</w:t>
            </w:r>
          </w:p>
        </w:tc>
      </w:tr>
    </w:tbl>
    <w:bookmarkStart w:id="194" w:name="_Toc457821546"/>
    <w:bookmarkStart w:id="195" w:name="_Toc52348948"/>
    <w:bookmarkStart w:id="196" w:name="_Toc513395510"/>
    <w:bookmarkStart w:id="197" w:name="_Toc52348927"/>
    <w:bookmarkStart w:id="198" w:name="_Hlk513540106"/>
    <w:p w14:paraId="5E391470"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772543A" w14:textId="77777777" w:rsidR="00AA02E4" w:rsidRPr="00EF7CF9" w:rsidRDefault="00AA02E4" w:rsidP="00F01ED6">
      <w:pPr>
        <w:pStyle w:val="ProductList-Offering2Heading"/>
        <w:tabs>
          <w:tab w:val="clear" w:pos="360"/>
          <w:tab w:val="clear" w:pos="720"/>
          <w:tab w:val="clear" w:pos="1080"/>
        </w:tabs>
        <w:outlineLvl w:val="2"/>
      </w:pPr>
      <w:bookmarkStart w:id="199" w:name="_Toc239176449"/>
      <w:r>
        <w:t>Catálogo de Dados</w:t>
      </w:r>
      <w:bookmarkEnd w:id="194"/>
      <w:bookmarkEnd w:id="195"/>
      <w:bookmarkEnd w:id="199"/>
    </w:p>
    <w:p w14:paraId="581628D5" w14:textId="77777777" w:rsidR="00AA02E4" w:rsidRPr="00EF7CF9" w:rsidRDefault="00AA02E4" w:rsidP="00F01ED6">
      <w:pPr>
        <w:pStyle w:val="ProductList-Body"/>
        <w:rPr>
          <w:b/>
          <w:color w:val="00188F"/>
        </w:rPr>
      </w:pPr>
      <w:r>
        <w:rPr>
          <w:b/>
          <w:color w:val="00188F"/>
        </w:rPr>
        <w:t>Definições Adicionais</w:t>
      </w:r>
      <w:r w:rsidRPr="00473DD3">
        <w:rPr>
          <w:b/>
          <w:color w:val="00188F"/>
        </w:rPr>
        <w:t>:</w:t>
      </w:r>
    </w:p>
    <w:p w14:paraId="65296591" w14:textId="651ADE44" w:rsidR="00AA02E4" w:rsidRPr="00EF7CF9" w:rsidRDefault="00380305" w:rsidP="00F01ED6">
      <w:pPr>
        <w:pStyle w:val="ProductList-Body"/>
      </w:pPr>
      <w:r>
        <w:t>“</w:t>
      </w:r>
      <w:r w:rsidR="00AA02E4">
        <w:rPr>
          <w:b/>
          <w:color w:val="00188F"/>
        </w:rPr>
        <w:t>Minutos de Implementação</w:t>
      </w:r>
      <w:r>
        <w:t>”</w:t>
      </w:r>
      <w:r w:rsidR="00AA02E4">
        <w:t xml:space="preserve"> designa o número total de minutos para os quais foi adquirido um Catálogo de Dados durante um Período Aplicável.</w:t>
      </w:r>
    </w:p>
    <w:p w14:paraId="002A64FD" w14:textId="21FEE523" w:rsidR="00AA02E4" w:rsidRPr="00EF7CF9" w:rsidRDefault="00380305" w:rsidP="00F01ED6">
      <w:pPr>
        <w:pStyle w:val="ProductList-Body"/>
      </w:pPr>
      <w:r>
        <w:t>“</w:t>
      </w:r>
      <w:r w:rsidR="00AA02E4">
        <w:rPr>
          <w:b/>
          <w:color w:val="00188F"/>
        </w:rPr>
        <w:t>Entradas</w:t>
      </w:r>
      <w:r>
        <w:t>”</w:t>
      </w:r>
      <w:r w:rsidR="00AA02E4">
        <w:t xml:space="preserve"> designa qualquer registo de objeto de catálogo no Catálogo de Dados (como uma tabela, vista, medição, cluster ou relatório).</w:t>
      </w:r>
    </w:p>
    <w:p w14:paraId="7570F44E" w14:textId="38193A1F" w:rsidR="00AA02E4" w:rsidRPr="00EF7CF9" w:rsidRDefault="00380305" w:rsidP="00F01ED6">
      <w:pPr>
        <w:pStyle w:val="ProductList-Body"/>
        <w:rPr>
          <w:color w:val="000000" w:themeColor="text1"/>
        </w:rPr>
      </w:pPr>
      <w:r>
        <w:t>“</w:t>
      </w:r>
      <w:r w:rsidR="00AA02E4">
        <w:rPr>
          <w:b/>
          <w:color w:val="00188F"/>
        </w:rPr>
        <w:t>Máximo de Minutos Disponíveis</w:t>
      </w:r>
      <w:r>
        <w:t>”</w:t>
      </w:r>
      <w:r w:rsidR="00AA02E4">
        <w:rPr>
          <w:color w:val="000000" w:themeColor="text1"/>
        </w:rPr>
        <w:t xml:space="preserve"> </w:t>
      </w:r>
      <w:r w:rsidR="00AA02E4">
        <w:rPr>
          <w:rFonts w:cs="Segoe UI"/>
          <w:color w:val="000000" w:themeColor="text1"/>
        </w:rPr>
        <w:t>designa a soma de todos os Minutos de Implementação para o Catálogo de Dados associado a uma determinada subscrição do Microsoft Azure durante um Período Aplicável.</w:t>
      </w:r>
      <w:r w:rsidR="00AA02E4">
        <w:rPr>
          <w:rFonts w:cs="Segoe UI"/>
          <w:b/>
          <w:bCs/>
          <w:color w:val="000000" w:themeColor="text1"/>
        </w:rPr>
        <w:t xml:space="preserve"> </w:t>
      </w:r>
    </w:p>
    <w:p w14:paraId="09594F99" w14:textId="77777777" w:rsidR="00AA02E4" w:rsidRPr="00B44CF9" w:rsidRDefault="00AA02E4" w:rsidP="00F01ED6">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lastRenderedPageBreak/>
        <w:t>Período de Indisponibilidade</w:t>
      </w:r>
      <w:r w:rsidRPr="00473DD3">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designa o total de minutos de Implementação acumulados durante os quais o Catálogo de Dados está indisponível. Um minuto é considerado indisponível para um determinado Catálogo de Dados se todas as tentativas feitas pelos administradores para adicionar ou remover utilizadores do Catálogo de Dados, ou todas as tentativas feitas pelos utilizadores para executar chamadas à API para o Catálogo de Dados para registar, procurar ou eliminar Entradas resultarem num Código de Erro ou não devolverem uma resposta num prazo de cinco minutos.</w:t>
      </w:r>
    </w:p>
    <w:p w14:paraId="424F5ACD" w14:textId="6CCCDCAB" w:rsidR="00AA02E4"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E1ED9D0" w14:textId="22BC872E" w:rsidR="00AA02E4" w:rsidRPr="00EF7CF9" w:rsidRDefault="00000000" w:rsidP="009F16F1">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096CA38" w14:textId="77777777" w:rsidR="00AA02E4" w:rsidRPr="00EF7CF9" w:rsidRDefault="00AA02E4" w:rsidP="007D131F">
      <w:pPr>
        <w:pStyle w:val="ProductList-Body"/>
        <w:keepNext/>
        <w:keepLines/>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5F3BA5C" w14:textId="77777777" w:rsidR="00AA02E4" w:rsidRPr="00EF7CF9" w:rsidRDefault="00AA02E4" w:rsidP="00F01ED6">
            <w:pPr>
              <w:pStyle w:val="ProductList-OfferingBody"/>
              <w:jc w:val="center"/>
              <w:rPr>
                <w:color w:val="FFFFFF" w:themeColor="background1"/>
              </w:rPr>
            </w:pPr>
            <w:r>
              <w:rPr>
                <w:color w:val="FFFFFF" w:themeColor="background1"/>
              </w:rPr>
              <w:t>Crédito de Serviço</w:t>
            </w:r>
          </w:p>
        </w:tc>
      </w:tr>
      <w:tr w:rsidR="00AA02E4" w:rsidRPr="00B44CF9" w14:paraId="414F5226" w14:textId="77777777" w:rsidTr="00277097">
        <w:tc>
          <w:tcPr>
            <w:tcW w:w="5400" w:type="dxa"/>
          </w:tcPr>
          <w:p w14:paraId="1E0935F5" w14:textId="77777777" w:rsidR="00AA02E4" w:rsidRPr="00EF7CF9" w:rsidRDefault="00AA02E4" w:rsidP="00F01ED6">
            <w:pPr>
              <w:pStyle w:val="ProductList-OfferingBody"/>
              <w:jc w:val="center"/>
            </w:pPr>
            <w:r>
              <w:t>&lt; 99,9%</w:t>
            </w:r>
          </w:p>
        </w:tc>
        <w:tc>
          <w:tcPr>
            <w:tcW w:w="5400" w:type="dxa"/>
          </w:tcPr>
          <w:p w14:paraId="6267C076" w14:textId="77777777" w:rsidR="00AA02E4" w:rsidRPr="00EF7CF9" w:rsidRDefault="00AA02E4" w:rsidP="00F01ED6">
            <w:pPr>
              <w:pStyle w:val="ProductList-OfferingBody"/>
              <w:jc w:val="center"/>
            </w:pPr>
            <w:r>
              <w:t>10%</w:t>
            </w:r>
          </w:p>
        </w:tc>
      </w:tr>
      <w:tr w:rsidR="00AA02E4" w:rsidRPr="00B44CF9" w14:paraId="164588B0" w14:textId="77777777" w:rsidTr="00277097">
        <w:tc>
          <w:tcPr>
            <w:tcW w:w="5400" w:type="dxa"/>
          </w:tcPr>
          <w:p w14:paraId="1B0F4922" w14:textId="77777777" w:rsidR="00AA02E4" w:rsidRPr="00EF7CF9" w:rsidRDefault="00AA02E4" w:rsidP="007D131F">
            <w:pPr>
              <w:pStyle w:val="ProductList-OfferingBody"/>
              <w:jc w:val="center"/>
            </w:pPr>
            <w:r>
              <w:t>&lt; 99%</w:t>
            </w:r>
          </w:p>
        </w:tc>
        <w:tc>
          <w:tcPr>
            <w:tcW w:w="5400" w:type="dxa"/>
          </w:tcPr>
          <w:p w14:paraId="34756236" w14:textId="77777777" w:rsidR="00AA02E4" w:rsidRPr="00EF7CF9" w:rsidRDefault="00AA02E4" w:rsidP="007D131F">
            <w:pPr>
              <w:pStyle w:val="ProductList-OfferingBody"/>
              <w:jc w:val="center"/>
            </w:pPr>
            <w:r>
              <w:t>25%</w:t>
            </w:r>
          </w:p>
        </w:tc>
      </w:tr>
    </w:tbl>
    <w:bookmarkStart w:id="200" w:name="_Toc457821547"/>
    <w:bookmarkStart w:id="201" w:name="_Toc52348949"/>
    <w:p w14:paraId="2D203BBC"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AC3E10A" w14:textId="585F3DE8" w:rsidR="00F240D4" w:rsidRDefault="00F240D4" w:rsidP="00F01ED6">
      <w:pPr>
        <w:pStyle w:val="ProductList-Offering2Heading"/>
        <w:keepNext/>
        <w:tabs>
          <w:tab w:val="clear" w:pos="360"/>
          <w:tab w:val="clear" w:pos="720"/>
          <w:tab w:val="clear" w:pos="1080"/>
        </w:tabs>
        <w:outlineLvl w:val="2"/>
      </w:pPr>
      <w:bookmarkStart w:id="202" w:name="_Toc239176450"/>
      <w:r>
        <w:t>Azure Data Explorer (Kusto)</w:t>
      </w:r>
      <w:bookmarkEnd w:id="202"/>
    </w:p>
    <w:p w14:paraId="279D2037" w14:textId="77777777" w:rsidR="00F240D4" w:rsidRPr="009F4F1B" w:rsidRDefault="00F240D4" w:rsidP="00F01ED6">
      <w:pPr>
        <w:pStyle w:val="ProductList-Body"/>
        <w:keepNext/>
        <w:rPr>
          <w:b/>
          <w:bCs/>
          <w:color w:val="00188F"/>
        </w:rPr>
      </w:pPr>
      <w:r>
        <w:rPr>
          <w:b/>
          <w:bCs/>
          <w:color w:val="00188F"/>
        </w:rPr>
        <w:t>Definições Adicionais</w:t>
      </w:r>
    </w:p>
    <w:p w14:paraId="51E9A0D1" w14:textId="267B40BE" w:rsidR="00F240D4" w:rsidRDefault="00380305" w:rsidP="00F01ED6">
      <w:pPr>
        <w:pStyle w:val="ProductList-Body"/>
      </w:pPr>
      <w:r>
        <w:t>“</w:t>
      </w:r>
      <w:r w:rsidR="00F240D4">
        <w:rPr>
          <w:b/>
          <w:color w:val="00188F"/>
        </w:rPr>
        <w:t>Cluster</w:t>
      </w:r>
      <w:r>
        <w:t>”</w:t>
      </w:r>
      <w:r w:rsidR="00F240D4">
        <w:t xml:space="preserve"> designa o grupo operado pelo Azure Data Explorer (ADX).</w:t>
      </w:r>
    </w:p>
    <w:p w14:paraId="3448EE53" w14:textId="05F823B5" w:rsidR="00F240D4" w:rsidRPr="009F4F1B" w:rsidRDefault="00EE6E3C" w:rsidP="00F01ED6">
      <w:pPr>
        <w:pStyle w:val="ProductList-Body"/>
        <w:rPr>
          <w:b/>
          <w:bCs/>
          <w:color w:val="00188F"/>
        </w:rPr>
      </w:pPr>
      <w:r>
        <w:rPr>
          <w:b/>
          <w:bCs/>
          <w:color w:val="00188F"/>
        </w:rPr>
        <w:t>Cálculo do Período de Disponibilidade e Níveis de Serviço para o Azure Data Explorer</w:t>
      </w:r>
    </w:p>
    <w:p w14:paraId="6CEBB473" w14:textId="073ADE37" w:rsidR="00F240D4" w:rsidRDefault="00380305" w:rsidP="00F01ED6">
      <w:pPr>
        <w:pStyle w:val="ProductList-Body"/>
      </w:pPr>
      <w:r>
        <w:t>“</w:t>
      </w:r>
      <w:r w:rsidR="00F240D4">
        <w:rPr>
          <w:b/>
          <w:color w:val="00188F"/>
        </w:rPr>
        <w:t>Máximo de Minutos Disponíveis</w:t>
      </w:r>
      <w:r>
        <w:t>”</w:t>
      </w:r>
      <w:r w:rsidR="00F240D4">
        <w:t xml:space="preserve"> designa o número total de minutos para um determinado Cluster implementado pelo Cliente numa determinada subscrição do Microsoft Azure durante um Período Aplicável.</w:t>
      </w:r>
    </w:p>
    <w:p w14:paraId="297698DD" w14:textId="554F0D03" w:rsidR="00F240D4" w:rsidRDefault="00380305" w:rsidP="00F01ED6">
      <w:pPr>
        <w:pStyle w:val="ProductList-Body"/>
      </w:pPr>
      <w:r>
        <w:t>“</w:t>
      </w:r>
      <w:r w:rsidR="00F240D4">
        <w:rPr>
          <w:b/>
          <w:color w:val="00188F"/>
        </w:rPr>
        <w:t>Período de Indisponibilidade</w:t>
      </w:r>
      <w:r>
        <w:t>”</w:t>
      </w:r>
      <w:r w:rsidR="00F240D4">
        <w:t xml:space="preserve"> designa o número total de minutos no Máximo de Minutos Disponíveis durante o qual um Cluster está indisponível. Um minuto é considerado indisponível para um determinado Cluster se todas as tentativas contínuas nesse minuto para estabelecer uma ligação com o Cluster devolverem um Código de Erro.</w:t>
      </w:r>
    </w:p>
    <w:p w14:paraId="4F382C56" w14:textId="56B0275E" w:rsidR="00F240D4" w:rsidRDefault="00F240D4" w:rsidP="00F01ED6">
      <w:pPr>
        <w:pStyle w:val="ProductList-Body"/>
      </w:pPr>
      <w:r>
        <w:t xml:space="preserve">A </w:t>
      </w:r>
      <w:r w:rsidR="00380305">
        <w:t>“</w:t>
      </w:r>
      <w:r>
        <w:rPr>
          <w:b/>
          <w:color w:val="00188F"/>
        </w:rPr>
        <w:t>Percentagem de Período de Disponibilidade</w:t>
      </w:r>
      <w:r w:rsidR="00380305">
        <w:t>”</w:t>
      </w:r>
      <w:r>
        <w:t xml:space="preserve"> para a Azure Data Explorer é calculada como o Máximo de Minutos Disponíveis menos o Período de Indisponibilidade a dividir pelo Máximo de Minutos Disponíveis.</w:t>
      </w:r>
    </w:p>
    <w:p w14:paraId="3909B03E" w14:textId="77777777" w:rsidR="00F240D4" w:rsidRDefault="00F240D4" w:rsidP="00F01ED6">
      <w:pPr>
        <w:pStyle w:val="ProductList-Body"/>
      </w:pPr>
    </w:p>
    <w:p w14:paraId="43BAFB90" w14:textId="1EC0DA1E" w:rsidR="00F240D4" w:rsidRDefault="00AC48A7" w:rsidP="00F01ED6">
      <w:pPr>
        <w:pStyle w:val="ProductList-Body"/>
      </w:pPr>
      <w:r>
        <w:t>A Percentagem de Período de Disponibilidade é representada pela seguinte fórmula:</w:t>
      </w:r>
    </w:p>
    <w:p w14:paraId="0F184916" w14:textId="5F3A28AC" w:rsidR="00F240D4" w:rsidRPr="006A1FA3" w:rsidRDefault="00000000" w:rsidP="00A12377">
      <w:pPr>
        <w:pStyle w:val="ProductList-Body"/>
        <w:spacing w:before="120" w:after="120"/>
        <w:rPr>
          <w:rFonts w:eastAsiaTheme="minorEastAsia"/>
          <w:color w:val="000000" w:themeColor="text1"/>
          <w:szCs w:val="18"/>
        </w:rPr>
      </w:pPr>
      <m:oMathPara>
        <m:oMath>
          <m:f>
            <m:fPr>
              <m:ctrlPr>
                <w:rPr>
                  <w:rFonts w:ascii="Cambria Math" w:hAnsi="Cambria Math" w:cs="Calibri"/>
                  <w:i/>
                  <w:szCs w:val="18"/>
                </w:rPr>
              </m:ctrlPr>
            </m:fPr>
            <m:num>
              <m:r>
                <m:rPr>
                  <m:nor/>
                </m:rPr>
                <w:rPr>
                  <w:rFonts w:ascii="Cambria Math" w:hAnsi="Cambria Math" w:cs="Calibri"/>
                  <w:i/>
                  <w:iCs/>
                  <w:szCs w:val="18"/>
                </w:rPr>
                <m:t>Máximo de Minutos Disponíveis - Período de Indisponibilidade</m:t>
              </m:r>
            </m:num>
            <m:den>
              <m:r>
                <m:rPr>
                  <m:nor/>
                </m:rPr>
                <w:rPr>
                  <w:rFonts w:ascii="Cambria Math" w:hAnsi="Cambria Math" w:cs="Calibri"/>
                  <w:i/>
                  <w:iCs/>
                  <w:szCs w:val="18"/>
                </w:rPr>
                <m:t>Máximo de Minutos Disponíveis</m:t>
              </m:r>
            </m:den>
          </m:f>
          <m:r>
            <w:rPr>
              <w:rFonts w:ascii="Cambria Math" w:hAnsi="Cambria Math" w:cs="Calibri"/>
              <w:szCs w:val="18"/>
            </w:rPr>
            <m:t xml:space="preserve"> x 100</m:t>
          </m:r>
        </m:oMath>
      </m:oMathPara>
    </w:p>
    <w:p w14:paraId="1170A23B" w14:textId="77777777" w:rsidR="00F240D4" w:rsidRPr="00EF7CF9" w:rsidRDefault="00F240D4" w:rsidP="00F01ED6">
      <w:pPr>
        <w:pStyle w:val="ProductList-Body"/>
      </w:pPr>
      <w:r>
        <w:rPr>
          <w:b/>
          <w:color w:val="00188F"/>
        </w:rPr>
        <w:t>Os seguintes Níveis de Serviço e Créditos de Serviço são aplicáveis à utilização que o Cliente faz do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1D4B6B">
        <w:trPr>
          <w:tblHeader/>
        </w:trPr>
        <w:tc>
          <w:tcPr>
            <w:tcW w:w="5400" w:type="dxa"/>
            <w:shd w:val="clear" w:color="auto" w:fill="0072C6"/>
          </w:tcPr>
          <w:p w14:paraId="290C6CDA" w14:textId="2CD84961" w:rsidR="00F240D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CB8C29B" w14:textId="77777777" w:rsidR="00F240D4" w:rsidRPr="00EF7CF9" w:rsidRDefault="00F240D4" w:rsidP="00F01ED6">
            <w:pPr>
              <w:pStyle w:val="ProductList-OfferingBody"/>
              <w:jc w:val="center"/>
              <w:rPr>
                <w:color w:val="FFFFFF" w:themeColor="background1"/>
              </w:rPr>
            </w:pPr>
            <w:r>
              <w:rPr>
                <w:color w:val="FFFFFF" w:themeColor="background1"/>
              </w:rPr>
              <w:t>Crédito de Serviço</w:t>
            </w:r>
          </w:p>
        </w:tc>
      </w:tr>
      <w:tr w:rsidR="00F240D4" w:rsidRPr="00B44CF9" w14:paraId="31A630CC" w14:textId="77777777" w:rsidTr="001D4B6B">
        <w:tc>
          <w:tcPr>
            <w:tcW w:w="5400" w:type="dxa"/>
            <w:tcBorders>
              <w:bottom w:val="single" w:sz="4" w:space="0" w:color="000000" w:themeColor="text1"/>
            </w:tcBorders>
          </w:tcPr>
          <w:p w14:paraId="47E571A5" w14:textId="77777777" w:rsidR="00F240D4" w:rsidRPr="00EF7CF9" w:rsidRDefault="00F240D4" w:rsidP="00F01ED6">
            <w:pPr>
              <w:pStyle w:val="ProductList-OfferingBody"/>
              <w:jc w:val="center"/>
            </w:pPr>
            <w:r>
              <w:t>&lt; 99,9%</w:t>
            </w:r>
          </w:p>
        </w:tc>
        <w:tc>
          <w:tcPr>
            <w:tcW w:w="5400" w:type="dxa"/>
            <w:tcBorders>
              <w:bottom w:val="single" w:sz="4" w:space="0" w:color="000000" w:themeColor="text1"/>
            </w:tcBorders>
          </w:tcPr>
          <w:p w14:paraId="48459D09" w14:textId="77777777" w:rsidR="00F240D4" w:rsidRPr="00EF7CF9" w:rsidRDefault="00F240D4" w:rsidP="00F01ED6">
            <w:pPr>
              <w:pStyle w:val="ProductList-OfferingBody"/>
              <w:jc w:val="center"/>
            </w:pPr>
            <w:r>
              <w:t>10%</w:t>
            </w:r>
          </w:p>
        </w:tc>
      </w:tr>
      <w:tr w:rsidR="00F240D4" w:rsidRPr="00B44CF9" w14:paraId="1672F988" w14:textId="77777777" w:rsidTr="001D4B6B">
        <w:tc>
          <w:tcPr>
            <w:tcW w:w="5400" w:type="dxa"/>
            <w:tcBorders>
              <w:bottom w:val="single" w:sz="4" w:space="0" w:color="auto"/>
            </w:tcBorders>
          </w:tcPr>
          <w:p w14:paraId="4FAAC35F" w14:textId="77777777" w:rsidR="00F240D4" w:rsidRPr="00EF7CF9" w:rsidRDefault="00F240D4" w:rsidP="00F01ED6">
            <w:pPr>
              <w:pStyle w:val="ProductList-OfferingBody"/>
              <w:jc w:val="center"/>
            </w:pPr>
            <w:r>
              <w:t>&lt; 99%</w:t>
            </w:r>
          </w:p>
        </w:tc>
        <w:tc>
          <w:tcPr>
            <w:tcW w:w="5400" w:type="dxa"/>
            <w:tcBorders>
              <w:bottom w:val="single" w:sz="4" w:space="0" w:color="auto"/>
            </w:tcBorders>
          </w:tcPr>
          <w:p w14:paraId="6515F55E" w14:textId="77777777" w:rsidR="00F240D4" w:rsidRPr="00EF7CF9" w:rsidRDefault="00F240D4" w:rsidP="00F01ED6">
            <w:pPr>
              <w:pStyle w:val="ProductList-OfferingBody"/>
              <w:jc w:val="center"/>
            </w:pPr>
            <w:r>
              <w:t>25%</w:t>
            </w:r>
          </w:p>
        </w:tc>
      </w:tr>
    </w:tbl>
    <w:p w14:paraId="70539D66"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0F821EC9" w14:textId="77777777" w:rsidR="00AA02E4" w:rsidRPr="00EF7CF9" w:rsidRDefault="00AA02E4" w:rsidP="00F01ED6">
      <w:pPr>
        <w:pStyle w:val="ProductList-Offering2Heading"/>
        <w:tabs>
          <w:tab w:val="clear" w:pos="360"/>
          <w:tab w:val="clear" w:pos="720"/>
          <w:tab w:val="clear" w:pos="1080"/>
        </w:tabs>
        <w:outlineLvl w:val="2"/>
      </w:pPr>
      <w:bookmarkStart w:id="203" w:name="_Toc239176451"/>
      <w:r>
        <w:t>Azure Data Factory</w:t>
      </w:r>
      <w:bookmarkEnd w:id="203"/>
      <w:r>
        <w:t xml:space="preserve"> </w:t>
      </w:r>
      <w:bookmarkEnd w:id="200"/>
      <w:bookmarkEnd w:id="201"/>
    </w:p>
    <w:p w14:paraId="0DE3C563" w14:textId="77777777" w:rsidR="00AA02E4" w:rsidRPr="00EF7CF9" w:rsidRDefault="00AA02E4" w:rsidP="00F01ED6">
      <w:pPr>
        <w:pStyle w:val="ProductList-Body"/>
        <w:rPr>
          <w:b/>
          <w:color w:val="00188F"/>
        </w:rPr>
      </w:pPr>
      <w:r>
        <w:rPr>
          <w:b/>
          <w:color w:val="00188F"/>
        </w:rPr>
        <w:t>Definições Adicionais</w:t>
      </w:r>
      <w:r w:rsidRPr="00473DD3">
        <w:rPr>
          <w:b/>
          <w:color w:val="00188F"/>
        </w:rPr>
        <w:t>:</w:t>
      </w:r>
    </w:p>
    <w:p w14:paraId="76181B90" w14:textId="5FD1A5C4" w:rsidR="00AA02E4" w:rsidRDefault="00380305" w:rsidP="00F01ED6">
      <w:pPr>
        <w:pStyle w:val="ProductList-Body"/>
      </w:pPr>
      <w:r>
        <w:t>“</w:t>
      </w:r>
      <w:r w:rsidR="00AA02E4">
        <w:rPr>
          <w:b/>
          <w:color w:val="00188F"/>
        </w:rPr>
        <w:t>Recursos</w:t>
      </w:r>
      <w:r>
        <w:t>”</w:t>
      </w:r>
      <w:r w:rsidR="00AA02E4">
        <w:t xml:space="preserve"> designa os runtimes de integração (incluindo o Azure, o SSIS e Runtimes de Integração Autoalojados), acionadores, pipelines, conjuntos de dados e serviços associados criados num Data Factory.</w:t>
      </w:r>
    </w:p>
    <w:p w14:paraId="15E650C9" w14:textId="631D11A1" w:rsidR="00AA02E4" w:rsidRPr="00EF7CF9" w:rsidRDefault="00380305" w:rsidP="00F01ED6">
      <w:pPr>
        <w:pStyle w:val="ProductList-Body"/>
      </w:pPr>
      <w:r>
        <w:t>“</w:t>
      </w:r>
      <w:r w:rsidR="00AA02E4">
        <w:rPr>
          <w:b/>
          <w:color w:val="00188F"/>
        </w:rPr>
        <w:t>Execução de Atividade</w:t>
      </w:r>
      <w:r>
        <w:t>”</w:t>
      </w:r>
      <w:r w:rsidR="00AA02E4">
        <w:rPr>
          <w:b/>
          <w:color w:val="00188F"/>
        </w:rPr>
        <w:t xml:space="preserve"> </w:t>
      </w:r>
      <w:r w:rsidR="00AA02E4">
        <w:t>designa a execução ou a tentativa de execução de uma atividade</w:t>
      </w:r>
    </w:p>
    <w:p w14:paraId="3FB5F108" w14:textId="77777777" w:rsidR="00AA02E4" w:rsidRDefault="00AA02E4" w:rsidP="00F01ED6">
      <w:pPr>
        <w:pStyle w:val="ProductList-Body"/>
      </w:pPr>
    </w:p>
    <w:p w14:paraId="41EC9AB8" w14:textId="0083EBE7" w:rsidR="00AA02E4" w:rsidRPr="00ED4527" w:rsidRDefault="00EE6E3C" w:rsidP="00F01ED6">
      <w:pPr>
        <w:pStyle w:val="ProductList-Body"/>
        <w:rPr>
          <w:b/>
          <w:bCs/>
          <w:color w:val="00188F"/>
        </w:rPr>
      </w:pPr>
      <w:r>
        <w:rPr>
          <w:b/>
          <w:bCs/>
          <w:color w:val="00188F"/>
        </w:rPr>
        <w:t>Cálculo do Período de Disponibilidade para Chamadas da API para o Data Factory</w:t>
      </w:r>
    </w:p>
    <w:p w14:paraId="2CF86461" w14:textId="77777777" w:rsidR="00AA02E4" w:rsidRDefault="00AA02E4" w:rsidP="00F01ED6">
      <w:pPr>
        <w:pStyle w:val="ProductList-Body"/>
        <w:rPr>
          <w:b/>
          <w:color w:val="00188F"/>
        </w:rPr>
      </w:pPr>
      <w:r>
        <w:rPr>
          <w:b/>
          <w:color w:val="00188F"/>
        </w:rPr>
        <w:t>Definições Adicionais</w:t>
      </w:r>
      <w:r w:rsidRPr="00473DD3">
        <w:rPr>
          <w:b/>
          <w:color w:val="00188F"/>
        </w:rPr>
        <w:t>:</w:t>
      </w:r>
    </w:p>
    <w:p w14:paraId="502FA76B" w14:textId="66A52991" w:rsidR="00AA02E4" w:rsidRDefault="00380305" w:rsidP="00F01ED6">
      <w:pPr>
        <w:pStyle w:val="ProductList-Body"/>
      </w:pPr>
      <w:r>
        <w:t>“</w:t>
      </w:r>
      <w:r w:rsidR="00AA02E4">
        <w:rPr>
          <w:b/>
          <w:color w:val="00188F"/>
        </w:rPr>
        <w:t>Total de Pedidos</w:t>
      </w:r>
      <w:r>
        <w:t>”</w:t>
      </w:r>
      <w:r w:rsidR="00AA02E4">
        <w:t xml:space="preserve"> designa o conjunto de todos os pedidos, que não Pedidos Excluídos, para executar operações relativamente a Recursos durante um Período Aplicável para uma determinada subscrição do Microsoft Azure.</w:t>
      </w:r>
    </w:p>
    <w:p w14:paraId="4F3686F7" w14:textId="2C7FE704" w:rsidR="00AA02E4" w:rsidRDefault="00380305" w:rsidP="00F01ED6">
      <w:pPr>
        <w:pStyle w:val="ProductList-Body"/>
      </w:pPr>
      <w:r>
        <w:t>“</w:t>
      </w:r>
      <w:r w:rsidR="00AA02E4">
        <w:rPr>
          <w:b/>
          <w:color w:val="00188F"/>
        </w:rPr>
        <w:t>Pedidos Excluídos</w:t>
      </w:r>
      <w:r>
        <w:t>”</w:t>
      </w:r>
      <w:r w:rsidR="00AA02E4">
        <w:t xml:space="preserve"> designa o conjunto de pedidos que resultam num código de estado HTTP 4xx, que não um código de estado HTTP 408. </w:t>
      </w:r>
    </w:p>
    <w:p w14:paraId="79E49C6D" w14:textId="7E9122E0" w:rsidR="00AA02E4" w:rsidRDefault="00380305" w:rsidP="00F01ED6">
      <w:pPr>
        <w:pStyle w:val="ProductList-Body"/>
      </w:pPr>
      <w:r>
        <w:t>“</w:t>
      </w:r>
      <w:r w:rsidR="00AA02E4">
        <w:rPr>
          <w:b/>
          <w:color w:val="00188F"/>
        </w:rPr>
        <w:t>Pedidos com Falha</w:t>
      </w:r>
      <w:r>
        <w:t>”</w:t>
      </w:r>
      <w:r w:rsidR="00AA02E4">
        <w:t xml:space="preserve"> designa o conjunto de todos os pedidos no Total de Pedidos que devolvem um Código de Erro ou um código de estado HTTP 408 ou que não devolvem um Código de Êxito num prazo de dois minutos. </w:t>
      </w:r>
    </w:p>
    <w:p w14:paraId="5251F49D" w14:textId="77777777" w:rsidR="00AA02E4" w:rsidRPr="00EF7CF9" w:rsidRDefault="00AA02E4" w:rsidP="00F01ED6">
      <w:pPr>
        <w:pStyle w:val="ProductList-Body"/>
      </w:pPr>
    </w:p>
    <w:p w14:paraId="2D21FDFB" w14:textId="23F0FFD3" w:rsidR="00AA02E4" w:rsidRDefault="00AA02E4" w:rsidP="00F01ED6">
      <w:pPr>
        <w:pStyle w:val="ProductList-Body"/>
      </w:pPr>
      <w:r>
        <w:t xml:space="preserve">A </w:t>
      </w:r>
      <w:r w:rsidR="00380305" w:rsidRPr="00380305">
        <w:t>“</w:t>
      </w:r>
      <w:r>
        <w:rPr>
          <w:b/>
          <w:color w:val="00188F"/>
        </w:rPr>
        <w:t>Percentagem de Período de Disponibilidade</w:t>
      </w:r>
      <w:r w:rsidR="00380305">
        <w:t>”</w:t>
      </w:r>
      <w:r>
        <w:t xml:space="preserve"> para as chamadas da API efetuadas para os Serviços Data Factory é calculada como o Total de Pedidos menos os Pedidos com Falha a dividir pelo Total de Pedidos num Período Aplicável para uma determinada subscrição do Microsoft Azure. </w:t>
      </w:r>
    </w:p>
    <w:p w14:paraId="0C1962F3" w14:textId="5EA7870E" w:rsidR="00AA02E4" w:rsidRPr="00EF7CF9" w:rsidRDefault="00AC48A7" w:rsidP="00F01ED6">
      <w:pPr>
        <w:pStyle w:val="ProductList-Body"/>
      </w:pPr>
      <w:r>
        <w:t>A Percentagem de Período de Disponibilidade é representada pela seguinte fórmula:</w:t>
      </w:r>
    </w:p>
    <w:p w14:paraId="44F5B2CF" w14:textId="77777777" w:rsidR="00AA02E4" w:rsidRPr="00EF7CF9" w:rsidRDefault="00AA02E4" w:rsidP="00F01ED6">
      <w:pPr>
        <w:pStyle w:val="ProductList-Body"/>
      </w:pPr>
    </w:p>
    <w:p w14:paraId="20D98153" w14:textId="54A37A13" w:rsidR="00AA02E4" w:rsidRPr="00EF7CF9" w:rsidRDefault="00E80B8A" w:rsidP="00F01ED6">
      <w:pPr>
        <w:spacing w:line="240" w:lineRule="auto"/>
        <w:rPr>
          <w:rFonts w:ascii="Cambria Math" w:hAnsi="Cambria Math" w:cs="Tahoma"/>
          <w:i/>
          <w:color w:val="000000" w:themeColor="text1"/>
          <w:sz w:val="18"/>
          <w:szCs w:val="18"/>
        </w:rPr>
      </w:pPr>
      <m:oMathPara>
        <m:oMath>
          <m:r>
            <w:rPr>
              <w:rFonts w:ascii="Cambria Math" w:hAnsi="Cambria Math" w:cs="Tahoma"/>
              <w:sz w:val="18"/>
              <w:szCs w:val="18"/>
            </w:rPr>
            <w:lastRenderedPageBreak/>
            <m:t xml:space="preserve">% </m:t>
          </m:r>
          <m:r>
            <m:rPr>
              <m:nor/>
            </m:rPr>
            <w:rPr>
              <w:rFonts w:ascii="Cambria Math" w:hAnsi="Cambria Math" w:cs="Tahoma"/>
              <w:i/>
              <w:iCs/>
              <w:sz w:val="18"/>
              <w:szCs w:val="18"/>
            </w:rPr>
            <m:t>de Período de Disponibilidade Mensal</m:t>
          </m:r>
          <m:r>
            <w:rPr>
              <w:rFonts w:ascii="Cambria Math" w:hAnsi="Cambria Math" w:cs="Tahoma"/>
              <w:sz w:val="18"/>
              <w:szCs w:val="18"/>
            </w:rPr>
            <m:t>=</m:t>
          </m:r>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Pedidos-Pedidos com Falha)</m:t>
              </m:r>
            </m:num>
            <m:den>
              <m:r>
                <m:rPr>
                  <m:nor/>
                </m:rPr>
                <w:rPr>
                  <w:rFonts w:ascii="Cambria Math" w:hAnsi="Cambria Math" w:cs="Tahoma"/>
                  <w:i/>
                  <w:iCs/>
                  <w:color w:val="000000" w:themeColor="text1"/>
                  <w:sz w:val="18"/>
                  <w:szCs w:val="18"/>
                </w:rPr>
                <m:t>Total de Pedidos</m:t>
              </m:r>
            </m:den>
          </m:f>
        </m:oMath>
      </m:oMathPara>
    </w:p>
    <w:p w14:paraId="534303A0" w14:textId="77777777" w:rsidR="00AA02E4" w:rsidRPr="007C69E0" w:rsidRDefault="00AA02E4" w:rsidP="009759E2">
      <w:pPr>
        <w:pStyle w:val="ProductList-Body"/>
        <w:keepNext/>
        <w:keepLines/>
        <w:rPr>
          <w:b/>
          <w:bCs/>
          <w:color w:val="00008F"/>
        </w:rPr>
      </w:pPr>
      <w:r w:rsidRPr="007C69E0">
        <w:rPr>
          <w:b/>
          <w:bCs/>
          <w:color w:val="00008F"/>
        </w:rPr>
        <w:t>Os seguintes Créditos de Serviço são aplicáveis à utilização que o Cliente faz das chamadas da API no Serviço Gestor de Dados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9759E2">
            <w:pPr>
              <w:pStyle w:val="ProductList-OfferingBody"/>
              <w:keepNext/>
              <w:keepLines/>
              <w:jc w:val="center"/>
              <w:rPr>
                <w:color w:val="FFFFFF" w:themeColor="background1"/>
              </w:rPr>
            </w:pPr>
            <w:r>
              <w:rPr>
                <w:color w:val="FFFFFF" w:themeColor="background1"/>
              </w:rPr>
              <w:t>Percentagem de Período de Disponibilidade</w:t>
            </w:r>
          </w:p>
        </w:tc>
        <w:tc>
          <w:tcPr>
            <w:tcW w:w="5400" w:type="dxa"/>
            <w:shd w:val="clear" w:color="auto" w:fill="0072C6"/>
          </w:tcPr>
          <w:p w14:paraId="050673EA" w14:textId="77777777" w:rsidR="00AA02E4" w:rsidRPr="00EF7CF9" w:rsidRDefault="00AA02E4" w:rsidP="009759E2">
            <w:pPr>
              <w:pStyle w:val="ProductList-OfferingBody"/>
              <w:keepNext/>
              <w:keepLines/>
              <w:jc w:val="center"/>
              <w:rPr>
                <w:color w:val="FFFFFF" w:themeColor="background1"/>
              </w:rPr>
            </w:pPr>
            <w:r>
              <w:rPr>
                <w:color w:val="FFFFFF" w:themeColor="background1"/>
              </w:rPr>
              <w:t>Crédito de Serviço</w:t>
            </w:r>
          </w:p>
        </w:tc>
      </w:tr>
      <w:tr w:rsidR="00AA02E4" w:rsidRPr="00B44CF9" w14:paraId="18C3EE26" w14:textId="77777777" w:rsidTr="00277097">
        <w:tc>
          <w:tcPr>
            <w:tcW w:w="5400" w:type="dxa"/>
          </w:tcPr>
          <w:p w14:paraId="150A3FE7" w14:textId="77777777" w:rsidR="00AA02E4" w:rsidRPr="00EF7CF9" w:rsidRDefault="00AA02E4" w:rsidP="009759E2">
            <w:pPr>
              <w:pStyle w:val="ProductList-OfferingBody"/>
              <w:keepNext/>
              <w:keepLines/>
              <w:jc w:val="center"/>
            </w:pPr>
            <w:r>
              <w:t>&lt; 99,9%</w:t>
            </w:r>
          </w:p>
        </w:tc>
        <w:tc>
          <w:tcPr>
            <w:tcW w:w="5400" w:type="dxa"/>
          </w:tcPr>
          <w:p w14:paraId="45423A50" w14:textId="77777777" w:rsidR="00AA02E4" w:rsidRPr="00EF7CF9" w:rsidRDefault="00AA02E4" w:rsidP="009759E2">
            <w:pPr>
              <w:pStyle w:val="ProductList-OfferingBody"/>
              <w:keepNext/>
              <w:keepLines/>
              <w:jc w:val="center"/>
            </w:pPr>
            <w:r>
              <w:t>10%</w:t>
            </w:r>
          </w:p>
        </w:tc>
      </w:tr>
      <w:tr w:rsidR="00AA02E4" w:rsidRPr="00B44CF9" w14:paraId="11382E4F" w14:textId="77777777" w:rsidTr="00277097">
        <w:tc>
          <w:tcPr>
            <w:tcW w:w="5400" w:type="dxa"/>
          </w:tcPr>
          <w:p w14:paraId="2F93EE8A" w14:textId="77777777" w:rsidR="00AA02E4" w:rsidRPr="00EF7CF9" w:rsidRDefault="00AA02E4" w:rsidP="009759E2">
            <w:pPr>
              <w:pStyle w:val="ProductList-OfferingBody"/>
              <w:keepNext/>
              <w:keepLines/>
              <w:jc w:val="center"/>
            </w:pPr>
            <w:r>
              <w:t>&lt; 99%</w:t>
            </w:r>
          </w:p>
        </w:tc>
        <w:tc>
          <w:tcPr>
            <w:tcW w:w="5400" w:type="dxa"/>
          </w:tcPr>
          <w:p w14:paraId="5932E997" w14:textId="77777777" w:rsidR="00AA02E4" w:rsidRPr="00EF7CF9" w:rsidRDefault="00AA02E4" w:rsidP="009759E2">
            <w:pPr>
              <w:pStyle w:val="ProductList-OfferingBody"/>
              <w:keepNext/>
              <w:keepLines/>
              <w:jc w:val="center"/>
            </w:pPr>
            <w:r>
              <w:t>25%</w:t>
            </w:r>
          </w:p>
        </w:tc>
      </w:tr>
    </w:tbl>
    <w:p w14:paraId="7FE0019D" w14:textId="65672919" w:rsidR="00AA02E4" w:rsidRPr="00ED4527" w:rsidRDefault="00EE6E3C" w:rsidP="00F01ED6">
      <w:pPr>
        <w:pStyle w:val="ProductList-Body"/>
        <w:keepNext/>
        <w:spacing w:before="240"/>
        <w:rPr>
          <w:b/>
          <w:bCs/>
          <w:color w:val="00188F"/>
        </w:rPr>
      </w:pPr>
      <w:r>
        <w:rPr>
          <w:b/>
          <w:bCs/>
          <w:color w:val="00188F"/>
        </w:rPr>
        <w:t>Cálculo do Período de Disponibilidade para Execuções de Atividade do Data Factory</w:t>
      </w:r>
    </w:p>
    <w:p w14:paraId="4FAAD9F9" w14:textId="77777777" w:rsidR="00AA02E4" w:rsidRPr="00AA02E4" w:rsidRDefault="00AA02E4" w:rsidP="00F01ED6">
      <w:pPr>
        <w:pStyle w:val="ProductList-Body"/>
        <w:keepNext/>
        <w:rPr>
          <w:b/>
          <w:bCs/>
          <w:color w:val="00188F"/>
        </w:rPr>
      </w:pPr>
      <w:r>
        <w:rPr>
          <w:b/>
          <w:bCs/>
          <w:color w:val="00188F"/>
        </w:rPr>
        <w:t>Definições Adicionais:</w:t>
      </w:r>
    </w:p>
    <w:p w14:paraId="6878FBB3" w14:textId="3688E058" w:rsidR="00AA02E4" w:rsidRPr="00EF7CF9" w:rsidRDefault="00380305" w:rsidP="00F01ED6">
      <w:pPr>
        <w:pStyle w:val="ProductList-Body"/>
      </w:pPr>
      <w:r>
        <w:t>“</w:t>
      </w:r>
      <w:r w:rsidR="00AA02E4">
        <w:rPr>
          <w:b/>
          <w:color w:val="00188F"/>
        </w:rPr>
        <w:t>Total de Execuções de Atividade</w:t>
      </w:r>
      <w:r>
        <w:t>”</w:t>
      </w:r>
      <w:r w:rsidR="00AA02E4">
        <w:rPr>
          <w:b/>
          <w:color w:val="00188F"/>
        </w:rPr>
        <w:t xml:space="preserve"> </w:t>
      </w:r>
      <w:r w:rsidR="00AA02E4">
        <w:rPr>
          <w:rFonts w:cs="Tahoma"/>
        </w:rPr>
        <w:t xml:space="preserve">designa o número total de tentativas de Execuções de Atividade durante um Período Aplicável para uma determinada Subscrição do Microsoft Azure. </w:t>
      </w:r>
    </w:p>
    <w:p w14:paraId="045CDE7E" w14:textId="4DEEE46F" w:rsidR="00AA02E4" w:rsidRPr="00EF7CF9" w:rsidRDefault="00380305" w:rsidP="00F01ED6">
      <w:pPr>
        <w:pStyle w:val="ProductList-Body"/>
      </w:pPr>
      <w:r>
        <w:t>“</w:t>
      </w:r>
      <w:r w:rsidR="00AA02E4">
        <w:rPr>
          <w:b/>
          <w:color w:val="00188F"/>
        </w:rPr>
        <w:t>Execuções de Atividade em Atraso</w:t>
      </w:r>
      <w:r>
        <w:t>”</w:t>
      </w:r>
      <w:r w:rsidR="00AA02E4">
        <w:t xml:space="preserve"> designa o número total de tentativas de Execuções de Atividade em que a execução de uma atividade não é</w:t>
      </w:r>
      <w:r w:rsidR="00A46E68">
        <w:t> </w:t>
      </w:r>
      <w:r w:rsidR="00AA02E4">
        <w:t>iniciada no prazo de quatro (4) minutos após a hora de execução agendada, tendo sido cumpridas todas as dependências que constituem pré-requisitos para a execução.</w:t>
      </w:r>
    </w:p>
    <w:p w14:paraId="45528E5A" w14:textId="0EFCEA8A" w:rsidR="00AA02E4" w:rsidRPr="00ED4527" w:rsidRDefault="00AA02E4" w:rsidP="00F01ED6">
      <w:pPr>
        <w:pStyle w:val="ProductList-Body"/>
        <w:rPr>
          <w:color w:val="000000" w:themeColor="text1"/>
        </w:rPr>
      </w:pPr>
      <w:r>
        <w:t xml:space="preserve">A </w:t>
      </w:r>
      <w:r w:rsidR="00380305" w:rsidRPr="00380305">
        <w:t>“</w:t>
      </w:r>
      <w:r>
        <w:rPr>
          <w:b/>
          <w:color w:val="00188F"/>
        </w:rPr>
        <w:t>Percentagem de Período de Disponibilidade</w:t>
      </w:r>
      <w:r w:rsidR="00380305">
        <w:t>”</w:t>
      </w:r>
      <w:r>
        <w:t xml:space="preserve"> </w:t>
      </w:r>
      <w:r>
        <w:rPr>
          <w:color w:val="000000" w:themeColor="text1"/>
        </w:rPr>
        <w:t>para o Serviço Data Factory é calculada como o Total de Execuções de Atividade menos as Execuções de Atividade em Atraso a dividir pelo Total de Execuções de Atividade num Período Aplicável para uma determinada subscrição do Microsoft Azure.</w:t>
      </w:r>
    </w:p>
    <w:p w14:paraId="0B2BEE09" w14:textId="0B818B97" w:rsidR="00AA02E4" w:rsidRPr="00EF7CF9" w:rsidRDefault="00AA02E4" w:rsidP="00F01ED6">
      <w:pPr>
        <w:pStyle w:val="ProductList-Body"/>
      </w:pPr>
      <w:r>
        <w:t>A Percentagem de Período de Disponibilidade é calculada através da seguinte fórmula:</w:t>
      </w:r>
    </w:p>
    <w:p w14:paraId="4DA9AF41" w14:textId="144F6187" w:rsidR="00AA02E4" w:rsidRPr="00EF7CF9" w:rsidRDefault="00000000" w:rsidP="00A5364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Execuções de Atividade-Execuções de Atividade em Atraso</m:t>
              </m:r>
            </m:num>
            <m:den>
              <m:r>
                <m:rPr>
                  <m:nor/>
                </m:rPr>
                <w:rPr>
                  <w:rFonts w:ascii="Cambria Math" w:hAnsi="Cambria Math" w:cs="Tahoma"/>
                  <w:i/>
                  <w:iCs/>
                  <w:color w:val="000000" w:themeColor="text1"/>
                  <w:sz w:val="18"/>
                  <w:szCs w:val="18"/>
                </w:rPr>
                <m:t>Total de Execuções de Atividade</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F01ED6">
      <w:pPr>
        <w:pStyle w:val="ProductList-Body"/>
      </w:pPr>
      <w:r>
        <w:rPr>
          <w:b/>
          <w:color w:val="00188F"/>
        </w:rPr>
        <w:t>Os seguintes Níveis de Serviço e Créditos de Serviço são aplicáveis às Execuções de Atividade do Cliente no Serviço Gestor de Dados: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CD5C5F8" w14:textId="77777777" w:rsidR="00AA02E4" w:rsidRPr="00EF7CF9" w:rsidRDefault="00AA02E4" w:rsidP="00F01ED6">
            <w:pPr>
              <w:pStyle w:val="ProductList-OfferingBody"/>
              <w:jc w:val="center"/>
              <w:rPr>
                <w:color w:val="FFFFFF" w:themeColor="background1"/>
              </w:rPr>
            </w:pPr>
            <w:r>
              <w:rPr>
                <w:color w:val="FFFFFF" w:themeColor="background1"/>
              </w:rPr>
              <w:t>Crédito de Serviço</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F01ED6">
            <w:pPr>
              <w:pStyle w:val="ProductList-OfferingBody"/>
              <w:jc w:val="center"/>
            </w:pPr>
            <w:r>
              <w:t>&lt; 99,9%</w:t>
            </w:r>
          </w:p>
        </w:tc>
        <w:tc>
          <w:tcPr>
            <w:tcW w:w="5400" w:type="dxa"/>
            <w:tcBorders>
              <w:bottom w:val="single" w:sz="4" w:space="0" w:color="000000" w:themeColor="text1"/>
            </w:tcBorders>
          </w:tcPr>
          <w:p w14:paraId="7C920EF9" w14:textId="77777777" w:rsidR="00AA02E4" w:rsidRPr="00EF7CF9" w:rsidRDefault="00AA02E4" w:rsidP="00F01ED6">
            <w:pPr>
              <w:pStyle w:val="ProductList-OfferingBody"/>
              <w:jc w:val="center"/>
            </w:pPr>
            <w:r>
              <w:t>10%</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F01ED6">
            <w:pPr>
              <w:pStyle w:val="ProductList-OfferingBody"/>
              <w:jc w:val="center"/>
            </w:pPr>
            <w:r>
              <w:t>&lt; 99%</w:t>
            </w:r>
          </w:p>
        </w:tc>
        <w:tc>
          <w:tcPr>
            <w:tcW w:w="5400" w:type="dxa"/>
            <w:tcBorders>
              <w:bottom w:val="single" w:sz="4" w:space="0" w:color="auto"/>
            </w:tcBorders>
          </w:tcPr>
          <w:p w14:paraId="41D014A5" w14:textId="77777777" w:rsidR="00AA02E4" w:rsidRPr="00EF7CF9" w:rsidRDefault="00AA02E4" w:rsidP="00F01ED6">
            <w:pPr>
              <w:pStyle w:val="ProductList-OfferingBody"/>
              <w:jc w:val="center"/>
            </w:pPr>
            <w:r>
              <w:t>25%</w:t>
            </w:r>
          </w:p>
        </w:tc>
      </w:tr>
    </w:tbl>
    <w:bookmarkStart w:id="204" w:name="_Toc52348951"/>
    <w:bookmarkStart w:id="205" w:name="_Toc457821549"/>
    <w:p w14:paraId="1C90DD72"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53F84F8" w14:textId="2A9E744D" w:rsidR="00AA02E4" w:rsidRPr="00EF7CF9" w:rsidRDefault="00AA02E4" w:rsidP="00F01ED6">
      <w:pPr>
        <w:pStyle w:val="ProductList-Offering2Heading"/>
        <w:keepNext/>
        <w:tabs>
          <w:tab w:val="clear" w:pos="360"/>
          <w:tab w:val="clear" w:pos="720"/>
          <w:tab w:val="clear" w:pos="1080"/>
        </w:tabs>
        <w:outlineLvl w:val="2"/>
      </w:pPr>
      <w:bookmarkStart w:id="206" w:name="_Toc239176452"/>
      <w:r>
        <w:t>Data Lake Analytics</w:t>
      </w:r>
      <w:bookmarkEnd w:id="204"/>
      <w:bookmarkEnd w:id="206"/>
    </w:p>
    <w:p w14:paraId="50DCF9CE" w14:textId="77777777" w:rsidR="00AA02E4" w:rsidRPr="00EF7CF9" w:rsidRDefault="00AA02E4" w:rsidP="00F01ED6">
      <w:pPr>
        <w:pStyle w:val="ProductList-Body"/>
        <w:keepNext/>
        <w:rPr>
          <w:b/>
          <w:color w:val="00188F"/>
        </w:rPr>
      </w:pPr>
      <w:r>
        <w:rPr>
          <w:b/>
          <w:color w:val="00188F"/>
        </w:rPr>
        <w:t>Definições Adicionais</w:t>
      </w:r>
      <w:r w:rsidRPr="00473DD3">
        <w:rPr>
          <w:b/>
          <w:color w:val="00188F"/>
        </w:rPr>
        <w:t>:</w:t>
      </w:r>
    </w:p>
    <w:p w14:paraId="48683A43" w14:textId="37F6C0C4" w:rsidR="00AA02E4" w:rsidRPr="00EF7CF9" w:rsidRDefault="00380305" w:rsidP="00F01ED6">
      <w:pPr>
        <w:pStyle w:val="ProductList-Body"/>
      </w:pPr>
      <w:r>
        <w:t>“</w:t>
      </w:r>
      <w:r w:rsidR="00AA02E4">
        <w:rPr>
          <w:b/>
          <w:color w:val="00188F"/>
        </w:rPr>
        <w:t>Total de Operações</w:t>
      </w:r>
      <w:r>
        <w:t>”</w:t>
      </w:r>
      <w:r w:rsidR="00AA02E4">
        <w:t xml:space="preserve"> designa o número total de operações autenticadas tentadas num intervalo de uma hora em todas as contas do Data Lake Analytics numa determinada subscrição do Azure durante um Período Aplicável. </w:t>
      </w:r>
    </w:p>
    <w:p w14:paraId="619001CB" w14:textId="591440FF" w:rsidR="00AA02E4" w:rsidRPr="00B32E8E" w:rsidRDefault="00380305" w:rsidP="00F01ED6">
      <w:pPr>
        <w:spacing w:after="0" w:line="240" w:lineRule="auto"/>
        <w:rPr>
          <w:rFonts w:ascii="Calibri" w:eastAsia="Calibri" w:hAnsi="Calibri" w:cs="Calibri"/>
          <w:sz w:val="18"/>
          <w:szCs w:val="18"/>
        </w:rPr>
      </w:pPr>
      <w:r>
        <w:rPr>
          <w:sz w:val="18"/>
          <w:szCs w:val="18"/>
        </w:rPr>
        <w:t>“</w:t>
      </w:r>
      <w:r w:rsidR="00AA02E4">
        <w:rPr>
          <w:b/>
          <w:color w:val="00188F"/>
          <w:sz w:val="18"/>
          <w:szCs w:val="18"/>
        </w:rPr>
        <w:t>Operações com Falha</w:t>
      </w:r>
      <w:r>
        <w:rPr>
          <w:sz w:val="18"/>
          <w:szCs w:val="18"/>
        </w:rPr>
        <w:t>”</w:t>
      </w:r>
      <w:r w:rsidR="00AA02E4">
        <w:rPr>
          <w:sz w:val="18"/>
          <w:szCs w:val="18"/>
        </w:rPr>
        <w:t xml:space="preserve"> designa o conjunto de todas as operações no Total de Operações que devolvem um Código de Erro ou uma falha em devolver um Código de Êxito num prazo de 5 minutos, para criação e eliminação da conta, e 25 segundos para todas as outras operações com 2 segundos adicionais por MB para as operações com payload</w:t>
      </w:r>
      <w:r w:rsidR="00AA02E4">
        <w:rPr>
          <w:rFonts w:ascii="Calibri" w:eastAsia="Calibri" w:hAnsi="Calibri" w:cs="Calibri"/>
          <w:sz w:val="18"/>
          <w:szCs w:val="18"/>
        </w:rPr>
        <w:t>.</w:t>
      </w:r>
    </w:p>
    <w:p w14:paraId="6CA1A056" w14:textId="285E3E40" w:rsidR="00AA02E4" w:rsidRPr="00EF7CF9" w:rsidRDefault="00380305" w:rsidP="00F01ED6">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AA02E4">
        <w:rPr>
          <w:rFonts w:asciiTheme="minorHAnsi" w:eastAsiaTheme="minorHAnsi" w:hAnsiTheme="minorHAnsi" w:cstheme="minorBidi"/>
          <w:b/>
          <w:color w:val="00188F"/>
          <w:sz w:val="18"/>
          <w:szCs w:val="22"/>
        </w:rPr>
        <w:t>Taxa de Erros</w:t>
      </w:r>
      <w:r>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designa o número total de Operações com Falha a dividir pelo Total de Operações durante um determinado intervalo de hora. Se</w:t>
      </w:r>
      <w:r w:rsidR="009E61BB">
        <w:rPr>
          <w:rFonts w:asciiTheme="minorHAnsi" w:eastAsiaTheme="minorHAnsi" w:hAnsiTheme="minorHAnsi" w:cstheme="minorBidi"/>
          <w:sz w:val="18"/>
          <w:szCs w:val="22"/>
        </w:rPr>
        <w:t> </w:t>
      </w:r>
      <w:r w:rsidR="00AA02E4">
        <w:rPr>
          <w:rFonts w:asciiTheme="minorHAnsi" w:eastAsiaTheme="minorHAnsi" w:hAnsiTheme="minorHAnsi" w:cstheme="minorBidi"/>
          <w:sz w:val="18"/>
          <w:szCs w:val="22"/>
        </w:rPr>
        <w:t>o</w:t>
      </w:r>
      <w:r w:rsidR="009E61BB">
        <w:rPr>
          <w:rFonts w:asciiTheme="minorHAnsi" w:eastAsiaTheme="minorHAnsi" w:hAnsiTheme="minorHAnsi" w:cstheme="minorBidi"/>
          <w:sz w:val="18"/>
          <w:szCs w:val="22"/>
        </w:rPr>
        <w:t> </w:t>
      </w:r>
      <w:r w:rsidR="00AA02E4">
        <w:rPr>
          <w:rFonts w:asciiTheme="minorHAnsi" w:eastAsiaTheme="minorHAnsi" w:hAnsiTheme="minorHAnsi" w:cstheme="minorBidi"/>
          <w:sz w:val="18"/>
          <w:szCs w:val="22"/>
        </w:rPr>
        <w:t>Total de Operações num intervalo de uma hora for zero, a Taxa de Erros para esse intervalo é 0%.</w:t>
      </w:r>
    </w:p>
    <w:p w14:paraId="456F89ED" w14:textId="793C232D" w:rsidR="00AA02E4"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F9B2817" w14:textId="6D867D5F" w:rsidR="00AA02E4" w:rsidRPr="00EF7CF9" w:rsidRDefault="00E80B8A" w:rsidP="00C86171">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Taxa Média de Erros</m:t>
          </m:r>
        </m:oMath>
      </m:oMathPara>
    </w:p>
    <w:p w14:paraId="3E5DCAAE" w14:textId="77777777" w:rsidR="00AA02E4" w:rsidRPr="00EF7CF9" w:rsidRDefault="00AA02E4"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9888A05" w14:textId="77777777" w:rsidR="00AA02E4" w:rsidRPr="00EF7CF9" w:rsidRDefault="00AA02E4" w:rsidP="00F01ED6">
            <w:pPr>
              <w:pStyle w:val="ProductList-OfferingBody"/>
              <w:jc w:val="center"/>
              <w:rPr>
                <w:color w:val="FFFFFF" w:themeColor="background1"/>
              </w:rPr>
            </w:pPr>
            <w:r>
              <w:rPr>
                <w:color w:val="FFFFFF" w:themeColor="background1"/>
              </w:rPr>
              <w:t>Crédito de Serviço</w:t>
            </w:r>
          </w:p>
        </w:tc>
      </w:tr>
      <w:tr w:rsidR="00AA02E4" w:rsidRPr="00B44CF9" w14:paraId="06140D84" w14:textId="77777777" w:rsidTr="00277097">
        <w:tc>
          <w:tcPr>
            <w:tcW w:w="5400" w:type="dxa"/>
          </w:tcPr>
          <w:p w14:paraId="50C3D1A8" w14:textId="77777777" w:rsidR="00AA02E4" w:rsidRPr="00EF7CF9" w:rsidRDefault="00AA02E4" w:rsidP="00F01ED6">
            <w:pPr>
              <w:pStyle w:val="ProductList-OfferingBody"/>
              <w:jc w:val="center"/>
            </w:pPr>
            <w:r>
              <w:t>&lt; 99,9%</w:t>
            </w:r>
          </w:p>
        </w:tc>
        <w:tc>
          <w:tcPr>
            <w:tcW w:w="5400" w:type="dxa"/>
          </w:tcPr>
          <w:p w14:paraId="034EEE2E" w14:textId="77777777" w:rsidR="00AA02E4" w:rsidRPr="00EF7CF9" w:rsidRDefault="00AA02E4" w:rsidP="00F01ED6">
            <w:pPr>
              <w:pStyle w:val="ProductList-OfferingBody"/>
              <w:jc w:val="center"/>
            </w:pPr>
            <w:r>
              <w:t>10%</w:t>
            </w:r>
          </w:p>
        </w:tc>
      </w:tr>
      <w:tr w:rsidR="00AA02E4" w:rsidRPr="00B44CF9" w14:paraId="76FA4CFF" w14:textId="77777777" w:rsidTr="00277097">
        <w:tc>
          <w:tcPr>
            <w:tcW w:w="5400" w:type="dxa"/>
          </w:tcPr>
          <w:p w14:paraId="4A573A46" w14:textId="77777777" w:rsidR="00AA02E4" w:rsidRPr="00EF7CF9" w:rsidRDefault="00AA02E4" w:rsidP="00F01ED6">
            <w:pPr>
              <w:pStyle w:val="ProductList-OfferingBody"/>
              <w:jc w:val="center"/>
            </w:pPr>
            <w:r>
              <w:t>&lt; 99%</w:t>
            </w:r>
          </w:p>
        </w:tc>
        <w:tc>
          <w:tcPr>
            <w:tcW w:w="5400" w:type="dxa"/>
          </w:tcPr>
          <w:p w14:paraId="0F637E8B" w14:textId="77777777" w:rsidR="00AA02E4" w:rsidRPr="00EF7CF9" w:rsidRDefault="00AA02E4" w:rsidP="00F01ED6">
            <w:pPr>
              <w:pStyle w:val="ProductList-OfferingBody"/>
              <w:jc w:val="center"/>
            </w:pPr>
            <w:r>
              <w:t>25%</w:t>
            </w:r>
          </w:p>
        </w:tc>
      </w:tr>
    </w:tbl>
    <w:bookmarkStart w:id="207" w:name="_Toc52348952"/>
    <w:p w14:paraId="1CCDDCCB"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C2039DF" w14:textId="6B849773" w:rsidR="00AA02E4" w:rsidRPr="00EF7CF9" w:rsidRDefault="00AA02E4" w:rsidP="00F01ED6">
      <w:pPr>
        <w:pStyle w:val="ProductList-Offering2Heading"/>
        <w:tabs>
          <w:tab w:val="clear" w:pos="360"/>
          <w:tab w:val="clear" w:pos="720"/>
          <w:tab w:val="clear" w:pos="1080"/>
        </w:tabs>
        <w:outlineLvl w:val="2"/>
      </w:pPr>
      <w:bookmarkStart w:id="208" w:name="_Toc239176453"/>
      <w:r>
        <w:t>Data Lake Storage Gen1</w:t>
      </w:r>
      <w:bookmarkEnd w:id="207"/>
      <w:bookmarkEnd w:id="208"/>
    </w:p>
    <w:p w14:paraId="7B5916C5" w14:textId="77777777" w:rsidR="00AA02E4" w:rsidRPr="00E80B8A" w:rsidRDefault="00AA02E4" w:rsidP="00F01ED6">
      <w:pPr>
        <w:pStyle w:val="ProductList-Body"/>
        <w:rPr>
          <w:rFonts w:cstheme="minorHAnsi"/>
          <w:b/>
          <w:color w:val="00188F"/>
          <w:szCs w:val="18"/>
        </w:rPr>
      </w:pPr>
      <w:r w:rsidRPr="00E80B8A">
        <w:rPr>
          <w:rFonts w:cstheme="minorHAnsi"/>
          <w:b/>
          <w:color w:val="00188F"/>
          <w:szCs w:val="18"/>
        </w:rPr>
        <w:t>Definições Adicionais</w:t>
      </w:r>
      <w:r w:rsidRPr="00473DD3">
        <w:rPr>
          <w:rFonts w:cstheme="minorHAnsi"/>
          <w:b/>
          <w:color w:val="00188F"/>
          <w:szCs w:val="18"/>
        </w:rPr>
        <w:t>:</w:t>
      </w:r>
    </w:p>
    <w:p w14:paraId="23CB8006" w14:textId="04CEAC46" w:rsidR="00AA02E4" w:rsidRPr="00E80B8A" w:rsidRDefault="00380305" w:rsidP="00F01ED6">
      <w:pPr>
        <w:pStyle w:val="ProductList-Body"/>
        <w:rPr>
          <w:rFonts w:cstheme="minorHAnsi"/>
          <w:szCs w:val="18"/>
        </w:rPr>
      </w:pPr>
      <w:r>
        <w:rPr>
          <w:rFonts w:cstheme="minorHAnsi"/>
          <w:szCs w:val="18"/>
        </w:rPr>
        <w:t>“</w:t>
      </w:r>
      <w:r w:rsidR="00AA02E4" w:rsidRPr="00E80B8A">
        <w:rPr>
          <w:rFonts w:cstheme="minorHAnsi"/>
          <w:b/>
          <w:color w:val="00188F"/>
          <w:szCs w:val="18"/>
        </w:rPr>
        <w:t>Total de Operações</w:t>
      </w:r>
      <w:r>
        <w:rPr>
          <w:rFonts w:cstheme="minorHAnsi"/>
          <w:szCs w:val="18"/>
        </w:rPr>
        <w:t>”</w:t>
      </w:r>
      <w:r w:rsidR="00AA02E4" w:rsidRPr="00E80B8A">
        <w:rPr>
          <w:rFonts w:cstheme="minorHAnsi"/>
          <w:szCs w:val="18"/>
        </w:rPr>
        <w:t xml:space="preserve"> designa o número total de operações autenticadas tentadas num intervalo de uma hora em todas as contas do Data Lake Store numa determinada subscrição do Azure durante um Período Aplicável.</w:t>
      </w:r>
    </w:p>
    <w:p w14:paraId="50FB34C7" w14:textId="25CD4B55" w:rsidR="00AA02E4" w:rsidRPr="00E80B8A" w:rsidRDefault="00380305" w:rsidP="00F01ED6">
      <w:pPr>
        <w:spacing w:after="0" w:line="240" w:lineRule="auto"/>
        <w:rPr>
          <w:rFonts w:eastAsia="Calibri" w:cstheme="minorHAnsi"/>
          <w:sz w:val="18"/>
          <w:szCs w:val="18"/>
        </w:rPr>
      </w:pPr>
      <w:r>
        <w:rPr>
          <w:rFonts w:cstheme="minorHAnsi"/>
          <w:sz w:val="18"/>
          <w:szCs w:val="18"/>
        </w:rPr>
        <w:t>“</w:t>
      </w:r>
      <w:r w:rsidR="00AA02E4" w:rsidRPr="00E80B8A">
        <w:rPr>
          <w:rFonts w:cstheme="minorHAnsi"/>
          <w:b/>
          <w:color w:val="00188F"/>
          <w:sz w:val="18"/>
          <w:szCs w:val="18"/>
        </w:rPr>
        <w:t>Opções com Falha</w:t>
      </w:r>
      <w:r>
        <w:rPr>
          <w:rFonts w:cstheme="minorHAnsi"/>
          <w:sz w:val="18"/>
          <w:szCs w:val="18"/>
        </w:rPr>
        <w:t>”</w:t>
      </w:r>
      <w:r w:rsidR="00AA02E4" w:rsidRPr="00E80B8A">
        <w:rPr>
          <w:rFonts w:cstheme="minorHAnsi"/>
          <w:sz w:val="18"/>
          <w:szCs w:val="18"/>
        </w:rPr>
        <w:t xml:space="preserve"> designa o conjunto de todas as operações no Total de Operações que devolvem um Código de Erro ou uma falha em devolver um Código de Êxito num prazo de 5 minutos, para criação e eliminação da conta, 2 segundos por ficheiro para as operações em vários ficheiros, 2</w:t>
      </w:r>
      <w:r w:rsidR="00C55C00">
        <w:rPr>
          <w:rFonts w:cstheme="minorHAnsi"/>
          <w:sz w:val="18"/>
          <w:szCs w:val="18"/>
        </w:rPr>
        <w:t> </w:t>
      </w:r>
      <w:r w:rsidR="00AA02E4" w:rsidRPr="00E80B8A">
        <w:rPr>
          <w:rFonts w:cstheme="minorHAnsi"/>
          <w:sz w:val="18"/>
          <w:szCs w:val="18"/>
        </w:rPr>
        <w:t>segundos por MB para as operações de transferência de dados e 2 segundos para todas as outras operações.</w:t>
      </w:r>
    </w:p>
    <w:p w14:paraId="5024A4E3" w14:textId="7FE713D1" w:rsidR="00AA02E4" w:rsidRPr="00E80B8A" w:rsidRDefault="00380305" w:rsidP="00F01ED6">
      <w:pPr>
        <w:pStyle w:val="NormalWeb"/>
        <w:shd w:val="clear" w:color="auto" w:fill="FFFFFF"/>
        <w:spacing w:before="0" w:beforeAutospacing="0" w:after="0" w:afterAutospacing="0"/>
        <w:rPr>
          <w:rFonts w:asciiTheme="minorHAnsi" w:eastAsiaTheme="minorHAnsi" w:hAnsiTheme="minorHAnsi" w:cstheme="minorHAnsi"/>
          <w:sz w:val="18"/>
          <w:szCs w:val="18"/>
        </w:rPr>
      </w:pPr>
      <w:r>
        <w:rPr>
          <w:rFonts w:asciiTheme="minorHAnsi" w:eastAsiaTheme="minorHAnsi" w:hAnsiTheme="minorHAnsi" w:cstheme="minorHAnsi"/>
          <w:sz w:val="18"/>
          <w:szCs w:val="18"/>
        </w:rPr>
        <w:t>“</w:t>
      </w:r>
      <w:r w:rsidR="00AA02E4" w:rsidRPr="00E80B8A">
        <w:rPr>
          <w:rFonts w:asciiTheme="minorHAnsi" w:eastAsiaTheme="minorHAnsi" w:hAnsiTheme="minorHAnsi" w:cstheme="minorHAnsi"/>
          <w:b/>
          <w:color w:val="00188F"/>
          <w:sz w:val="18"/>
          <w:szCs w:val="18"/>
        </w:rPr>
        <w:t>Taxa de Erros</w:t>
      </w:r>
      <w:r>
        <w:rPr>
          <w:rFonts w:asciiTheme="minorHAnsi" w:eastAsiaTheme="minorHAnsi" w:hAnsiTheme="minorHAnsi" w:cstheme="minorHAnsi"/>
          <w:sz w:val="18"/>
          <w:szCs w:val="18"/>
        </w:rPr>
        <w:t>”</w:t>
      </w:r>
      <w:r w:rsidR="00AA02E4" w:rsidRPr="00E80B8A">
        <w:rPr>
          <w:rFonts w:asciiTheme="minorHAnsi" w:hAnsiTheme="minorHAnsi" w:cstheme="minorHAnsi"/>
          <w:sz w:val="18"/>
          <w:szCs w:val="18"/>
        </w:rPr>
        <w:t xml:space="preserve"> </w:t>
      </w:r>
      <w:r w:rsidR="00AA02E4" w:rsidRPr="00E80B8A">
        <w:rPr>
          <w:rFonts w:asciiTheme="minorHAnsi" w:eastAsiaTheme="minorHAnsi" w:hAnsiTheme="minorHAnsi" w:cstheme="minorHAnsi"/>
          <w:sz w:val="18"/>
          <w:szCs w:val="18"/>
        </w:rPr>
        <w:t>designa o número total de Operações com Falha a dividir pelo Total de Operações durante um determinado intervalo de hora. Se</w:t>
      </w:r>
      <w:r w:rsidR="005411BD">
        <w:rPr>
          <w:rFonts w:asciiTheme="minorHAnsi" w:eastAsiaTheme="minorHAnsi" w:hAnsiTheme="minorHAnsi" w:cstheme="minorHAnsi"/>
          <w:sz w:val="18"/>
          <w:szCs w:val="18"/>
        </w:rPr>
        <w:t> </w:t>
      </w:r>
      <w:r w:rsidR="00AA02E4" w:rsidRPr="00E80B8A">
        <w:rPr>
          <w:rFonts w:asciiTheme="minorHAnsi" w:eastAsiaTheme="minorHAnsi" w:hAnsiTheme="minorHAnsi" w:cstheme="minorHAnsi"/>
          <w:sz w:val="18"/>
          <w:szCs w:val="18"/>
        </w:rPr>
        <w:t>o</w:t>
      </w:r>
      <w:r w:rsidR="00C55C00">
        <w:rPr>
          <w:rFonts w:asciiTheme="minorHAnsi" w:eastAsiaTheme="minorHAnsi" w:hAnsiTheme="minorHAnsi" w:cstheme="minorHAnsi"/>
          <w:sz w:val="18"/>
          <w:szCs w:val="18"/>
        </w:rPr>
        <w:t> </w:t>
      </w:r>
      <w:r w:rsidR="00AA02E4" w:rsidRPr="00E80B8A">
        <w:rPr>
          <w:rFonts w:asciiTheme="minorHAnsi" w:eastAsiaTheme="minorHAnsi" w:hAnsiTheme="minorHAnsi" w:cstheme="minorHAnsi"/>
          <w:sz w:val="18"/>
          <w:szCs w:val="18"/>
        </w:rPr>
        <w:t>Total de Operações num intervalo de uma hora for zero, a Taxa de Erros para esse intervalo é 0%.</w:t>
      </w:r>
    </w:p>
    <w:p w14:paraId="28D67634" w14:textId="21AFE98F" w:rsidR="00AA02E4" w:rsidRPr="00E80B8A" w:rsidRDefault="00AA02E4" w:rsidP="00F01ED6">
      <w:pPr>
        <w:pStyle w:val="NormalWeb"/>
        <w:shd w:val="clear" w:color="auto" w:fill="FFFFFF"/>
        <w:spacing w:before="0" w:beforeAutospacing="0" w:after="0" w:afterAutospacing="0"/>
        <w:rPr>
          <w:rFonts w:asciiTheme="minorHAnsi" w:eastAsiaTheme="minorHAnsi" w:hAnsiTheme="minorHAnsi" w:cstheme="minorHAnsi"/>
          <w:color w:val="000000" w:themeColor="text1"/>
          <w:sz w:val="18"/>
          <w:szCs w:val="18"/>
        </w:rPr>
      </w:pPr>
      <w:r w:rsidRPr="00E80B8A">
        <w:rPr>
          <w:rFonts w:asciiTheme="minorHAnsi" w:hAnsiTheme="minorHAnsi" w:cstheme="minorHAnsi"/>
          <w:sz w:val="18"/>
          <w:szCs w:val="18"/>
        </w:rPr>
        <w:lastRenderedPageBreak/>
        <w:t xml:space="preserve">A </w:t>
      </w:r>
      <w:r w:rsidR="00380305">
        <w:rPr>
          <w:rFonts w:asciiTheme="minorHAnsi" w:eastAsiaTheme="minorHAnsi" w:hAnsiTheme="minorHAnsi" w:cstheme="minorHAnsi"/>
          <w:color w:val="000000" w:themeColor="text1"/>
          <w:sz w:val="18"/>
          <w:szCs w:val="18"/>
        </w:rPr>
        <w:t>“</w:t>
      </w:r>
      <w:r w:rsidRPr="00E80B8A">
        <w:rPr>
          <w:rFonts w:asciiTheme="minorHAnsi" w:eastAsiaTheme="minorHAnsi" w:hAnsiTheme="minorHAnsi" w:cstheme="minorHAnsi"/>
          <w:b/>
          <w:bCs/>
          <w:color w:val="00188F"/>
          <w:sz w:val="18"/>
          <w:szCs w:val="18"/>
        </w:rPr>
        <w:t>Taxa Média de Erros</w:t>
      </w:r>
      <w:r w:rsidR="00380305">
        <w:rPr>
          <w:rFonts w:asciiTheme="minorHAnsi" w:eastAsiaTheme="minorHAnsi" w:hAnsiTheme="minorHAnsi" w:cstheme="minorHAnsi"/>
          <w:color w:val="000000" w:themeColor="text1"/>
          <w:sz w:val="18"/>
          <w:szCs w:val="18"/>
        </w:rPr>
        <w:t>”</w:t>
      </w:r>
      <w:r w:rsidRPr="00E80B8A">
        <w:rPr>
          <w:rFonts w:asciiTheme="minorHAnsi" w:eastAsiaTheme="minorHAnsi" w:hAnsiTheme="minorHAnsi" w:cstheme="minorHAnsi"/>
          <w:color w:val="000000" w:themeColor="text1"/>
          <w:sz w:val="18"/>
          <w:szCs w:val="18"/>
        </w:rPr>
        <w:t xml:space="preserve"> para um Período Aplicável designa a soma das Taxas de Erros para cada hora no Período Aplicável a dividir pelo número total de horas no Período Aplicável.</w:t>
      </w:r>
    </w:p>
    <w:p w14:paraId="6D17646E" w14:textId="27E023EA" w:rsidR="00AA02E4" w:rsidRPr="00E80B8A" w:rsidRDefault="00AA02E4" w:rsidP="00F01ED6">
      <w:pPr>
        <w:pStyle w:val="ProductList-Body"/>
        <w:rPr>
          <w:rFonts w:cstheme="minorHAnsi"/>
          <w:szCs w:val="18"/>
        </w:rPr>
      </w:pPr>
      <w:r w:rsidRPr="00E80B8A">
        <w:rPr>
          <w:rFonts w:cstheme="minorHAnsi"/>
          <w:szCs w:val="18"/>
        </w:rPr>
        <w:t xml:space="preserve">A </w:t>
      </w:r>
      <w:r w:rsidR="00380305" w:rsidRPr="00380305">
        <w:t>“</w:t>
      </w:r>
      <w:r w:rsidRPr="00E80B8A">
        <w:rPr>
          <w:rFonts w:cstheme="minorHAnsi"/>
          <w:b/>
          <w:color w:val="00188F"/>
          <w:szCs w:val="18"/>
        </w:rPr>
        <w:t>Percentagem de Período de Disponibilidade</w:t>
      </w:r>
      <w:r w:rsidR="00380305" w:rsidRPr="00380305">
        <w:t>”</w:t>
      </w:r>
      <w:r w:rsidRPr="00E80B8A">
        <w:rPr>
          <w:rFonts w:cstheme="minorHAnsi"/>
          <w:szCs w:val="18"/>
        </w:rPr>
        <w:t xml:space="preserve"> é calculada ao subtrair de 100% da Taxa Média de Erros para uma determinada subscrição do Microsoft Azure num Período Aplicável. </w:t>
      </w:r>
    </w:p>
    <w:p w14:paraId="3574B1AB" w14:textId="44DF7591" w:rsidR="00AA02E4" w:rsidRPr="00E80B8A" w:rsidRDefault="00AA02E4" w:rsidP="00C55C00">
      <w:pPr>
        <w:pStyle w:val="ProductList-Body"/>
        <w:keepNext/>
        <w:keepLines/>
        <w:rPr>
          <w:rFonts w:cstheme="minorHAnsi"/>
          <w:szCs w:val="18"/>
        </w:rPr>
      </w:pPr>
      <w:r w:rsidRPr="00E80B8A">
        <w:rPr>
          <w:rFonts w:cstheme="minorHAnsi"/>
          <w:szCs w:val="18"/>
        </w:rPr>
        <w:t>A Percentagem de Período de Disponibilidade é calculada através da seguinte fórmula:</w:t>
      </w:r>
    </w:p>
    <w:p w14:paraId="5B9EA659" w14:textId="05FF46E5" w:rsidR="00AA02E4" w:rsidRPr="00EF7CF9" w:rsidRDefault="00E80B8A" w:rsidP="00C86171">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Taxa Média de Erros</m:t>
          </m:r>
        </m:oMath>
      </m:oMathPara>
    </w:p>
    <w:p w14:paraId="706099E4" w14:textId="77777777" w:rsidR="00AA02E4" w:rsidRPr="00EF7CF9" w:rsidRDefault="00AA02E4"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F5724F8" w14:textId="77777777" w:rsidR="00AA02E4" w:rsidRPr="00EF7CF9" w:rsidRDefault="00AA02E4" w:rsidP="00F01ED6">
            <w:pPr>
              <w:pStyle w:val="ProductList-OfferingBody"/>
              <w:jc w:val="center"/>
              <w:rPr>
                <w:color w:val="FFFFFF" w:themeColor="background1"/>
              </w:rPr>
            </w:pPr>
            <w:r>
              <w:rPr>
                <w:color w:val="FFFFFF" w:themeColor="background1"/>
              </w:rPr>
              <w:t>Crédito de Serviço</w:t>
            </w:r>
          </w:p>
        </w:tc>
      </w:tr>
      <w:tr w:rsidR="00AA02E4" w:rsidRPr="00B44CF9" w14:paraId="0C9CD3B2" w14:textId="77777777" w:rsidTr="00277097">
        <w:tc>
          <w:tcPr>
            <w:tcW w:w="5400" w:type="dxa"/>
          </w:tcPr>
          <w:p w14:paraId="41D64B26" w14:textId="77777777" w:rsidR="00AA02E4" w:rsidRPr="00EF7CF9" w:rsidRDefault="00AA02E4" w:rsidP="00F01ED6">
            <w:pPr>
              <w:pStyle w:val="ProductList-OfferingBody"/>
              <w:jc w:val="center"/>
            </w:pPr>
            <w:r>
              <w:t>&lt; 99,9%</w:t>
            </w:r>
          </w:p>
        </w:tc>
        <w:tc>
          <w:tcPr>
            <w:tcW w:w="5400" w:type="dxa"/>
          </w:tcPr>
          <w:p w14:paraId="550DC71F" w14:textId="77777777" w:rsidR="00AA02E4" w:rsidRPr="00EF7CF9" w:rsidRDefault="00AA02E4" w:rsidP="00F01ED6">
            <w:pPr>
              <w:pStyle w:val="ProductList-OfferingBody"/>
              <w:jc w:val="center"/>
            </w:pPr>
            <w:r>
              <w:t>10%</w:t>
            </w:r>
          </w:p>
        </w:tc>
      </w:tr>
      <w:tr w:rsidR="00AA02E4" w:rsidRPr="00B44CF9" w14:paraId="04B79824" w14:textId="77777777" w:rsidTr="00277097">
        <w:tc>
          <w:tcPr>
            <w:tcW w:w="5400" w:type="dxa"/>
          </w:tcPr>
          <w:p w14:paraId="7772088F" w14:textId="77777777" w:rsidR="00AA02E4" w:rsidRPr="00EF7CF9" w:rsidRDefault="00AA02E4" w:rsidP="00F01ED6">
            <w:pPr>
              <w:pStyle w:val="ProductList-OfferingBody"/>
              <w:jc w:val="center"/>
            </w:pPr>
            <w:r>
              <w:t>&lt; 99%</w:t>
            </w:r>
          </w:p>
        </w:tc>
        <w:tc>
          <w:tcPr>
            <w:tcW w:w="5400" w:type="dxa"/>
          </w:tcPr>
          <w:p w14:paraId="6CBF5F4A" w14:textId="77777777" w:rsidR="00AA02E4" w:rsidRPr="00EF7CF9" w:rsidRDefault="00AA02E4" w:rsidP="00F01ED6">
            <w:pPr>
              <w:pStyle w:val="ProductList-OfferingBody"/>
              <w:jc w:val="center"/>
            </w:pPr>
            <w:r>
              <w:t>25%</w:t>
            </w:r>
          </w:p>
        </w:tc>
      </w:tr>
    </w:tbl>
    <w:bookmarkEnd w:id="205"/>
    <w:p w14:paraId="09429944"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AAEE03E" w14:textId="77777777" w:rsidR="00C71243" w:rsidRPr="00C71243" w:rsidRDefault="00C71243" w:rsidP="00F01ED6">
      <w:pPr>
        <w:pStyle w:val="ProductList-Offering2Heading"/>
        <w:keepNext/>
        <w:tabs>
          <w:tab w:val="clear" w:pos="360"/>
          <w:tab w:val="clear" w:pos="720"/>
          <w:tab w:val="clear" w:pos="1080"/>
        </w:tabs>
        <w:outlineLvl w:val="2"/>
      </w:pPr>
      <w:bookmarkStart w:id="209" w:name="_Toc239176454"/>
      <w:r>
        <w:t>Azure Database for MariaDB</w:t>
      </w:r>
      <w:bookmarkEnd w:id="209"/>
    </w:p>
    <w:p w14:paraId="01DD9227" w14:textId="77777777" w:rsidR="00C71243" w:rsidRPr="00C71243" w:rsidRDefault="00C71243" w:rsidP="00F01ED6">
      <w:pPr>
        <w:pStyle w:val="ProductList-Body"/>
        <w:rPr>
          <w:b/>
          <w:bCs/>
          <w:color w:val="00188F"/>
        </w:rPr>
      </w:pPr>
      <w:r>
        <w:rPr>
          <w:b/>
          <w:bCs/>
          <w:color w:val="00188F"/>
        </w:rPr>
        <w:t>Definições Adicionais</w:t>
      </w:r>
    </w:p>
    <w:p w14:paraId="2C3C9DAA" w14:textId="65F85156" w:rsidR="00C71243" w:rsidRDefault="00380305" w:rsidP="00F01ED6">
      <w:pPr>
        <w:pStyle w:val="ProductList-Body"/>
      </w:pPr>
      <w:r>
        <w:t>“</w:t>
      </w:r>
      <w:r w:rsidR="00C71243">
        <w:rPr>
          <w:b/>
          <w:bCs/>
          <w:color w:val="00188F"/>
        </w:rPr>
        <w:t>Servidor</w:t>
      </w:r>
      <w:r>
        <w:t>”</w:t>
      </w:r>
      <w:r w:rsidR="00C71243">
        <w:t xml:space="preserve"> é uma determinada Base de Dados do Azure para o servidor MariaDB.</w:t>
      </w:r>
    </w:p>
    <w:p w14:paraId="426A35BB" w14:textId="243FC877" w:rsidR="00C71243" w:rsidRPr="00C71243" w:rsidRDefault="00EE6E3C" w:rsidP="009F16F1">
      <w:pPr>
        <w:pStyle w:val="ProductList-Body"/>
        <w:rPr>
          <w:b/>
          <w:bCs/>
          <w:color w:val="00188F"/>
        </w:rPr>
      </w:pPr>
      <w:r>
        <w:rPr>
          <w:b/>
          <w:bCs/>
          <w:color w:val="00188F"/>
        </w:rPr>
        <w:t>Cálculo do Período de Disponibilidade e Níveis de Serviço para Base de Dados do Azure para MariaDB</w:t>
      </w:r>
    </w:p>
    <w:p w14:paraId="7F9C0DD0" w14:textId="0EA27C0A" w:rsidR="00C71243" w:rsidRDefault="00380305" w:rsidP="00F01ED6">
      <w:pPr>
        <w:pStyle w:val="ProductList-Body"/>
      </w:pPr>
      <w:r>
        <w:t>“</w:t>
      </w:r>
      <w:r w:rsidR="00C71243">
        <w:rPr>
          <w:b/>
          <w:bCs/>
          <w:color w:val="00188F"/>
        </w:rPr>
        <w:t>Máximo de Minutos Disponíveis</w:t>
      </w:r>
      <w:r>
        <w:t>”</w:t>
      </w:r>
      <w:r w:rsidR="00C71243">
        <w:t xml:space="preserve"> designa o número total de minutos para um determinado Servidor implementado pelo Cliente numa determinada subscrição do Microsoft Azure durante um Período Aplicável.</w:t>
      </w:r>
    </w:p>
    <w:p w14:paraId="21BFD013" w14:textId="673B6C55" w:rsidR="00C71243" w:rsidRDefault="00380305" w:rsidP="00F01ED6">
      <w:pPr>
        <w:pStyle w:val="ProductList-Body"/>
      </w:pPr>
      <w:r>
        <w:t>“</w:t>
      </w:r>
      <w:r w:rsidR="00C71243">
        <w:rPr>
          <w:b/>
          <w:bCs/>
          <w:color w:val="00188F"/>
        </w:rPr>
        <w:t>Período de Indisponibilidade</w:t>
      </w:r>
      <w:r>
        <w:t>”</w:t>
      </w:r>
      <w:r w:rsidR="00C71243">
        <w:t xml:space="preserve"> designa o número total de minutos durante o Máximo de Minutos Disponíveis durante os quais um Servidor está</w:t>
      </w:r>
      <w:r w:rsidR="00C25207">
        <w:t> </w:t>
      </w:r>
      <w:r w:rsidR="00C71243">
        <w:t>indisponível. Um minuto é considerado indisponível se todas as tentativas contínuas por parte do Cliente para estabelecer uma ligação ao</w:t>
      </w:r>
      <w:r w:rsidR="00C25207">
        <w:t> </w:t>
      </w:r>
      <w:r w:rsidR="00C71243">
        <w:t>Servidor devolveram um Código de Erro.</w:t>
      </w:r>
    </w:p>
    <w:p w14:paraId="0D0C4BE2" w14:textId="2DB594F0" w:rsidR="00C71243" w:rsidRDefault="00C71243" w:rsidP="00F01ED6">
      <w:pPr>
        <w:pStyle w:val="ProductList-Body"/>
      </w:pPr>
      <w:r>
        <w:t xml:space="preserve">A </w:t>
      </w:r>
      <w:r w:rsidR="00380305">
        <w:t>“</w:t>
      </w:r>
      <w:r>
        <w:rPr>
          <w:b/>
          <w:bCs/>
          <w:color w:val="00188F"/>
        </w:rPr>
        <w:t>Percentagem de Período de Disponibilidade</w:t>
      </w:r>
      <w:r w:rsidR="00380305">
        <w:t>”</w:t>
      </w:r>
      <w:r>
        <w:t xml:space="preserve"> para a Base de Dados do Azure para MariaDB é calculada como o Máximo de Minutos Disponíveis menos o Período de Indisponibilidade a dividir pelo Máximo de Minutos Disponíveis.</w:t>
      </w:r>
    </w:p>
    <w:p w14:paraId="2EB00BE0" w14:textId="6FAD217D" w:rsidR="00C71243" w:rsidRDefault="00AC48A7" w:rsidP="00F01ED6">
      <w:pPr>
        <w:pStyle w:val="ProductList-Body"/>
      </w:pPr>
      <w:r>
        <w:t>A Percentagem de Período de Disponibilidade é representada pela seguinte fórmula:</w:t>
      </w:r>
    </w:p>
    <w:p w14:paraId="05B37320" w14:textId="77777777" w:rsidR="00C71243" w:rsidRPr="007C69E0" w:rsidRDefault="00C71243" w:rsidP="00F01ED6">
      <w:pPr>
        <w:pStyle w:val="ProductList-Body"/>
        <w:rPr>
          <w:sz w:val="12"/>
          <w:szCs w:val="12"/>
        </w:rPr>
      </w:pPr>
    </w:p>
    <w:p w14:paraId="505452FD" w14:textId="55DFFA6C" w:rsidR="00C71243" w:rsidRPr="00191B8C" w:rsidRDefault="00000000" w:rsidP="00C55C00">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0F69D4B" w14:textId="77777777" w:rsidR="00C71243" w:rsidRPr="00E80B8A" w:rsidRDefault="00C71243" w:rsidP="00F01ED6">
      <w:pPr>
        <w:pStyle w:val="ProductList-Body"/>
        <w:keepNext/>
        <w:jc w:val="both"/>
        <w:rPr>
          <w:b/>
          <w:bCs/>
          <w:color w:val="00188F"/>
          <w:spacing w:val="-2"/>
        </w:rPr>
      </w:pPr>
      <w:r w:rsidRPr="00E80B8A">
        <w:rPr>
          <w:b/>
          <w:bCs/>
          <w:color w:val="00188F"/>
          <w:spacing w:val="-2"/>
        </w:rPr>
        <w:t>Os seguintes Níveis de Serviço e Créditos de Serviço são aplicáveis à utilização que o Cliente faz da Base de Dados do Microsoft Azure para MariaDB: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34CD5CC" w14:textId="77777777" w:rsidR="00C71243" w:rsidRPr="00EF7CF9" w:rsidRDefault="00C71243" w:rsidP="00F01ED6">
            <w:pPr>
              <w:pStyle w:val="ProductList-OfferingBody"/>
              <w:jc w:val="center"/>
              <w:rPr>
                <w:color w:val="FFFFFF" w:themeColor="background1"/>
              </w:rPr>
            </w:pPr>
            <w:r>
              <w:rPr>
                <w:color w:val="FFFFFF" w:themeColor="background1"/>
              </w:rPr>
              <w:t>Crédito de Serviço</w:t>
            </w:r>
          </w:p>
        </w:tc>
      </w:tr>
      <w:tr w:rsidR="00C71243" w:rsidRPr="00B44CF9" w14:paraId="70F92965" w14:textId="77777777" w:rsidTr="00277097">
        <w:tc>
          <w:tcPr>
            <w:tcW w:w="5400" w:type="dxa"/>
          </w:tcPr>
          <w:p w14:paraId="66D21EEE" w14:textId="00C67912" w:rsidR="00C71243" w:rsidRPr="00EF7CF9" w:rsidRDefault="00C71243" w:rsidP="00F01ED6">
            <w:pPr>
              <w:pStyle w:val="ProductList-OfferingBody"/>
              <w:jc w:val="center"/>
            </w:pPr>
            <w:r>
              <w:t>&lt; 99,99%</w:t>
            </w:r>
          </w:p>
        </w:tc>
        <w:tc>
          <w:tcPr>
            <w:tcW w:w="5400" w:type="dxa"/>
          </w:tcPr>
          <w:p w14:paraId="25F98893" w14:textId="77777777" w:rsidR="00C71243" w:rsidRPr="00EF7CF9" w:rsidRDefault="00C71243" w:rsidP="00F01ED6">
            <w:pPr>
              <w:pStyle w:val="ProductList-OfferingBody"/>
              <w:jc w:val="center"/>
            </w:pPr>
            <w:r>
              <w:t>10%</w:t>
            </w:r>
          </w:p>
        </w:tc>
      </w:tr>
      <w:tr w:rsidR="00C71243" w:rsidRPr="00B44CF9" w14:paraId="18AFD382" w14:textId="77777777" w:rsidTr="00277097">
        <w:tc>
          <w:tcPr>
            <w:tcW w:w="5400" w:type="dxa"/>
          </w:tcPr>
          <w:p w14:paraId="21B5F829" w14:textId="77777777" w:rsidR="00C71243" w:rsidRPr="00EF7CF9" w:rsidRDefault="00C71243" w:rsidP="00F01ED6">
            <w:pPr>
              <w:pStyle w:val="ProductList-OfferingBody"/>
              <w:jc w:val="center"/>
            </w:pPr>
            <w:r>
              <w:t>&lt; 99%</w:t>
            </w:r>
          </w:p>
        </w:tc>
        <w:tc>
          <w:tcPr>
            <w:tcW w:w="5400" w:type="dxa"/>
          </w:tcPr>
          <w:p w14:paraId="5CFE0918" w14:textId="77777777" w:rsidR="00C71243" w:rsidRPr="00EF7CF9" w:rsidRDefault="00C71243" w:rsidP="00F01ED6">
            <w:pPr>
              <w:pStyle w:val="ProductList-OfferingBody"/>
              <w:jc w:val="center"/>
            </w:pPr>
            <w:r>
              <w:t>25%</w:t>
            </w:r>
          </w:p>
        </w:tc>
      </w:tr>
      <w:tr w:rsidR="00C71243" w:rsidRPr="00B44CF9" w14:paraId="16CB6AA2" w14:textId="77777777" w:rsidTr="00277097">
        <w:tc>
          <w:tcPr>
            <w:tcW w:w="5400" w:type="dxa"/>
          </w:tcPr>
          <w:p w14:paraId="64D2162F" w14:textId="5B84F213" w:rsidR="00C71243" w:rsidRPr="00EF7CF9" w:rsidRDefault="00C71243" w:rsidP="00F01ED6">
            <w:pPr>
              <w:pStyle w:val="ProductList-OfferingBody"/>
              <w:jc w:val="center"/>
            </w:pPr>
            <w:r>
              <w:t>&lt; 95%</w:t>
            </w:r>
          </w:p>
        </w:tc>
        <w:tc>
          <w:tcPr>
            <w:tcW w:w="5400" w:type="dxa"/>
          </w:tcPr>
          <w:p w14:paraId="6AA9FFE9" w14:textId="14A3DFC2" w:rsidR="00C71243" w:rsidRPr="00EF7CF9" w:rsidRDefault="00C71243" w:rsidP="00F01ED6">
            <w:pPr>
              <w:pStyle w:val="ProductList-OfferingBody"/>
              <w:jc w:val="center"/>
            </w:pPr>
            <w:r>
              <w:t>100%</w:t>
            </w:r>
          </w:p>
        </w:tc>
      </w:tr>
    </w:tbl>
    <w:p w14:paraId="0BAFEBA8"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03A25C8" w14:textId="0EEE7C79" w:rsidR="004005AF" w:rsidRDefault="004005AF" w:rsidP="00F01ED6">
      <w:pPr>
        <w:pStyle w:val="ProductList-Offering2Heading"/>
        <w:tabs>
          <w:tab w:val="clear" w:pos="360"/>
          <w:tab w:val="clear" w:pos="720"/>
          <w:tab w:val="clear" w:pos="1080"/>
        </w:tabs>
        <w:outlineLvl w:val="2"/>
      </w:pPr>
      <w:bookmarkStart w:id="210" w:name="_Toc239176455"/>
      <w:r>
        <w:t>Base de Dados do Azure para MySQL</w:t>
      </w:r>
      <w:bookmarkEnd w:id="196"/>
      <w:bookmarkEnd w:id="197"/>
      <w:bookmarkEnd w:id="210"/>
    </w:p>
    <w:p w14:paraId="01C85662" w14:textId="77777777" w:rsidR="004005AF" w:rsidRPr="00C950BA" w:rsidRDefault="004005AF" w:rsidP="00F01ED6">
      <w:pPr>
        <w:pStyle w:val="ProductList-Body"/>
        <w:rPr>
          <w:b/>
          <w:color w:val="00188F"/>
        </w:rPr>
      </w:pPr>
      <w:r>
        <w:rPr>
          <w:b/>
          <w:color w:val="00188F"/>
        </w:rPr>
        <w:t>Base de Dados do Microsoft Azure para MySQL – Servidor Único</w:t>
      </w:r>
    </w:p>
    <w:p w14:paraId="7DA6904A" w14:textId="77777777" w:rsidR="004005AF" w:rsidRPr="00DA6241" w:rsidRDefault="004005AF" w:rsidP="00F01ED6">
      <w:pPr>
        <w:pStyle w:val="ProductList-Body"/>
      </w:pPr>
      <w:r>
        <w:rPr>
          <w:b/>
          <w:color w:val="00188F"/>
        </w:rPr>
        <w:t>Definições Adicionais</w:t>
      </w:r>
      <w:r w:rsidRPr="00473DD3">
        <w:rPr>
          <w:b/>
          <w:color w:val="00188F"/>
        </w:rPr>
        <w:t>:</w:t>
      </w:r>
    </w:p>
    <w:p w14:paraId="79FA6AE8" w14:textId="57354AE0" w:rsidR="004005AF" w:rsidRPr="009D08F6" w:rsidRDefault="00380305" w:rsidP="00F01ED6">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Servidor</w:t>
      </w:r>
      <w:r>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é qualquer servidor de Base de Dados do Azure para MySQL - Servidor Único.</w:t>
      </w:r>
    </w:p>
    <w:p w14:paraId="16E43926" w14:textId="301F0F97" w:rsidR="004005AF" w:rsidRPr="00ED4527" w:rsidRDefault="00EE6E3C" w:rsidP="00F01ED6">
      <w:pPr>
        <w:spacing w:after="0" w:line="240" w:lineRule="auto"/>
        <w:rPr>
          <w:b/>
          <w:bCs/>
          <w:color w:val="00188F"/>
          <w:sz w:val="18"/>
        </w:rPr>
      </w:pPr>
      <w:r>
        <w:rPr>
          <w:b/>
          <w:bCs/>
          <w:color w:val="00188F"/>
          <w:sz w:val="18"/>
        </w:rPr>
        <w:t>Cálculo do Período de Disponibilidade e Níveis de Serviço para a Base de Dados do Microsoft Azure para MySQL - Servidor Único</w:t>
      </w:r>
    </w:p>
    <w:p w14:paraId="4C712BD0" w14:textId="38CAC1D3" w:rsidR="004005AF" w:rsidRPr="009D08F6" w:rsidRDefault="00380305" w:rsidP="00F01ED6">
      <w:pPr>
        <w:spacing w:after="0" w:line="240" w:lineRule="auto"/>
        <w:rPr>
          <w:sz w:val="18"/>
        </w:rPr>
      </w:pPr>
      <w:r>
        <w:rPr>
          <w:sz w:val="18"/>
        </w:rPr>
        <w:t>“</w:t>
      </w:r>
      <w:r w:rsidR="004005AF">
        <w:rPr>
          <w:b/>
          <w:color w:val="00188F"/>
          <w:sz w:val="18"/>
        </w:rPr>
        <w:t>Máximo de Minutos Disponíveis</w:t>
      </w:r>
      <w:r>
        <w:rPr>
          <w:sz w:val="18"/>
        </w:rPr>
        <w:t>”</w:t>
      </w:r>
      <w:r w:rsidR="004005AF">
        <w:rPr>
          <w:rFonts w:eastAsiaTheme="minorEastAsia" w:cstheme="minorHAnsi"/>
          <w:sz w:val="18"/>
          <w:szCs w:val="18"/>
        </w:rPr>
        <w:t xml:space="preserve"> </w:t>
      </w:r>
      <w:r w:rsidR="004005AF">
        <w:rPr>
          <w:sz w:val="18"/>
        </w:rPr>
        <w:t>designa o número total de minutos para um determinado Servidor implementado pelo Cliente numa determinada subscrição do Microsoft Azure durante um Período Aplicável.</w:t>
      </w:r>
    </w:p>
    <w:p w14:paraId="2CAAAF91" w14:textId="491EA661" w:rsidR="004005AF" w:rsidRPr="00B44CF9" w:rsidRDefault="00380305" w:rsidP="00F01ED6">
      <w:pPr>
        <w:spacing w:after="0" w:line="240" w:lineRule="auto"/>
        <w:rPr>
          <w:rFonts w:eastAsiaTheme="minorEastAsia" w:cstheme="minorHAnsi"/>
          <w:sz w:val="18"/>
          <w:szCs w:val="18"/>
          <w:lang w:eastAsia="zh-TW"/>
        </w:rPr>
      </w:pPr>
      <w:r>
        <w:rPr>
          <w:sz w:val="18"/>
        </w:rPr>
        <w:t>“</w:t>
      </w:r>
      <w:r w:rsidR="004005AF">
        <w:rPr>
          <w:b/>
          <w:color w:val="00188F"/>
          <w:sz w:val="18"/>
        </w:rPr>
        <w:t>Período de Indisponibilidade</w:t>
      </w:r>
      <w:r>
        <w:rPr>
          <w:sz w:val="18"/>
        </w:rPr>
        <w:t>”</w:t>
      </w:r>
      <w:r w:rsidR="004005AF">
        <w:rPr>
          <w:rFonts w:eastAsiaTheme="minorEastAsia" w:cstheme="minorHAnsi"/>
          <w:sz w:val="18"/>
          <w:szCs w:val="18"/>
        </w:rPr>
        <w:t xml:space="preserve"> </w:t>
      </w:r>
      <w:r w:rsidR="004005AF">
        <w:rPr>
          <w:sz w:val="18"/>
        </w:rPr>
        <w:t>designa o número total de minutos durante o Máximo de Minutos Disponíveis durante os quais um Servidor está indisponível. Um minuto é considerado indisponível se todas as tentativas contínuas por parte do Cliente para estabelecer uma ligação ao Servidor devolveram um Código de Erro.</w:t>
      </w:r>
    </w:p>
    <w:p w14:paraId="2B1E21D2" w14:textId="1597D846" w:rsidR="004005AF" w:rsidRDefault="004005AF" w:rsidP="00F01ED6">
      <w:pPr>
        <w:pStyle w:val="ProductList-Body"/>
      </w:pPr>
      <w:r>
        <w:t xml:space="preserve">A </w:t>
      </w:r>
      <w:r w:rsidR="00380305" w:rsidRPr="00380305">
        <w:t>“</w:t>
      </w:r>
      <w:r>
        <w:rPr>
          <w:b/>
          <w:color w:val="00188F"/>
        </w:rPr>
        <w:t>Percentagem de Período de Disponibilidade</w:t>
      </w:r>
      <w:r w:rsidR="00380305">
        <w:t>”</w:t>
      </w:r>
      <w:r>
        <w:t xml:space="preserve"> para a Base de Dados do Azure para MySQL é calculada como o Máximo de Minutos Disponíveis menos o Período de Indisponibilidade a dividir pelo Máximo de Minutos Disponíveis. </w:t>
      </w:r>
    </w:p>
    <w:p w14:paraId="3E044E74" w14:textId="7E3F4AD8" w:rsidR="004005AF" w:rsidRDefault="004005AF" w:rsidP="00F01ED6">
      <w:pPr>
        <w:pStyle w:val="ProductList-Body"/>
      </w:pPr>
      <w:r>
        <w:t xml:space="preserve">A Percentagem de Período de Disponibilidade é calculada através da seguinte fórmula: </w:t>
      </w:r>
    </w:p>
    <w:p w14:paraId="464297D3" w14:textId="77777777" w:rsidR="004005AF" w:rsidRPr="007C69E0" w:rsidRDefault="004005AF" w:rsidP="00F01ED6">
      <w:pPr>
        <w:pStyle w:val="ProductList-Body"/>
        <w:rPr>
          <w:sz w:val="12"/>
          <w:szCs w:val="12"/>
        </w:rPr>
      </w:pPr>
    </w:p>
    <w:p w14:paraId="03C751C6" w14:textId="45465677" w:rsidR="004005AF" w:rsidRPr="00191B8C" w:rsidRDefault="00000000" w:rsidP="00C55C00">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098BD6C" w14:textId="77777777" w:rsidR="004005AF" w:rsidRDefault="004005AF" w:rsidP="00F01ED6">
      <w:pPr>
        <w:pStyle w:val="ProductList-Body"/>
      </w:pPr>
      <w:r>
        <w:rPr>
          <w:b/>
          <w:color w:val="00188F"/>
        </w:rPr>
        <w:t>Os seguintes Níveis de Serviço e Créditos de Serviço são aplicáveis à utilização que o Cliente faz da Base de Dados do Azure para MySQL – Servidor Único: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F01ED6">
            <w:pPr>
              <w:pStyle w:val="ProductList-OfferingBody"/>
              <w:jc w:val="center"/>
              <w:rPr>
                <w:color w:val="FFFFFF" w:themeColor="background1"/>
              </w:rPr>
            </w:pPr>
            <w:r>
              <w:rPr>
                <w:color w:val="FFFFFF" w:themeColor="background1"/>
              </w:rPr>
              <w:lastRenderedPageBreak/>
              <w:t>Percentagem de Período de Disponibilidade</w:t>
            </w:r>
          </w:p>
        </w:tc>
        <w:tc>
          <w:tcPr>
            <w:tcW w:w="5400" w:type="dxa"/>
            <w:shd w:val="clear" w:color="auto" w:fill="0072C6"/>
          </w:tcPr>
          <w:p w14:paraId="0F4B1867"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5AA55FA9" w14:textId="77777777" w:rsidTr="00277097">
        <w:tc>
          <w:tcPr>
            <w:tcW w:w="5400" w:type="dxa"/>
          </w:tcPr>
          <w:p w14:paraId="7AA8C5CD" w14:textId="77777777" w:rsidR="004005AF" w:rsidRPr="0076238C" w:rsidRDefault="004005AF" w:rsidP="00F01ED6">
            <w:pPr>
              <w:pStyle w:val="ProductList-OfferingBody"/>
              <w:jc w:val="center"/>
            </w:pPr>
            <w:r>
              <w:t>&lt; 99,99%</w:t>
            </w:r>
          </w:p>
        </w:tc>
        <w:tc>
          <w:tcPr>
            <w:tcW w:w="5400" w:type="dxa"/>
          </w:tcPr>
          <w:p w14:paraId="37B94C00" w14:textId="77777777" w:rsidR="004005AF" w:rsidRPr="0076238C" w:rsidRDefault="004005AF" w:rsidP="00F01ED6">
            <w:pPr>
              <w:pStyle w:val="ProductList-OfferingBody"/>
              <w:jc w:val="center"/>
            </w:pPr>
            <w:r>
              <w:t>10%</w:t>
            </w:r>
          </w:p>
        </w:tc>
      </w:tr>
      <w:tr w:rsidR="004005AF" w:rsidRPr="00B44CF9" w14:paraId="4370C4C8" w14:textId="77777777" w:rsidTr="00277097">
        <w:tc>
          <w:tcPr>
            <w:tcW w:w="5400" w:type="dxa"/>
          </w:tcPr>
          <w:p w14:paraId="1553B110" w14:textId="77777777" w:rsidR="004005AF" w:rsidRPr="0076238C" w:rsidRDefault="004005AF" w:rsidP="00F01ED6">
            <w:pPr>
              <w:pStyle w:val="ProductList-OfferingBody"/>
              <w:jc w:val="center"/>
            </w:pPr>
            <w:r>
              <w:t>&lt; 99%</w:t>
            </w:r>
          </w:p>
        </w:tc>
        <w:tc>
          <w:tcPr>
            <w:tcW w:w="5400" w:type="dxa"/>
          </w:tcPr>
          <w:p w14:paraId="46BC5E0C" w14:textId="77777777" w:rsidR="004005AF" w:rsidRPr="0076238C" w:rsidRDefault="004005AF" w:rsidP="00F01ED6">
            <w:pPr>
              <w:pStyle w:val="ProductList-OfferingBody"/>
              <w:jc w:val="center"/>
            </w:pPr>
            <w:r>
              <w:t>25%</w:t>
            </w:r>
          </w:p>
        </w:tc>
      </w:tr>
      <w:tr w:rsidR="004005AF" w:rsidRPr="00B44CF9" w14:paraId="326F0C86" w14:textId="77777777" w:rsidTr="00277097">
        <w:tc>
          <w:tcPr>
            <w:tcW w:w="5400" w:type="dxa"/>
          </w:tcPr>
          <w:p w14:paraId="5839FF00" w14:textId="77777777" w:rsidR="004005AF" w:rsidRPr="0076238C" w:rsidRDefault="004005AF" w:rsidP="00F01ED6">
            <w:pPr>
              <w:pStyle w:val="ProductList-OfferingBody"/>
              <w:jc w:val="center"/>
            </w:pPr>
            <w:r>
              <w:t>&lt; 95%</w:t>
            </w:r>
          </w:p>
        </w:tc>
        <w:tc>
          <w:tcPr>
            <w:tcW w:w="5400" w:type="dxa"/>
          </w:tcPr>
          <w:p w14:paraId="43F894BE" w14:textId="77777777" w:rsidR="004005AF" w:rsidRDefault="004005AF" w:rsidP="00F01ED6">
            <w:pPr>
              <w:pStyle w:val="ProductList-OfferingBody"/>
              <w:jc w:val="center"/>
            </w:pPr>
            <w:r>
              <w:t>100%</w:t>
            </w:r>
          </w:p>
        </w:tc>
      </w:tr>
    </w:tbl>
    <w:p w14:paraId="60DC947B" w14:textId="77777777" w:rsidR="004005AF" w:rsidRPr="00ED4527" w:rsidRDefault="004005AF" w:rsidP="007C69E0">
      <w:pPr>
        <w:pStyle w:val="ProductList-Body"/>
        <w:tabs>
          <w:tab w:val="clear" w:pos="360"/>
          <w:tab w:val="clear" w:pos="720"/>
          <w:tab w:val="clear" w:pos="1080"/>
        </w:tabs>
        <w:spacing w:before="120"/>
        <w:rPr>
          <w:b/>
          <w:bCs/>
        </w:rPr>
      </w:pPr>
      <w:bookmarkStart w:id="211" w:name="_Toc513395511"/>
      <w:r>
        <w:rPr>
          <w:b/>
          <w:bCs/>
          <w:color w:val="00188F"/>
        </w:rPr>
        <w:t>Base de Dados do Microsoft Azure para MySQL – Servidor Flexível</w:t>
      </w:r>
    </w:p>
    <w:p w14:paraId="093919F0" w14:textId="77777777" w:rsidR="004005AF" w:rsidRPr="00DA6241" w:rsidRDefault="004005AF" w:rsidP="00F01ED6">
      <w:pPr>
        <w:pStyle w:val="ProductList-Body"/>
      </w:pPr>
      <w:r>
        <w:rPr>
          <w:b/>
          <w:color w:val="00188F"/>
        </w:rPr>
        <w:t>Definições Adicionais</w:t>
      </w:r>
      <w:r w:rsidRPr="00473DD3">
        <w:rPr>
          <w:b/>
          <w:color w:val="00188F"/>
        </w:rPr>
        <w:t>:</w:t>
      </w:r>
    </w:p>
    <w:p w14:paraId="6EA4CB33" w14:textId="3779B439" w:rsidR="004005AF" w:rsidRPr="009D08F6" w:rsidRDefault="00380305" w:rsidP="00F01ED6">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Servidor</w:t>
      </w:r>
      <w:r>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é qualquer servidor de Base de Dados do Azure para MySQL - Servidor Flexível.</w:t>
      </w:r>
    </w:p>
    <w:p w14:paraId="43145A83" w14:textId="7F438180" w:rsidR="004005AF" w:rsidRDefault="00380305" w:rsidP="00F01ED6">
      <w:pPr>
        <w:pStyle w:val="ProductList-Body"/>
        <w:tabs>
          <w:tab w:val="clear" w:pos="360"/>
          <w:tab w:val="clear" w:pos="720"/>
          <w:tab w:val="clear" w:pos="1080"/>
        </w:tabs>
      </w:pPr>
      <w:r w:rsidRPr="00380305">
        <w:t>“</w:t>
      </w:r>
      <w:r w:rsidR="004005AF">
        <w:rPr>
          <w:b/>
          <w:bCs/>
          <w:color w:val="00188F"/>
        </w:rPr>
        <w:t>Elevada Disponibilidade</w:t>
      </w:r>
      <w:r w:rsidRPr="00380305">
        <w:t>”</w:t>
      </w:r>
      <w:r w:rsidR="004005AF">
        <w:t xml:space="preserve"> no contexto de Servidor Flexível designa um conjunto de servidores de Elevada Disponibilidade (Principal e de reserva) implementado na redundância entre zonas ou na redundância na mesma zona.</w:t>
      </w:r>
    </w:p>
    <w:p w14:paraId="7EE13E82" w14:textId="463674D0" w:rsidR="004005AF" w:rsidRPr="00ED4527" w:rsidRDefault="00EE6E3C" w:rsidP="00F01ED6">
      <w:pPr>
        <w:pStyle w:val="ProductList-Body"/>
        <w:rPr>
          <w:b/>
          <w:bCs/>
          <w:color w:val="00188F"/>
        </w:rPr>
      </w:pPr>
      <w:r>
        <w:rPr>
          <w:b/>
          <w:bCs/>
          <w:color w:val="00188F"/>
        </w:rPr>
        <w:t>Cálculo do Período de Disponibilidade e Níveis de Serviço para a Base de Dados do Microsoft Azure para MySQL - Servidor Flexível</w:t>
      </w:r>
    </w:p>
    <w:p w14:paraId="22280926" w14:textId="3E9DC27A" w:rsidR="004005AF" w:rsidRDefault="00380305" w:rsidP="00F01ED6">
      <w:pPr>
        <w:pStyle w:val="ProductList-Body"/>
      </w:pPr>
      <w:r w:rsidRPr="00380305">
        <w:t>“</w:t>
      </w:r>
      <w:r w:rsidR="004005AF">
        <w:rPr>
          <w:b/>
          <w:bCs/>
          <w:color w:val="00188F"/>
        </w:rPr>
        <w:t>Máximo de Minutos Disponíveis</w:t>
      </w:r>
      <w:r w:rsidRPr="00380305">
        <w:t>”</w:t>
      </w:r>
      <w:r w:rsidR="004005AF">
        <w:t xml:space="preserve"> designa o número total de minutos para um determinado Servidor implementado pelo Cliente numa determinada subscrição do Microsoft Azure durante um Período Aplicável.</w:t>
      </w:r>
    </w:p>
    <w:p w14:paraId="74F3BD76" w14:textId="5AC74441" w:rsidR="004005AF" w:rsidRDefault="00380305" w:rsidP="00F01ED6">
      <w:pPr>
        <w:pStyle w:val="ProductList-Body"/>
      </w:pPr>
      <w:r w:rsidRPr="00380305">
        <w:t>“</w:t>
      </w:r>
      <w:r w:rsidR="004005AF">
        <w:rPr>
          <w:b/>
          <w:bCs/>
          <w:color w:val="00188F"/>
        </w:rPr>
        <w:t>Período de Indisponibilidade</w:t>
      </w:r>
      <w:r w:rsidRPr="00380305">
        <w:t>”</w:t>
      </w:r>
      <w:r w:rsidR="004005AF">
        <w:t xml:space="preserve"> designa o número total de minutos durante o Máximo de Minutos Disponíveis durante os quais um Servidor está indisponível. Um minuto é considerado indisponível se todas as tentativas contínuas por parte do Cliente para estabelecer uma ligação ao Servidor não foram concluídas com êxito.</w:t>
      </w:r>
    </w:p>
    <w:p w14:paraId="45B83CB8" w14:textId="58E5C996" w:rsidR="004005AF" w:rsidRDefault="004005AF" w:rsidP="00F01ED6">
      <w:pPr>
        <w:pStyle w:val="ProductList-Body"/>
      </w:pPr>
      <w:r>
        <w:t xml:space="preserve">A </w:t>
      </w:r>
      <w:r w:rsidR="00380305" w:rsidRPr="00380305">
        <w:t>“</w:t>
      </w:r>
      <w:r>
        <w:rPr>
          <w:b/>
          <w:bCs/>
          <w:color w:val="00188F"/>
        </w:rPr>
        <w:t>Percentagem de Período de Disponibilidade</w:t>
      </w:r>
      <w:r w:rsidR="00380305" w:rsidRPr="00380305">
        <w:t>”</w:t>
      </w:r>
      <w:r>
        <w:t xml:space="preserve"> para a Base de Dados do Azure para MySQL - Servidor Flexível é calculada como o Máximo de Minutos Disponíveis menos o Período de Indisponibilidade a dividir pelo Máximo de Minutos Disponíveis.</w:t>
      </w:r>
    </w:p>
    <w:p w14:paraId="47FE4B91" w14:textId="3F23E174" w:rsidR="004005AF" w:rsidRDefault="00AC48A7" w:rsidP="00F01ED6">
      <w:pPr>
        <w:pStyle w:val="ProductList-Body"/>
        <w:tabs>
          <w:tab w:val="clear" w:pos="360"/>
          <w:tab w:val="clear" w:pos="720"/>
          <w:tab w:val="clear" w:pos="1080"/>
        </w:tabs>
      </w:pPr>
      <w:r>
        <w:t>A Percentagem de Período de Disponibilidade é representada pela seguinte fórmula:</w:t>
      </w:r>
    </w:p>
    <w:p w14:paraId="01A5C2A9" w14:textId="77777777" w:rsidR="004005AF" w:rsidRPr="007C69E0" w:rsidRDefault="004005AF" w:rsidP="00F01ED6">
      <w:pPr>
        <w:pStyle w:val="ProductList-Body"/>
        <w:rPr>
          <w:sz w:val="12"/>
          <w:szCs w:val="12"/>
        </w:rPr>
      </w:pPr>
    </w:p>
    <w:p w14:paraId="4F297DB9" w14:textId="33DD414F" w:rsidR="004005AF" w:rsidRPr="00191B8C" w:rsidRDefault="00000000" w:rsidP="00C55C00">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5C9021F" w14:textId="77777777" w:rsidR="004005AF" w:rsidRDefault="004005AF" w:rsidP="00F01ED6">
      <w:pPr>
        <w:pStyle w:val="ProductList-Body"/>
        <w:keepNext/>
      </w:pPr>
      <w:r>
        <w:rPr>
          <w:b/>
          <w:color w:val="00188F"/>
        </w:rPr>
        <w:t>Os seguintes Níveis de Serviço e Créditos de Serviço são aplicáveis à utilização que o Cliente faz da Base de Dados do Azure para MySQL – Servidor Flexível configurada no modo de Elevada Disponibilidade com redundância entre zonas: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1AA9BA6"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1EB5028C" w14:textId="77777777" w:rsidTr="00277097">
        <w:tc>
          <w:tcPr>
            <w:tcW w:w="5400" w:type="dxa"/>
          </w:tcPr>
          <w:p w14:paraId="6FD2FC8E" w14:textId="77777777" w:rsidR="004005AF" w:rsidRPr="0076238C" w:rsidRDefault="004005AF" w:rsidP="00F01ED6">
            <w:pPr>
              <w:pStyle w:val="ProductList-OfferingBody"/>
              <w:jc w:val="center"/>
            </w:pPr>
            <w:r>
              <w:t>Menos de 99,99% e superior ou igual a 99%</w:t>
            </w:r>
          </w:p>
        </w:tc>
        <w:tc>
          <w:tcPr>
            <w:tcW w:w="5400" w:type="dxa"/>
          </w:tcPr>
          <w:p w14:paraId="0C2FBEBD" w14:textId="77777777" w:rsidR="004005AF" w:rsidRPr="0076238C" w:rsidRDefault="004005AF" w:rsidP="00F01ED6">
            <w:pPr>
              <w:pStyle w:val="ProductList-OfferingBody"/>
              <w:jc w:val="center"/>
            </w:pPr>
            <w:r>
              <w:t>10%</w:t>
            </w:r>
          </w:p>
        </w:tc>
      </w:tr>
      <w:tr w:rsidR="004005AF" w:rsidRPr="00B44CF9" w14:paraId="5FE2B654" w14:textId="77777777" w:rsidTr="00277097">
        <w:tc>
          <w:tcPr>
            <w:tcW w:w="5400" w:type="dxa"/>
          </w:tcPr>
          <w:p w14:paraId="212F7CF1" w14:textId="77777777" w:rsidR="004005AF" w:rsidRPr="0076238C" w:rsidRDefault="004005AF" w:rsidP="00F01ED6">
            <w:pPr>
              <w:pStyle w:val="ProductList-OfferingBody"/>
              <w:jc w:val="center"/>
            </w:pPr>
            <w:r>
              <w:t>Menos de 99% e superior ou igual a 95%</w:t>
            </w:r>
          </w:p>
        </w:tc>
        <w:tc>
          <w:tcPr>
            <w:tcW w:w="5400" w:type="dxa"/>
          </w:tcPr>
          <w:p w14:paraId="35D8F95A" w14:textId="77777777" w:rsidR="004005AF" w:rsidRPr="0076238C" w:rsidRDefault="004005AF" w:rsidP="00F01ED6">
            <w:pPr>
              <w:pStyle w:val="ProductList-OfferingBody"/>
              <w:jc w:val="center"/>
            </w:pPr>
            <w:r>
              <w:t>25%</w:t>
            </w:r>
          </w:p>
        </w:tc>
      </w:tr>
      <w:tr w:rsidR="004005AF" w:rsidRPr="00B44CF9" w14:paraId="6D2C93E4" w14:textId="77777777" w:rsidTr="00277097">
        <w:tc>
          <w:tcPr>
            <w:tcW w:w="5400" w:type="dxa"/>
          </w:tcPr>
          <w:p w14:paraId="17799D0B" w14:textId="77777777" w:rsidR="004005AF" w:rsidRPr="0076238C" w:rsidRDefault="004005AF" w:rsidP="00F01ED6">
            <w:pPr>
              <w:pStyle w:val="ProductList-OfferingBody"/>
              <w:jc w:val="center"/>
            </w:pPr>
            <w:r>
              <w:t>&lt; 95%</w:t>
            </w:r>
          </w:p>
        </w:tc>
        <w:tc>
          <w:tcPr>
            <w:tcW w:w="5400" w:type="dxa"/>
          </w:tcPr>
          <w:p w14:paraId="2F8A7162" w14:textId="77777777" w:rsidR="004005AF" w:rsidRDefault="004005AF" w:rsidP="00F01ED6">
            <w:pPr>
              <w:pStyle w:val="ProductList-OfferingBody"/>
              <w:jc w:val="center"/>
            </w:pPr>
            <w:r>
              <w:t>100%</w:t>
            </w:r>
          </w:p>
        </w:tc>
      </w:tr>
    </w:tbl>
    <w:p w14:paraId="6232831E" w14:textId="77777777" w:rsidR="004005AF" w:rsidRPr="007C69E0" w:rsidRDefault="004005AF" w:rsidP="00F01ED6">
      <w:pPr>
        <w:pStyle w:val="ProductList-Body"/>
        <w:tabs>
          <w:tab w:val="clear" w:pos="360"/>
          <w:tab w:val="clear" w:pos="720"/>
          <w:tab w:val="clear" w:pos="1080"/>
        </w:tabs>
        <w:rPr>
          <w:sz w:val="12"/>
          <w:szCs w:val="12"/>
        </w:rPr>
      </w:pPr>
    </w:p>
    <w:p w14:paraId="46DD0850" w14:textId="77777777" w:rsidR="004005AF" w:rsidRDefault="004005AF" w:rsidP="00F01ED6">
      <w:pPr>
        <w:pStyle w:val="ProductList-Body"/>
        <w:keepNext/>
      </w:pPr>
      <w:r>
        <w:rPr>
          <w:b/>
          <w:color w:val="00188F"/>
        </w:rPr>
        <w:t>Os seguintes Níveis de Serviço e Créditos de Serviço são aplicáveis à utilização que o Cliente faz da Base de Dados do Azure para MySQL – Servidor Flexível configurada no modo de Elevada Disponibilidade na mesma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F85FD67"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75F74B71" w14:textId="77777777" w:rsidTr="00277097">
        <w:tc>
          <w:tcPr>
            <w:tcW w:w="5400" w:type="dxa"/>
          </w:tcPr>
          <w:p w14:paraId="6B5D0407" w14:textId="77777777" w:rsidR="004005AF" w:rsidRPr="0076238C" w:rsidRDefault="004005AF" w:rsidP="00F01ED6">
            <w:pPr>
              <w:pStyle w:val="ProductList-OfferingBody"/>
              <w:jc w:val="center"/>
            </w:pPr>
            <w:r>
              <w:t>Menos de 99,95% e superior ou igual a 99%</w:t>
            </w:r>
          </w:p>
        </w:tc>
        <w:tc>
          <w:tcPr>
            <w:tcW w:w="5400" w:type="dxa"/>
          </w:tcPr>
          <w:p w14:paraId="6A706C4A" w14:textId="77777777" w:rsidR="004005AF" w:rsidRPr="0076238C" w:rsidRDefault="004005AF" w:rsidP="00F01ED6">
            <w:pPr>
              <w:pStyle w:val="ProductList-OfferingBody"/>
              <w:jc w:val="center"/>
            </w:pPr>
            <w:r>
              <w:t>10%</w:t>
            </w:r>
          </w:p>
        </w:tc>
      </w:tr>
      <w:tr w:rsidR="004005AF" w:rsidRPr="00B44CF9" w14:paraId="0FA5165A" w14:textId="77777777" w:rsidTr="00277097">
        <w:tc>
          <w:tcPr>
            <w:tcW w:w="5400" w:type="dxa"/>
          </w:tcPr>
          <w:p w14:paraId="2B1611DB" w14:textId="77777777" w:rsidR="004005AF" w:rsidRPr="0076238C" w:rsidRDefault="004005AF" w:rsidP="00F01ED6">
            <w:pPr>
              <w:pStyle w:val="ProductList-OfferingBody"/>
              <w:jc w:val="center"/>
            </w:pPr>
            <w:r>
              <w:t>&lt; 99%</w:t>
            </w:r>
          </w:p>
        </w:tc>
        <w:tc>
          <w:tcPr>
            <w:tcW w:w="5400" w:type="dxa"/>
          </w:tcPr>
          <w:p w14:paraId="08B7D64E" w14:textId="77777777" w:rsidR="004005AF" w:rsidRPr="0076238C" w:rsidRDefault="004005AF" w:rsidP="00F01ED6">
            <w:pPr>
              <w:pStyle w:val="ProductList-OfferingBody"/>
              <w:jc w:val="center"/>
            </w:pPr>
            <w:r>
              <w:t>25%</w:t>
            </w:r>
          </w:p>
        </w:tc>
      </w:tr>
    </w:tbl>
    <w:p w14:paraId="4B572E05" w14:textId="77777777" w:rsidR="004005AF" w:rsidRPr="007C69E0" w:rsidRDefault="004005AF" w:rsidP="00F01ED6">
      <w:pPr>
        <w:pStyle w:val="ProductList-Body"/>
        <w:tabs>
          <w:tab w:val="clear" w:pos="360"/>
          <w:tab w:val="clear" w:pos="720"/>
          <w:tab w:val="clear" w:pos="1080"/>
        </w:tabs>
        <w:rPr>
          <w:sz w:val="12"/>
          <w:szCs w:val="12"/>
        </w:rPr>
      </w:pPr>
    </w:p>
    <w:p w14:paraId="6A8D5FEA" w14:textId="77777777" w:rsidR="004005AF" w:rsidRDefault="004005AF" w:rsidP="00F01ED6">
      <w:pPr>
        <w:pStyle w:val="ProductList-Body"/>
        <w:keepNext/>
      </w:pPr>
      <w:r>
        <w:rPr>
          <w:b/>
          <w:color w:val="00188F"/>
        </w:rPr>
        <w:t>Os seguintes Níveis de Serviço e Créditos de Serviço são aplicáveis à utilização que o Cliente faz da Base de Dados do Azure para MySQL – Servidor Flexível que não esteja configurado no modo de Elevada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29EE20F"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7EA9A976" w14:textId="77777777" w:rsidTr="00277097">
        <w:tc>
          <w:tcPr>
            <w:tcW w:w="5400" w:type="dxa"/>
          </w:tcPr>
          <w:p w14:paraId="20157DEE" w14:textId="77777777" w:rsidR="004005AF" w:rsidRPr="0076238C" w:rsidRDefault="004005AF" w:rsidP="00F01ED6">
            <w:pPr>
              <w:pStyle w:val="ProductList-OfferingBody"/>
              <w:jc w:val="center"/>
            </w:pPr>
            <w:r>
              <w:t>Menos de 99,9% e superior ou igual a 99%</w:t>
            </w:r>
          </w:p>
        </w:tc>
        <w:tc>
          <w:tcPr>
            <w:tcW w:w="5400" w:type="dxa"/>
          </w:tcPr>
          <w:p w14:paraId="738CE13C" w14:textId="77777777" w:rsidR="004005AF" w:rsidRPr="0076238C" w:rsidRDefault="004005AF" w:rsidP="00F01ED6">
            <w:pPr>
              <w:pStyle w:val="ProductList-OfferingBody"/>
              <w:jc w:val="center"/>
            </w:pPr>
            <w:r>
              <w:t>10%</w:t>
            </w:r>
          </w:p>
        </w:tc>
      </w:tr>
      <w:tr w:rsidR="004005AF" w:rsidRPr="00B44CF9" w14:paraId="751DDCE9" w14:textId="77777777" w:rsidTr="00277097">
        <w:tc>
          <w:tcPr>
            <w:tcW w:w="5400" w:type="dxa"/>
          </w:tcPr>
          <w:p w14:paraId="4DD71F02" w14:textId="77777777" w:rsidR="004005AF" w:rsidRPr="0076238C" w:rsidRDefault="004005AF" w:rsidP="00F01ED6">
            <w:pPr>
              <w:pStyle w:val="ProductList-OfferingBody"/>
              <w:jc w:val="center"/>
            </w:pPr>
            <w:r>
              <w:t>&lt; 99%</w:t>
            </w:r>
          </w:p>
        </w:tc>
        <w:tc>
          <w:tcPr>
            <w:tcW w:w="5400" w:type="dxa"/>
          </w:tcPr>
          <w:p w14:paraId="50CD7567" w14:textId="77777777" w:rsidR="004005AF" w:rsidRPr="0076238C" w:rsidRDefault="004005AF" w:rsidP="00F01ED6">
            <w:pPr>
              <w:pStyle w:val="ProductList-OfferingBody"/>
              <w:jc w:val="center"/>
            </w:pPr>
            <w:r>
              <w:t>25%</w:t>
            </w:r>
          </w:p>
        </w:tc>
      </w:tr>
    </w:tbl>
    <w:bookmarkStart w:id="212" w:name="_Toc52348928"/>
    <w:p w14:paraId="4BC55B0D"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768A13F" w14:textId="66D94BB5" w:rsidR="004005AF" w:rsidRDefault="004005AF" w:rsidP="00F01ED6">
      <w:pPr>
        <w:pStyle w:val="ProductList-Offering2Heading"/>
        <w:tabs>
          <w:tab w:val="clear" w:pos="360"/>
          <w:tab w:val="clear" w:pos="720"/>
          <w:tab w:val="clear" w:pos="1080"/>
        </w:tabs>
        <w:outlineLvl w:val="2"/>
      </w:pPr>
      <w:bookmarkStart w:id="213" w:name="_Toc239176456"/>
      <w:r>
        <w:t>Base de Dados do Azure para PostgreSQL</w:t>
      </w:r>
      <w:bookmarkEnd w:id="211"/>
      <w:bookmarkEnd w:id="212"/>
      <w:bookmarkEnd w:id="213"/>
    </w:p>
    <w:p w14:paraId="33FEE15A" w14:textId="77777777" w:rsidR="004005AF" w:rsidRPr="00E7723E" w:rsidRDefault="004005AF" w:rsidP="00F01ED6">
      <w:pPr>
        <w:pStyle w:val="ProductList-Body"/>
        <w:rPr>
          <w:b/>
          <w:color w:val="00188F"/>
        </w:rPr>
      </w:pPr>
      <w:r>
        <w:rPr>
          <w:b/>
          <w:color w:val="00188F"/>
        </w:rPr>
        <w:t>Base de Dados do Azure para PostgreSQL - Servidor Único</w:t>
      </w:r>
    </w:p>
    <w:p w14:paraId="54181003" w14:textId="77777777" w:rsidR="004005AF" w:rsidRPr="00DA6241" w:rsidRDefault="004005AF" w:rsidP="00F01ED6">
      <w:pPr>
        <w:pStyle w:val="ProductList-Body"/>
      </w:pPr>
      <w:r>
        <w:rPr>
          <w:b/>
          <w:color w:val="00188F"/>
        </w:rPr>
        <w:t>Definições Adicionais</w:t>
      </w:r>
      <w:r w:rsidRPr="00473DD3">
        <w:rPr>
          <w:b/>
          <w:color w:val="00188F"/>
        </w:rPr>
        <w:t>:</w:t>
      </w:r>
    </w:p>
    <w:p w14:paraId="3A2B2685" w14:textId="54B894CD" w:rsidR="004005AF" w:rsidRPr="00ED4527" w:rsidRDefault="00380305" w:rsidP="00F01ED6">
      <w:pPr>
        <w:pStyle w:val="NormalWeb"/>
        <w:spacing w:before="0" w:beforeAutospacing="0" w:after="0" w:afterAutospacing="0"/>
        <w:rPr>
          <w:rFonts w:asciiTheme="minorHAnsi" w:eastAsiaTheme="minorHAnsi" w:hAnsiTheme="minorHAnsi" w:cstheme="minorBidi"/>
          <w:color w:val="000000" w:themeColor="text1"/>
          <w:sz w:val="18"/>
          <w:szCs w:val="22"/>
        </w:rPr>
      </w:pPr>
      <w:r w:rsidRPr="00380305">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Servidor</w:t>
      </w:r>
      <w:r w:rsidRPr="00380305">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é qualquer servidor de Base de Dados do Azure para PostgreSQL - Servidor Único.</w:t>
      </w:r>
    </w:p>
    <w:p w14:paraId="24719795" w14:textId="6D012659" w:rsidR="004005AF" w:rsidRPr="00ED4527" w:rsidRDefault="00380305" w:rsidP="00F01ED6">
      <w:pPr>
        <w:pStyle w:val="NormalWeb"/>
        <w:spacing w:before="0" w:beforeAutospacing="0" w:after="0" w:afterAutospacing="0"/>
        <w:rPr>
          <w:rFonts w:asciiTheme="minorHAnsi" w:eastAsiaTheme="minorHAnsi" w:hAnsiTheme="minorHAnsi" w:cstheme="minorBidi"/>
          <w:color w:val="000000" w:themeColor="text1"/>
          <w:sz w:val="18"/>
          <w:szCs w:val="22"/>
        </w:rPr>
      </w:pPr>
      <w:r w:rsidRPr="00380305">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Cluster de Elevada Disponibilidade</w:t>
      </w:r>
      <w:r w:rsidRPr="00380305">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designa um conjunto de Nós de Elevada Disponibilidade.</w:t>
      </w:r>
    </w:p>
    <w:p w14:paraId="34D0EBBF" w14:textId="6BA9D296" w:rsidR="004005AF" w:rsidRPr="00ED4527" w:rsidRDefault="00380305" w:rsidP="00F01ED6">
      <w:pPr>
        <w:pStyle w:val="NormalWeb"/>
        <w:spacing w:before="0" w:beforeAutospacing="0" w:after="0" w:afterAutospacing="0"/>
        <w:rPr>
          <w:rFonts w:asciiTheme="minorHAnsi" w:eastAsiaTheme="minorHAnsi" w:hAnsiTheme="minorHAnsi" w:cstheme="minorBidi"/>
          <w:color w:val="000000" w:themeColor="text1"/>
          <w:sz w:val="18"/>
          <w:szCs w:val="22"/>
        </w:rPr>
      </w:pPr>
      <w:r w:rsidRPr="00380305">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Nó de Elevada Disponibilidade</w:t>
      </w:r>
      <w:r w:rsidRPr="00380305">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designa um Nó num grupo de servidores com elevada disponibilidade ativada.</w:t>
      </w:r>
    </w:p>
    <w:p w14:paraId="4DF0D634" w14:textId="2A9C055D" w:rsidR="004005AF" w:rsidRPr="00ED4527" w:rsidRDefault="00380305" w:rsidP="00F01ED6">
      <w:pPr>
        <w:pStyle w:val="NormalWeb"/>
        <w:spacing w:before="0" w:beforeAutospacing="0" w:after="0" w:afterAutospacing="0"/>
        <w:rPr>
          <w:rFonts w:asciiTheme="minorHAnsi" w:eastAsiaTheme="minorHAnsi" w:hAnsiTheme="minorHAnsi" w:cstheme="minorBidi"/>
          <w:color w:val="000000" w:themeColor="text1"/>
          <w:sz w:val="18"/>
          <w:szCs w:val="22"/>
        </w:rPr>
      </w:pPr>
      <w:r w:rsidRPr="00380305">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Nó Coordenador</w:t>
      </w:r>
      <w:r w:rsidRPr="00380305">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é um Nó que é atribuído à função de Coordenador do Cluster.</w:t>
      </w:r>
    </w:p>
    <w:p w14:paraId="2B565E3C" w14:textId="05FF3F12" w:rsidR="004005AF" w:rsidRPr="00ED4527" w:rsidRDefault="00380305" w:rsidP="00F01ED6">
      <w:pPr>
        <w:pStyle w:val="NormalWeb"/>
        <w:spacing w:before="0" w:beforeAutospacing="0" w:after="0" w:afterAutospacing="0"/>
        <w:rPr>
          <w:rFonts w:asciiTheme="minorHAnsi" w:eastAsiaTheme="minorHAnsi" w:hAnsiTheme="minorHAnsi" w:cstheme="minorBidi"/>
          <w:color w:val="000000" w:themeColor="text1"/>
          <w:sz w:val="18"/>
          <w:szCs w:val="22"/>
        </w:rPr>
      </w:pPr>
      <w:r w:rsidRPr="00380305">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Nó de Trabalho</w:t>
      </w:r>
      <w:r w:rsidRPr="00380305">
        <w:rPr>
          <w:rFonts w:asciiTheme="minorHAnsi" w:eastAsiaTheme="minorHAnsi" w:hAnsiTheme="minorHAnsi" w:cstheme="minorBidi"/>
          <w:sz w:val="18"/>
          <w:szCs w:val="22"/>
        </w:rPr>
        <w:t>”</w:t>
      </w:r>
      <w:r w:rsidR="004005AF">
        <w:rPr>
          <w:rFonts w:asciiTheme="minorHAnsi" w:eastAsiaTheme="minorHAnsi" w:hAnsiTheme="minorHAnsi" w:cstheme="minorBidi"/>
          <w:color w:val="00188F"/>
          <w:sz w:val="18"/>
          <w:szCs w:val="22"/>
        </w:rPr>
        <w:t xml:space="preserve"> </w:t>
      </w:r>
      <w:r w:rsidR="004005AF">
        <w:rPr>
          <w:rFonts w:asciiTheme="minorHAnsi" w:eastAsiaTheme="minorHAnsi" w:hAnsiTheme="minorHAnsi" w:cstheme="minorBidi"/>
          <w:color w:val="000000" w:themeColor="text1"/>
          <w:sz w:val="18"/>
          <w:szCs w:val="22"/>
        </w:rPr>
        <w:t>é um Nó que é atribuído à função de Trabalho.</w:t>
      </w:r>
    </w:p>
    <w:p w14:paraId="2B69F95E" w14:textId="05FB6519" w:rsidR="004005AF" w:rsidRPr="00ED4527" w:rsidRDefault="00EE6E3C" w:rsidP="00F01ED6">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Cálculo do Período de Disponibilidade e Níveis de Serviço para a Base de Dados do Microsoft Azure para PostgreSQL - Servidor Único</w:t>
      </w:r>
    </w:p>
    <w:p w14:paraId="1B904F43" w14:textId="48881B4C" w:rsidR="004005AF" w:rsidRPr="009D08F6" w:rsidRDefault="00380305" w:rsidP="00F01ED6">
      <w:pPr>
        <w:spacing w:after="0" w:line="240" w:lineRule="auto"/>
        <w:rPr>
          <w:sz w:val="18"/>
        </w:rPr>
      </w:pPr>
      <w:r>
        <w:rPr>
          <w:sz w:val="18"/>
        </w:rPr>
        <w:t>“</w:t>
      </w:r>
      <w:r w:rsidR="004005AF">
        <w:rPr>
          <w:b/>
          <w:color w:val="00188F"/>
          <w:sz w:val="18"/>
        </w:rPr>
        <w:t>Máximo de Minutos Disponíveis</w:t>
      </w:r>
      <w:r>
        <w:rPr>
          <w:sz w:val="18"/>
        </w:rPr>
        <w:t>”</w:t>
      </w:r>
      <w:r w:rsidR="004005AF">
        <w:rPr>
          <w:rFonts w:eastAsiaTheme="minorEastAsia" w:cstheme="minorHAnsi"/>
          <w:sz w:val="18"/>
          <w:szCs w:val="18"/>
        </w:rPr>
        <w:t xml:space="preserve"> </w:t>
      </w:r>
      <w:r w:rsidR="004005AF">
        <w:rPr>
          <w:sz w:val="18"/>
        </w:rPr>
        <w:t>designa o número total de minutos para um determinado Servidor implementado pelo Cliente numa determinada subscrição do Microsoft Azure durante um Período Aplicável.</w:t>
      </w:r>
    </w:p>
    <w:p w14:paraId="0A3D7517" w14:textId="41E2155E" w:rsidR="004005AF" w:rsidRPr="00B44CF9" w:rsidRDefault="00380305" w:rsidP="00F01ED6">
      <w:pPr>
        <w:spacing w:after="0" w:line="240" w:lineRule="auto"/>
        <w:rPr>
          <w:rFonts w:eastAsiaTheme="minorEastAsia" w:cstheme="minorHAnsi"/>
          <w:sz w:val="18"/>
          <w:szCs w:val="18"/>
          <w:lang w:eastAsia="zh-TW"/>
        </w:rPr>
      </w:pPr>
      <w:r>
        <w:rPr>
          <w:sz w:val="18"/>
        </w:rPr>
        <w:lastRenderedPageBreak/>
        <w:t>“</w:t>
      </w:r>
      <w:r w:rsidR="004005AF">
        <w:rPr>
          <w:b/>
          <w:color w:val="00188F"/>
          <w:sz w:val="18"/>
        </w:rPr>
        <w:t>Período de Indisponibilidade</w:t>
      </w:r>
      <w:r>
        <w:rPr>
          <w:sz w:val="18"/>
        </w:rPr>
        <w:t>”</w:t>
      </w:r>
      <w:r w:rsidR="004005AF">
        <w:rPr>
          <w:rFonts w:eastAsiaTheme="minorEastAsia" w:cstheme="minorHAnsi"/>
          <w:sz w:val="18"/>
          <w:szCs w:val="18"/>
        </w:rPr>
        <w:t xml:space="preserve"> </w:t>
      </w:r>
      <w:r w:rsidR="004005AF">
        <w:rPr>
          <w:sz w:val="18"/>
        </w:rPr>
        <w:t>designa o número total de minutos durante o Máximo de Minutos Disponíveis durante os quais um Servidor está</w:t>
      </w:r>
      <w:r w:rsidR="00196B1B">
        <w:rPr>
          <w:sz w:val="18"/>
        </w:rPr>
        <w:t> </w:t>
      </w:r>
      <w:r w:rsidR="004005AF">
        <w:rPr>
          <w:sz w:val="18"/>
        </w:rPr>
        <w:t>indisponível. Um minuto é considerado indisponível se todas as tentativas contínuas por parte do Cliente para estabelecer uma ligação com</w:t>
      </w:r>
      <w:r w:rsidR="00196B1B">
        <w:rPr>
          <w:sz w:val="18"/>
        </w:rPr>
        <w:t> </w:t>
      </w:r>
      <w:r w:rsidR="004005AF">
        <w:rPr>
          <w:sz w:val="18"/>
        </w:rPr>
        <w:t>o</w:t>
      </w:r>
      <w:r w:rsidR="00196B1B">
        <w:rPr>
          <w:sz w:val="18"/>
        </w:rPr>
        <w:t> </w:t>
      </w:r>
      <w:r w:rsidR="004005AF">
        <w:rPr>
          <w:sz w:val="18"/>
        </w:rPr>
        <w:t>Servidor devolverem um Código de Erro ou não responderem ao fim de um minuto.</w:t>
      </w:r>
    </w:p>
    <w:p w14:paraId="72C1AC39" w14:textId="3617F5FD" w:rsidR="004005AF" w:rsidRPr="00ED4527" w:rsidRDefault="004005AF" w:rsidP="00F01ED6">
      <w:pPr>
        <w:pStyle w:val="ProductList-Body"/>
        <w:rPr>
          <w:bCs/>
          <w:color w:val="000000" w:themeColor="text1"/>
        </w:rPr>
      </w:pPr>
      <w:r>
        <w:t xml:space="preserve">A </w:t>
      </w:r>
      <w:r w:rsidR="00380305" w:rsidRPr="00380305">
        <w:t>“</w:t>
      </w:r>
      <w:r>
        <w:rPr>
          <w:b/>
          <w:color w:val="00188F"/>
        </w:rPr>
        <w:t>Percentagem de Período de Disponibilidade</w:t>
      </w:r>
      <w:r w:rsidR="00380305" w:rsidRPr="00380305">
        <w:t>”</w:t>
      </w:r>
      <w:r>
        <w:rPr>
          <w:bCs/>
          <w:color w:val="000000" w:themeColor="text1"/>
        </w:rPr>
        <w:t xml:space="preserve"> para a Base de Dados do Azure para PostgreSQL é calculada como o Máximo de Minutos Disponíveis menos o Período de Indisponibilidade a dividir pelo Máximo de Minutos Disponíveis.</w:t>
      </w:r>
    </w:p>
    <w:p w14:paraId="0AF901BE" w14:textId="718A5B80" w:rsidR="004005AF" w:rsidRDefault="004005AF" w:rsidP="00F01ED6">
      <w:pPr>
        <w:pStyle w:val="ProductList-Body"/>
      </w:pPr>
      <w:r>
        <w:t xml:space="preserve">A Percentagem de Período de Disponibilidade é calculada através da seguinte fórmula: </w:t>
      </w:r>
    </w:p>
    <w:p w14:paraId="4957341A" w14:textId="58237E6E" w:rsidR="004005AF" w:rsidRPr="00191B8C" w:rsidRDefault="00000000" w:rsidP="009F16F1">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1769BF1" w14:textId="77777777" w:rsidR="004005AF" w:rsidRDefault="004005AF" w:rsidP="00F01ED6">
      <w:pPr>
        <w:pStyle w:val="ProductList-Body"/>
        <w:keepNext/>
        <w:rPr>
          <w:b/>
          <w:color w:val="00188F"/>
        </w:rPr>
      </w:pPr>
      <w:r>
        <w:rPr>
          <w:b/>
          <w:color w:val="00188F"/>
        </w:rPr>
        <w:t>Os seguintes Níveis de Serviço e Créditos de Serviço são aplicáveis à utilização que o Cliente faz da Base de Dados do Azure para PostgreSQL – Servidor Único: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C0A1CE8"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480FBB3D" w14:textId="77777777" w:rsidTr="00277097">
        <w:tc>
          <w:tcPr>
            <w:tcW w:w="5400" w:type="dxa"/>
          </w:tcPr>
          <w:p w14:paraId="19EF8A23" w14:textId="77777777" w:rsidR="004005AF" w:rsidRPr="0076238C" w:rsidRDefault="004005AF" w:rsidP="00F01ED6">
            <w:pPr>
              <w:pStyle w:val="ProductList-OfferingBody"/>
              <w:jc w:val="center"/>
            </w:pPr>
            <w:r>
              <w:t>&lt; 99,99%</w:t>
            </w:r>
          </w:p>
        </w:tc>
        <w:tc>
          <w:tcPr>
            <w:tcW w:w="5400" w:type="dxa"/>
          </w:tcPr>
          <w:p w14:paraId="15931EC2" w14:textId="77777777" w:rsidR="004005AF" w:rsidRPr="0076238C" w:rsidRDefault="004005AF" w:rsidP="00F01ED6">
            <w:pPr>
              <w:pStyle w:val="ProductList-OfferingBody"/>
              <w:jc w:val="center"/>
            </w:pPr>
            <w:r>
              <w:t>10%</w:t>
            </w:r>
          </w:p>
        </w:tc>
      </w:tr>
      <w:tr w:rsidR="004005AF" w:rsidRPr="00B44CF9" w14:paraId="47BE20BB" w14:textId="77777777" w:rsidTr="00277097">
        <w:tc>
          <w:tcPr>
            <w:tcW w:w="5400" w:type="dxa"/>
          </w:tcPr>
          <w:p w14:paraId="1E8EE6EF" w14:textId="77777777" w:rsidR="004005AF" w:rsidRPr="0076238C" w:rsidRDefault="004005AF" w:rsidP="00F01ED6">
            <w:pPr>
              <w:pStyle w:val="ProductList-OfferingBody"/>
              <w:jc w:val="center"/>
            </w:pPr>
            <w:r>
              <w:t>&lt; 99%</w:t>
            </w:r>
          </w:p>
        </w:tc>
        <w:tc>
          <w:tcPr>
            <w:tcW w:w="5400" w:type="dxa"/>
          </w:tcPr>
          <w:p w14:paraId="6B3E1525" w14:textId="77777777" w:rsidR="004005AF" w:rsidRPr="0076238C" w:rsidRDefault="004005AF" w:rsidP="00F01ED6">
            <w:pPr>
              <w:pStyle w:val="ProductList-OfferingBody"/>
              <w:jc w:val="center"/>
            </w:pPr>
            <w:r>
              <w:t>25%</w:t>
            </w:r>
          </w:p>
        </w:tc>
      </w:tr>
      <w:tr w:rsidR="004005AF" w:rsidRPr="00B44CF9" w14:paraId="4B5E3295" w14:textId="77777777" w:rsidTr="00277097">
        <w:tc>
          <w:tcPr>
            <w:tcW w:w="5400" w:type="dxa"/>
          </w:tcPr>
          <w:p w14:paraId="63FA7C2D" w14:textId="77777777" w:rsidR="004005AF" w:rsidRPr="0076238C" w:rsidRDefault="004005AF" w:rsidP="00F01ED6">
            <w:pPr>
              <w:pStyle w:val="ProductList-OfferingBody"/>
              <w:jc w:val="center"/>
            </w:pPr>
            <w:r>
              <w:t>&lt; 95%</w:t>
            </w:r>
          </w:p>
        </w:tc>
        <w:tc>
          <w:tcPr>
            <w:tcW w:w="5400" w:type="dxa"/>
          </w:tcPr>
          <w:p w14:paraId="1B7AA6D0" w14:textId="77777777" w:rsidR="004005AF" w:rsidRDefault="004005AF" w:rsidP="00F01ED6">
            <w:pPr>
              <w:pStyle w:val="ProductList-OfferingBody"/>
              <w:jc w:val="center"/>
            </w:pPr>
            <w:r>
              <w:t>100%</w:t>
            </w:r>
          </w:p>
        </w:tc>
      </w:tr>
    </w:tbl>
    <w:p w14:paraId="36D6E7A3" w14:textId="77777777" w:rsidR="004005AF" w:rsidRPr="00ED4527" w:rsidRDefault="004005AF" w:rsidP="00C86171">
      <w:pPr>
        <w:pStyle w:val="ProductList-Body"/>
        <w:spacing w:before="120"/>
        <w:rPr>
          <w:b/>
          <w:bCs/>
          <w:color w:val="00188F"/>
        </w:rPr>
      </w:pPr>
      <w:bookmarkStart w:id="214" w:name="_Toc513395512"/>
      <w:r>
        <w:rPr>
          <w:b/>
          <w:bCs/>
          <w:color w:val="00188F"/>
        </w:rPr>
        <w:t>Base de Dados do Microsoft Azure para PostgreSQL – Servidor Flexível</w:t>
      </w:r>
    </w:p>
    <w:p w14:paraId="6D811BDF" w14:textId="77777777" w:rsidR="004005AF" w:rsidRPr="00ED4527" w:rsidRDefault="004005AF" w:rsidP="00F01ED6">
      <w:pPr>
        <w:pStyle w:val="ProductList-Body"/>
        <w:rPr>
          <w:b/>
          <w:bCs/>
          <w:color w:val="00188F"/>
        </w:rPr>
      </w:pPr>
      <w:r>
        <w:rPr>
          <w:b/>
          <w:bCs/>
          <w:color w:val="00188F"/>
        </w:rPr>
        <w:t>Definições Adicionais:</w:t>
      </w:r>
    </w:p>
    <w:p w14:paraId="0D173B0B" w14:textId="291448EC" w:rsidR="004005AF" w:rsidRPr="00ED4527" w:rsidRDefault="00380305" w:rsidP="00F01ED6">
      <w:pPr>
        <w:pStyle w:val="ProductList-Body"/>
        <w:rPr>
          <w:color w:val="000000" w:themeColor="text1"/>
        </w:rPr>
      </w:pPr>
      <w:r w:rsidRPr="00380305">
        <w:t>“</w:t>
      </w:r>
      <w:r w:rsidR="004005AF">
        <w:rPr>
          <w:b/>
          <w:bCs/>
          <w:color w:val="00188F"/>
        </w:rPr>
        <w:t>Servidor</w:t>
      </w:r>
      <w:r w:rsidRPr="00380305">
        <w:t>”</w:t>
      </w:r>
      <w:r w:rsidR="004005AF">
        <w:rPr>
          <w:color w:val="00188F"/>
        </w:rPr>
        <w:t xml:space="preserve"> </w:t>
      </w:r>
      <w:r w:rsidR="004005AF">
        <w:rPr>
          <w:color w:val="000000" w:themeColor="text1"/>
        </w:rPr>
        <w:t>é qualquer servidor de Base de Dados do Azure para PostgreSQL - Servidor Flexível.</w:t>
      </w:r>
    </w:p>
    <w:p w14:paraId="4F40C061" w14:textId="636A025F" w:rsidR="004005AF" w:rsidRPr="00ED4527" w:rsidRDefault="00380305" w:rsidP="00F01ED6">
      <w:pPr>
        <w:pStyle w:val="ProductList-Body"/>
        <w:rPr>
          <w:color w:val="000000" w:themeColor="text1"/>
        </w:rPr>
      </w:pPr>
      <w:r w:rsidRPr="00380305">
        <w:t>“</w:t>
      </w:r>
      <w:r w:rsidR="004005AF">
        <w:rPr>
          <w:b/>
          <w:bCs/>
          <w:color w:val="00188F"/>
        </w:rPr>
        <w:t>Elevada Disponibilidade</w:t>
      </w:r>
      <w:r w:rsidRPr="00380305">
        <w:t>”</w:t>
      </w:r>
      <w:r w:rsidR="004005AF">
        <w:rPr>
          <w:color w:val="00188F"/>
        </w:rPr>
        <w:t xml:space="preserve"> </w:t>
      </w:r>
      <w:r w:rsidR="004005AF">
        <w:rPr>
          <w:color w:val="000000" w:themeColor="text1"/>
        </w:rPr>
        <w:t>no contexto de Servidor Flexível designa um conjunto de servidores de Elevada Disponibilidade (Principal e de reserva) implementado numa configuração de redundância entre zonas ou na redundância na mesma zona.</w:t>
      </w:r>
    </w:p>
    <w:p w14:paraId="0221299A" w14:textId="68B71F97" w:rsidR="004005AF" w:rsidRPr="00ED4527" w:rsidRDefault="00EE6E3C" w:rsidP="00F01ED6">
      <w:pPr>
        <w:pStyle w:val="ProductList-Body"/>
        <w:rPr>
          <w:b/>
          <w:bCs/>
          <w:color w:val="00188F"/>
        </w:rPr>
      </w:pPr>
      <w:r>
        <w:rPr>
          <w:b/>
          <w:bCs/>
          <w:color w:val="00188F"/>
        </w:rPr>
        <w:t>Cálculo do Período de Disponibilidade e Níveis de Serviço para a Base de Dados do Microsoft Azure para PostgreSQL - Servidor Flexível</w:t>
      </w:r>
    </w:p>
    <w:p w14:paraId="4D459CB0" w14:textId="41577466" w:rsidR="004005AF" w:rsidRPr="00ED4527" w:rsidRDefault="00380305" w:rsidP="00F01ED6">
      <w:pPr>
        <w:pStyle w:val="ProductList-Body"/>
        <w:rPr>
          <w:color w:val="000000" w:themeColor="text1"/>
        </w:rPr>
      </w:pPr>
      <w:r w:rsidRPr="00380305">
        <w:t>“</w:t>
      </w:r>
      <w:r w:rsidR="004005AF">
        <w:rPr>
          <w:b/>
          <w:bCs/>
          <w:color w:val="00188F"/>
        </w:rPr>
        <w:t>Máximo de Minutos Disponíveis</w:t>
      </w:r>
      <w:r w:rsidRPr="00380305">
        <w:t>”</w:t>
      </w:r>
      <w:r w:rsidR="004005AF">
        <w:rPr>
          <w:color w:val="00188F"/>
        </w:rPr>
        <w:t xml:space="preserve"> </w:t>
      </w:r>
      <w:r w:rsidR="004005AF">
        <w:rPr>
          <w:color w:val="000000" w:themeColor="text1"/>
        </w:rPr>
        <w:t>designa o número total de minutos para um determinado Servidor implementado pelo Cliente numa determinada subscrição do Microsoft Azure durante um Período Aplicável.</w:t>
      </w:r>
    </w:p>
    <w:p w14:paraId="0298D812" w14:textId="624E65B4" w:rsidR="004005AF" w:rsidRPr="00ED4527" w:rsidRDefault="00380305" w:rsidP="00F01ED6">
      <w:pPr>
        <w:pStyle w:val="ProductList-Body"/>
        <w:rPr>
          <w:color w:val="000000" w:themeColor="text1"/>
        </w:rPr>
      </w:pPr>
      <w:r w:rsidRPr="00380305">
        <w:t>“</w:t>
      </w:r>
      <w:r w:rsidR="004005AF">
        <w:rPr>
          <w:b/>
          <w:bCs/>
          <w:color w:val="00188F"/>
        </w:rPr>
        <w:t>Período de Indisponibilidade</w:t>
      </w:r>
      <w:r w:rsidRPr="00380305">
        <w:t>”</w:t>
      </w:r>
      <w:r w:rsidR="004005AF">
        <w:rPr>
          <w:color w:val="000000" w:themeColor="text1"/>
        </w:rPr>
        <w:t xml:space="preserve"> designa o número total de minutos durante o Máximo de Minutos Disponíveis durante os quais um Servidor está indisponível. Um minuto é considerado indisponível se todas as tentativas contínuas por parte do Cliente para estabelecer uma ligação ao Servidor não foram concluídas com êxito.</w:t>
      </w:r>
    </w:p>
    <w:p w14:paraId="3CA5E3A3" w14:textId="29F973FC" w:rsidR="004005AF" w:rsidRPr="00ED4527" w:rsidRDefault="004005AF" w:rsidP="00F01ED6">
      <w:pPr>
        <w:pStyle w:val="ProductList-Body"/>
        <w:rPr>
          <w:color w:val="000000" w:themeColor="text1"/>
        </w:rPr>
      </w:pPr>
      <w:r>
        <w:t xml:space="preserve">A </w:t>
      </w:r>
      <w:r w:rsidR="00380305" w:rsidRPr="00380305">
        <w:t>“</w:t>
      </w:r>
      <w:r>
        <w:rPr>
          <w:b/>
          <w:bCs/>
          <w:color w:val="00188F"/>
        </w:rPr>
        <w:t>Percentagem de Período de Disponibilidade</w:t>
      </w:r>
      <w:r w:rsidR="00380305" w:rsidRPr="00380305">
        <w:t>”</w:t>
      </w:r>
      <w:r>
        <w:rPr>
          <w:color w:val="000000" w:themeColor="text1"/>
        </w:rPr>
        <w:t xml:space="preserve"> para a Base de Dados do Azure para PostgreSQL - Servidor Flexível é calculada como o Máximo de</w:t>
      </w:r>
      <w:r w:rsidR="00125081">
        <w:rPr>
          <w:color w:val="000000" w:themeColor="text1"/>
        </w:rPr>
        <w:t> </w:t>
      </w:r>
      <w:r>
        <w:rPr>
          <w:color w:val="000000" w:themeColor="text1"/>
        </w:rPr>
        <w:t>Minutos Disponíveis menos o Período de Indisponibilidade a dividir pelo Máximo de Minutos Disponíveis.</w:t>
      </w:r>
    </w:p>
    <w:p w14:paraId="431AA76E" w14:textId="56A74B73" w:rsidR="004005AF" w:rsidRPr="00ED4527" w:rsidRDefault="00AC48A7" w:rsidP="00F01ED6">
      <w:pPr>
        <w:pStyle w:val="ProductList-Body"/>
        <w:tabs>
          <w:tab w:val="clear" w:pos="360"/>
          <w:tab w:val="clear" w:pos="720"/>
          <w:tab w:val="clear" w:pos="1080"/>
        </w:tabs>
        <w:rPr>
          <w:color w:val="000000" w:themeColor="text1"/>
        </w:rPr>
      </w:pPr>
      <w:r>
        <w:rPr>
          <w:color w:val="000000" w:themeColor="text1"/>
        </w:rPr>
        <w:t>A Percentagem de Período de Disponibilidade é representada pela seguinte fórmula:</w:t>
      </w:r>
    </w:p>
    <w:p w14:paraId="42F7A92F" w14:textId="004FAE94" w:rsidR="004005AF" w:rsidRPr="00191B8C" w:rsidRDefault="00000000" w:rsidP="00763855">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2224139" w14:textId="4A0E278A" w:rsidR="004005AF" w:rsidRDefault="004005AF" w:rsidP="009B6B6C">
      <w:pPr>
        <w:pStyle w:val="ProductList-Body"/>
        <w:keepNext/>
      </w:pPr>
      <w:r>
        <w:rPr>
          <w:b/>
          <w:color w:val="00188F"/>
        </w:rPr>
        <w:t>Os seguintes Níveis de Serviço e Créditos de Serviço são aplicáveis à utilização que o Cliente faz da Base de Dados do Azure para PostgreSQL – Servidor Flexível configurada no modo de Elevada Disponibilidade com redundância entre zonas: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3005C49"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06682E21" w14:textId="77777777" w:rsidTr="00277097">
        <w:tc>
          <w:tcPr>
            <w:tcW w:w="5400" w:type="dxa"/>
          </w:tcPr>
          <w:p w14:paraId="7B6E35EE" w14:textId="77777777" w:rsidR="004005AF" w:rsidRPr="0076238C" w:rsidRDefault="004005AF" w:rsidP="00F01ED6">
            <w:pPr>
              <w:pStyle w:val="ProductList-OfferingBody"/>
              <w:jc w:val="center"/>
            </w:pPr>
            <w:r>
              <w:t>Menos de 99,99% e superior ou igual a 99%</w:t>
            </w:r>
          </w:p>
        </w:tc>
        <w:tc>
          <w:tcPr>
            <w:tcW w:w="5400" w:type="dxa"/>
          </w:tcPr>
          <w:p w14:paraId="4E17E991" w14:textId="77777777" w:rsidR="004005AF" w:rsidRPr="0076238C" w:rsidRDefault="004005AF" w:rsidP="00F01ED6">
            <w:pPr>
              <w:pStyle w:val="ProductList-OfferingBody"/>
              <w:jc w:val="center"/>
            </w:pPr>
            <w:r>
              <w:t>10%</w:t>
            </w:r>
          </w:p>
        </w:tc>
      </w:tr>
      <w:tr w:rsidR="004005AF" w:rsidRPr="00B44CF9" w14:paraId="05A1DC5D" w14:textId="77777777" w:rsidTr="00277097">
        <w:tc>
          <w:tcPr>
            <w:tcW w:w="5400" w:type="dxa"/>
          </w:tcPr>
          <w:p w14:paraId="65BE6248" w14:textId="77777777" w:rsidR="004005AF" w:rsidRPr="0076238C" w:rsidRDefault="004005AF" w:rsidP="00F01ED6">
            <w:pPr>
              <w:pStyle w:val="ProductList-OfferingBody"/>
              <w:jc w:val="center"/>
            </w:pPr>
            <w:r>
              <w:t>Menos de 99% e superior ou igual a 95%</w:t>
            </w:r>
          </w:p>
        </w:tc>
        <w:tc>
          <w:tcPr>
            <w:tcW w:w="5400" w:type="dxa"/>
          </w:tcPr>
          <w:p w14:paraId="53CD4A22" w14:textId="77777777" w:rsidR="004005AF" w:rsidRPr="0076238C" w:rsidRDefault="004005AF" w:rsidP="00F01ED6">
            <w:pPr>
              <w:pStyle w:val="ProductList-OfferingBody"/>
              <w:jc w:val="center"/>
            </w:pPr>
            <w:r>
              <w:t>25%</w:t>
            </w:r>
          </w:p>
        </w:tc>
      </w:tr>
      <w:tr w:rsidR="004005AF" w:rsidRPr="00B44CF9" w14:paraId="77FDCEA8" w14:textId="77777777" w:rsidTr="00277097">
        <w:tc>
          <w:tcPr>
            <w:tcW w:w="5400" w:type="dxa"/>
          </w:tcPr>
          <w:p w14:paraId="2D8F7F61" w14:textId="77777777" w:rsidR="004005AF" w:rsidRPr="0076238C" w:rsidRDefault="004005AF" w:rsidP="00F01ED6">
            <w:pPr>
              <w:pStyle w:val="ProductList-OfferingBody"/>
              <w:jc w:val="center"/>
            </w:pPr>
            <w:r>
              <w:t>&lt; 95%</w:t>
            </w:r>
          </w:p>
        </w:tc>
        <w:tc>
          <w:tcPr>
            <w:tcW w:w="5400" w:type="dxa"/>
          </w:tcPr>
          <w:p w14:paraId="75166A6D" w14:textId="77777777" w:rsidR="004005AF" w:rsidRDefault="004005AF" w:rsidP="00F01ED6">
            <w:pPr>
              <w:pStyle w:val="ProductList-OfferingBody"/>
              <w:jc w:val="center"/>
            </w:pPr>
            <w:r>
              <w:t>100%</w:t>
            </w:r>
          </w:p>
        </w:tc>
      </w:tr>
    </w:tbl>
    <w:p w14:paraId="5EEDF4FF" w14:textId="77777777" w:rsidR="004005AF" w:rsidRPr="000974C9" w:rsidRDefault="004005AF" w:rsidP="00F01ED6">
      <w:pPr>
        <w:pStyle w:val="ProductList-Body"/>
        <w:tabs>
          <w:tab w:val="clear" w:pos="360"/>
          <w:tab w:val="clear" w:pos="720"/>
          <w:tab w:val="clear" w:pos="1080"/>
        </w:tabs>
        <w:rPr>
          <w:sz w:val="12"/>
          <w:szCs w:val="12"/>
        </w:rPr>
      </w:pPr>
    </w:p>
    <w:p w14:paraId="69DCBF1D" w14:textId="77777777" w:rsidR="004005AF" w:rsidRDefault="004005AF" w:rsidP="00F01ED6">
      <w:pPr>
        <w:pStyle w:val="ProductList-Body"/>
        <w:keepNext/>
      </w:pPr>
      <w:r>
        <w:rPr>
          <w:b/>
          <w:color w:val="00188F"/>
        </w:rPr>
        <w:t>Os seguintes Níveis de Serviço e Créditos de Serviço são aplicáveis à utilização que o Cliente faz da Base de Dados do Azure para PostgreSQL – Servidor Flexível configurada no modo de Elevada Disponibilidade na mesma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9710F24"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15E85E18" w14:textId="77777777" w:rsidTr="00277097">
        <w:tc>
          <w:tcPr>
            <w:tcW w:w="5400" w:type="dxa"/>
          </w:tcPr>
          <w:p w14:paraId="439832B2" w14:textId="77777777" w:rsidR="004005AF" w:rsidRPr="0076238C" w:rsidRDefault="004005AF" w:rsidP="00F01ED6">
            <w:pPr>
              <w:pStyle w:val="ProductList-OfferingBody"/>
              <w:jc w:val="center"/>
            </w:pPr>
            <w:r>
              <w:t>Menos de 99,95% e superior ou igual a 99%</w:t>
            </w:r>
          </w:p>
        </w:tc>
        <w:tc>
          <w:tcPr>
            <w:tcW w:w="5400" w:type="dxa"/>
          </w:tcPr>
          <w:p w14:paraId="40DDBEAA" w14:textId="77777777" w:rsidR="004005AF" w:rsidRPr="0076238C" w:rsidRDefault="004005AF" w:rsidP="00F01ED6">
            <w:pPr>
              <w:pStyle w:val="ProductList-OfferingBody"/>
              <w:jc w:val="center"/>
            </w:pPr>
            <w:r>
              <w:t>10%</w:t>
            </w:r>
          </w:p>
        </w:tc>
      </w:tr>
      <w:tr w:rsidR="004005AF" w:rsidRPr="00B44CF9" w14:paraId="14B44FC2" w14:textId="77777777" w:rsidTr="00277097">
        <w:tc>
          <w:tcPr>
            <w:tcW w:w="5400" w:type="dxa"/>
          </w:tcPr>
          <w:p w14:paraId="0E6E8C7F" w14:textId="77777777" w:rsidR="004005AF" w:rsidRPr="0076238C" w:rsidRDefault="004005AF" w:rsidP="00F01ED6">
            <w:pPr>
              <w:pStyle w:val="ProductList-OfferingBody"/>
              <w:jc w:val="center"/>
            </w:pPr>
            <w:r>
              <w:t>&lt; 99%</w:t>
            </w:r>
          </w:p>
        </w:tc>
        <w:tc>
          <w:tcPr>
            <w:tcW w:w="5400" w:type="dxa"/>
          </w:tcPr>
          <w:p w14:paraId="4210AC71" w14:textId="77777777" w:rsidR="004005AF" w:rsidRPr="0076238C" w:rsidRDefault="004005AF" w:rsidP="00F01ED6">
            <w:pPr>
              <w:pStyle w:val="ProductList-OfferingBody"/>
              <w:jc w:val="center"/>
            </w:pPr>
            <w:r>
              <w:t>25%</w:t>
            </w:r>
          </w:p>
        </w:tc>
      </w:tr>
    </w:tbl>
    <w:p w14:paraId="64647DBF" w14:textId="77777777" w:rsidR="004005AF" w:rsidRPr="000974C9" w:rsidRDefault="004005AF" w:rsidP="00F01ED6">
      <w:pPr>
        <w:pStyle w:val="ProductList-Body"/>
        <w:tabs>
          <w:tab w:val="clear" w:pos="360"/>
          <w:tab w:val="clear" w:pos="720"/>
          <w:tab w:val="clear" w:pos="1080"/>
        </w:tabs>
        <w:rPr>
          <w:color w:val="000000" w:themeColor="text1"/>
          <w:sz w:val="12"/>
          <w:szCs w:val="12"/>
        </w:rPr>
      </w:pPr>
    </w:p>
    <w:p w14:paraId="7E38F208" w14:textId="77777777" w:rsidR="004005AF" w:rsidRDefault="004005AF" w:rsidP="00F01ED6">
      <w:pPr>
        <w:pStyle w:val="ProductList-Body"/>
        <w:keepNext/>
      </w:pPr>
      <w:r>
        <w:rPr>
          <w:b/>
          <w:color w:val="00188F"/>
        </w:rPr>
        <w:t>Os seguintes Níveis de Serviço e Créditos de Serviço são aplicáveis à utilização que o Cliente faz da Base de Dados do Azure para PostgreSQL – Servidor Flexível que não esteja configurado no modo de Elevada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ED2456B"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700D77DE" w14:textId="77777777" w:rsidTr="00277097">
        <w:tc>
          <w:tcPr>
            <w:tcW w:w="5400" w:type="dxa"/>
          </w:tcPr>
          <w:p w14:paraId="48E242CC" w14:textId="77777777" w:rsidR="004005AF" w:rsidRPr="0076238C" w:rsidRDefault="004005AF" w:rsidP="00F01ED6">
            <w:pPr>
              <w:pStyle w:val="ProductList-OfferingBody"/>
              <w:jc w:val="center"/>
            </w:pPr>
            <w:r>
              <w:t>Menos de 99,9% e superior ou igual a 99%</w:t>
            </w:r>
          </w:p>
        </w:tc>
        <w:tc>
          <w:tcPr>
            <w:tcW w:w="5400" w:type="dxa"/>
          </w:tcPr>
          <w:p w14:paraId="2B29722A" w14:textId="77777777" w:rsidR="004005AF" w:rsidRPr="0076238C" w:rsidRDefault="004005AF" w:rsidP="00F01ED6">
            <w:pPr>
              <w:pStyle w:val="ProductList-OfferingBody"/>
              <w:jc w:val="center"/>
            </w:pPr>
            <w:r>
              <w:t>10%</w:t>
            </w:r>
          </w:p>
        </w:tc>
      </w:tr>
      <w:tr w:rsidR="004005AF" w:rsidRPr="00B44CF9" w14:paraId="3D6E703B" w14:textId="77777777" w:rsidTr="00277097">
        <w:tc>
          <w:tcPr>
            <w:tcW w:w="5400" w:type="dxa"/>
          </w:tcPr>
          <w:p w14:paraId="4FBC6BD8" w14:textId="77777777" w:rsidR="004005AF" w:rsidRPr="0076238C" w:rsidRDefault="004005AF" w:rsidP="00F01ED6">
            <w:pPr>
              <w:pStyle w:val="ProductList-OfferingBody"/>
              <w:jc w:val="center"/>
            </w:pPr>
            <w:r>
              <w:t>&lt; 99%</w:t>
            </w:r>
          </w:p>
        </w:tc>
        <w:tc>
          <w:tcPr>
            <w:tcW w:w="5400" w:type="dxa"/>
          </w:tcPr>
          <w:p w14:paraId="0A822267" w14:textId="77777777" w:rsidR="004005AF" w:rsidRPr="0076238C" w:rsidRDefault="004005AF" w:rsidP="00F01ED6">
            <w:pPr>
              <w:pStyle w:val="ProductList-OfferingBody"/>
              <w:jc w:val="center"/>
            </w:pPr>
            <w:r>
              <w:t>25%</w:t>
            </w:r>
          </w:p>
        </w:tc>
      </w:tr>
    </w:tbl>
    <w:bookmarkStart w:id="215" w:name="_Toc52348929"/>
    <w:p w14:paraId="6D513C5D"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FEFD78F" w14:textId="77777777" w:rsidR="00763855" w:rsidRDefault="00763855">
      <w:pPr>
        <w:rPr>
          <w:rFonts w:asciiTheme="majorHAnsi" w:hAnsiTheme="majorHAnsi"/>
          <w:b/>
          <w:color w:val="0072C6"/>
          <w:sz w:val="28"/>
        </w:rPr>
      </w:pPr>
      <w:r>
        <w:br w:type="page"/>
      </w:r>
    </w:p>
    <w:p w14:paraId="2F41EBE9" w14:textId="1D97B462" w:rsidR="00CD240F" w:rsidRPr="00CD240F" w:rsidRDefault="00CD240F" w:rsidP="00E55E03">
      <w:pPr>
        <w:pStyle w:val="ProductList-Offering2Heading"/>
        <w:tabs>
          <w:tab w:val="clear" w:pos="360"/>
          <w:tab w:val="clear" w:pos="720"/>
          <w:tab w:val="clear" w:pos="1080"/>
        </w:tabs>
        <w:outlineLvl w:val="2"/>
      </w:pPr>
      <w:bookmarkStart w:id="216" w:name="_Toc239176457"/>
      <w:r>
        <w:lastRenderedPageBreak/>
        <w:t>Azure Databricks</w:t>
      </w:r>
      <w:bookmarkEnd w:id="216"/>
    </w:p>
    <w:p w14:paraId="0F040D15" w14:textId="77777777" w:rsidR="00CD240F" w:rsidRPr="00CD240F" w:rsidRDefault="00CD240F" w:rsidP="00F01ED6">
      <w:pPr>
        <w:pStyle w:val="ProductList-Body"/>
        <w:rPr>
          <w:b/>
          <w:bCs/>
          <w:color w:val="00188F"/>
        </w:rPr>
      </w:pPr>
      <w:r>
        <w:rPr>
          <w:b/>
          <w:bCs/>
          <w:color w:val="00188F"/>
        </w:rPr>
        <w:t>Definições Adicionais</w:t>
      </w:r>
    </w:p>
    <w:p w14:paraId="2976A464" w14:textId="7F01D4C0" w:rsidR="00CD240F" w:rsidRDefault="00380305" w:rsidP="00F01ED6">
      <w:pPr>
        <w:pStyle w:val="ProductList-Body"/>
      </w:pPr>
      <w:r>
        <w:t>“</w:t>
      </w:r>
      <w:r w:rsidR="00CD240F">
        <w:rPr>
          <w:b/>
          <w:bCs/>
          <w:color w:val="00188F"/>
        </w:rPr>
        <w:t>Gateway do Azure Databricks</w:t>
      </w:r>
      <w:r>
        <w:t>”</w:t>
      </w:r>
      <w:r w:rsidR="00CD240F">
        <w:t xml:space="preserve"> é um conjunto de recursos informáticos que aproxima os pedidos de API e UI entre o Cliente e o Azure Databricks.</w:t>
      </w:r>
    </w:p>
    <w:p w14:paraId="120D2066" w14:textId="1B4FBB93" w:rsidR="00CD240F" w:rsidRPr="00CD240F" w:rsidRDefault="00EE6E3C" w:rsidP="00F01ED6">
      <w:pPr>
        <w:pStyle w:val="ProductList-Body"/>
        <w:spacing w:before="120"/>
        <w:rPr>
          <w:b/>
          <w:bCs/>
          <w:color w:val="00188F"/>
        </w:rPr>
      </w:pPr>
      <w:r>
        <w:rPr>
          <w:b/>
          <w:bCs/>
          <w:color w:val="00188F"/>
        </w:rPr>
        <w:t>Cálculo do Período de Disponibilidade e Níveis de Serviço para o Azure Databricks</w:t>
      </w:r>
    </w:p>
    <w:p w14:paraId="1CA09F9B" w14:textId="6FB9767B" w:rsidR="00CD240F" w:rsidRDefault="00380305" w:rsidP="00F01ED6">
      <w:pPr>
        <w:pStyle w:val="ProductList-Body"/>
      </w:pPr>
      <w:r>
        <w:t>“</w:t>
      </w:r>
      <w:r w:rsidR="00CD240F">
        <w:rPr>
          <w:b/>
          <w:bCs/>
          <w:color w:val="00188F"/>
        </w:rPr>
        <w:t>Máximo de Minutos Disponíveis</w:t>
      </w:r>
      <w:r>
        <w:t>”</w:t>
      </w:r>
      <w:r w:rsidR="00CD240F">
        <w:t xml:space="preserve"> é o número total de minutos em todos os espaços de trabalho do Azure Databricks implementados pelo Cliente numa determinada subscrição do Microsoft Azure durante um Período Aplicável.</w:t>
      </w:r>
    </w:p>
    <w:p w14:paraId="7E3ED12B" w14:textId="5CCD475D" w:rsidR="00CD240F" w:rsidRPr="00E80B8A" w:rsidRDefault="00380305" w:rsidP="00F01ED6">
      <w:pPr>
        <w:pStyle w:val="ProductList-Body"/>
        <w:rPr>
          <w:spacing w:val="-2"/>
        </w:rPr>
      </w:pPr>
      <w:r>
        <w:rPr>
          <w:spacing w:val="-2"/>
        </w:rPr>
        <w:t>“</w:t>
      </w:r>
      <w:r w:rsidR="00CD240F" w:rsidRPr="00E80B8A">
        <w:rPr>
          <w:b/>
          <w:bCs/>
          <w:color w:val="00188F"/>
          <w:spacing w:val="-2"/>
        </w:rPr>
        <w:t>Período de Indisponibilidade</w:t>
      </w:r>
      <w:r>
        <w:rPr>
          <w:spacing w:val="-2"/>
        </w:rPr>
        <w:t>”</w:t>
      </w:r>
      <w:r w:rsidR="00CD240F" w:rsidRPr="00E80B8A">
        <w:rPr>
          <w:spacing w:val="-2"/>
        </w:rPr>
        <w:t xml:space="preserve"> designa o total de minutos acumulados de indisponibilidade em todos os espaços de trabalho do Azure Databricks implementadas numa determinada subscrição do Microsoft Azure. Um minuto é considerado indisponível para um determinado espaço de trabalho do</w:t>
      </w:r>
      <w:r w:rsidR="004C15BB">
        <w:rPr>
          <w:spacing w:val="-2"/>
        </w:rPr>
        <w:t> </w:t>
      </w:r>
      <w:r w:rsidR="00CD240F" w:rsidRPr="00E80B8A">
        <w:rPr>
          <w:spacing w:val="-2"/>
        </w:rPr>
        <w:t>Azure Databricks se falharem todas as tentativas contínuas nesse minuto para estabelecer uma ligação com o Gateway do Azure Databricks.</w:t>
      </w:r>
    </w:p>
    <w:p w14:paraId="43314FEF" w14:textId="3F29D6CF" w:rsidR="00CD240F" w:rsidRDefault="00CD240F" w:rsidP="00F01ED6">
      <w:pPr>
        <w:pStyle w:val="ProductList-Body"/>
      </w:pPr>
      <w:r>
        <w:t xml:space="preserve">A </w:t>
      </w:r>
      <w:r w:rsidR="00380305">
        <w:t>“</w:t>
      </w:r>
      <w:r>
        <w:rPr>
          <w:b/>
          <w:bCs/>
          <w:color w:val="00188F"/>
        </w:rPr>
        <w:t>Percentagem de Período de Disponibilidade</w:t>
      </w:r>
      <w:r w:rsidR="00380305">
        <w:t>”</w:t>
      </w:r>
      <w:r>
        <w:t xml:space="preserve"> para o Serviço Azure Databricks é calculada como o Máximo de Minutos Disponíveis menos o</w:t>
      </w:r>
      <w:r w:rsidR="00C55C00">
        <w:t> </w:t>
      </w:r>
      <w:r>
        <w:t>Período de Indisponibilidade, dividido pelo Máximo de Minutos Disponíveis e multiplicado por 100. A Percentagem de Período de Disponibilidade é representada pela seguinte fórmula:</w:t>
      </w:r>
    </w:p>
    <w:p w14:paraId="54F54E67" w14:textId="77777777" w:rsidR="00CD240F" w:rsidRPr="000974C9" w:rsidRDefault="00CD240F" w:rsidP="00F01ED6">
      <w:pPr>
        <w:pStyle w:val="ProductList-Body"/>
        <w:tabs>
          <w:tab w:val="clear" w:pos="360"/>
          <w:tab w:val="clear" w:pos="720"/>
          <w:tab w:val="clear" w:pos="1080"/>
        </w:tabs>
        <w:rPr>
          <w:color w:val="000000" w:themeColor="text1"/>
          <w:sz w:val="12"/>
          <w:szCs w:val="12"/>
        </w:rPr>
      </w:pPr>
    </w:p>
    <w:p w14:paraId="61CDB55C" w14:textId="08D3E62B" w:rsidR="00CD240F" w:rsidRPr="00191B8C" w:rsidRDefault="00000000" w:rsidP="00C55C00">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3E99B09" w14:textId="77777777" w:rsidR="00CD240F" w:rsidRPr="00CD240F" w:rsidRDefault="00CD240F" w:rsidP="00F01ED6">
      <w:pPr>
        <w:pStyle w:val="ProductList-Body"/>
        <w:rPr>
          <w:b/>
          <w:bCs/>
          <w:color w:val="00188F"/>
        </w:rPr>
      </w:pPr>
      <w:r>
        <w:rPr>
          <w:b/>
          <w:bCs/>
          <w:color w:val="00188F"/>
        </w:rPr>
        <w:t>Os seguintes Níveis de Serviço e Créditos de Serviço são aplicáveis à utilização do Azure Databricks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99362B0" w14:textId="77777777" w:rsidR="00CD240F" w:rsidRPr="001A0074" w:rsidRDefault="00CD240F" w:rsidP="00F01ED6">
            <w:pPr>
              <w:pStyle w:val="ProductList-OfferingBody"/>
              <w:jc w:val="center"/>
              <w:rPr>
                <w:color w:val="FFFFFF" w:themeColor="background1"/>
              </w:rPr>
            </w:pPr>
            <w:r>
              <w:rPr>
                <w:color w:val="FFFFFF" w:themeColor="background1"/>
              </w:rPr>
              <w:t>Crédito de Serviço</w:t>
            </w:r>
          </w:p>
        </w:tc>
      </w:tr>
      <w:tr w:rsidR="00CD240F" w:rsidRPr="00B44CF9" w14:paraId="7FA90096" w14:textId="77777777" w:rsidTr="00277097">
        <w:tc>
          <w:tcPr>
            <w:tcW w:w="5400" w:type="dxa"/>
          </w:tcPr>
          <w:p w14:paraId="4BBBD8EE" w14:textId="36CF79EA" w:rsidR="00CD240F" w:rsidRPr="0076238C" w:rsidRDefault="00CD240F" w:rsidP="00F01ED6">
            <w:pPr>
              <w:pStyle w:val="ProductList-OfferingBody"/>
              <w:jc w:val="center"/>
            </w:pPr>
            <w:r>
              <w:t>&lt; 99,95%</w:t>
            </w:r>
          </w:p>
        </w:tc>
        <w:tc>
          <w:tcPr>
            <w:tcW w:w="5400" w:type="dxa"/>
          </w:tcPr>
          <w:p w14:paraId="007E12EF" w14:textId="77777777" w:rsidR="00CD240F" w:rsidRPr="0076238C" w:rsidRDefault="00CD240F" w:rsidP="00F01ED6">
            <w:pPr>
              <w:pStyle w:val="ProductList-OfferingBody"/>
              <w:jc w:val="center"/>
            </w:pPr>
            <w:r>
              <w:t>10%</w:t>
            </w:r>
          </w:p>
        </w:tc>
      </w:tr>
      <w:tr w:rsidR="00CD240F" w:rsidRPr="00B44CF9" w14:paraId="734DE1F3" w14:textId="77777777" w:rsidTr="00277097">
        <w:tc>
          <w:tcPr>
            <w:tcW w:w="5400" w:type="dxa"/>
          </w:tcPr>
          <w:p w14:paraId="11886951" w14:textId="45A71DFE" w:rsidR="00CD240F" w:rsidRPr="0076238C" w:rsidRDefault="00CD240F" w:rsidP="00F01ED6">
            <w:pPr>
              <w:pStyle w:val="ProductList-OfferingBody"/>
              <w:jc w:val="center"/>
            </w:pPr>
            <w:r>
              <w:t>&lt; 99%</w:t>
            </w:r>
          </w:p>
        </w:tc>
        <w:tc>
          <w:tcPr>
            <w:tcW w:w="5400" w:type="dxa"/>
          </w:tcPr>
          <w:p w14:paraId="393CF9F4" w14:textId="77777777" w:rsidR="00CD240F" w:rsidRPr="0076238C" w:rsidRDefault="00CD240F" w:rsidP="00F01ED6">
            <w:pPr>
              <w:pStyle w:val="ProductList-OfferingBody"/>
              <w:jc w:val="center"/>
            </w:pPr>
            <w:r>
              <w:t>25%</w:t>
            </w:r>
          </w:p>
        </w:tc>
      </w:tr>
    </w:tbl>
    <w:p w14:paraId="0EF3F482"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CB74B1B" w14:textId="77777777" w:rsidR="00447D51" w:rsidRPr="00E55E03" w:rsidRDefault="00447D51" w:rsidP="00E55E03">
      <w:pPr>
        <w:pStyle w:val="ProductList-Offering2Heading"/>
        <w:tabs>
          <w:tab w:val="clear" w:pos="360"/>
          <w:tab w:val="clear" w:pos="720"/>
          <w:tab w:val="clear" w:pos="1080"/>
        </w:tabs>
        <w:outlineLvl w:val="2"/>
      </w:pPr>
      <w:bookmarkStart w:id="217" w:name="_Toc239176458"/>
      <w:r w:rsidRPr="00E55E03">
        <w:t>Azure Databricks Lakebase</w:t>
      </w:r>
      <w:bookmarkEnd w:id="217"/>
    </w:p>
    <w:p w14:paraId="0EC90E19" w14:textId="77777777" w:rsidR="00447D51" w:rsidRPr="00906E47" w:rsidRDefault="00447D51" w:rsidP="00447D51">
      <w:pPr>
        <w:spacing w:after="0" w:line="240" w:lineRule="auto"/>
        <w:textAlignment w:val="baseline"/>
        <w:rPr>
          <w:rFonts w:ascii="Calibri" w:eastAsia="Times New Roman" w:hAnsi="Calibri" w:cs="Calibri"/>
          <w:color w:val="000000"/>
          <w:sz w:val="18"/>
          <w:szCs w:val="18"/>
        </w:rPr>
      </w:pPr>
      <w:r>
        <w:rPr>
          <w:rFonts w:ascii="Calibri" w:eastAsia="Times New Roman" w:hAnsi="Calibri" w:cs="Calibri"/>
          <w:color w:val="000000"/>
          <w:sz w:val="18"/>
          <w:szCs w:val="18"/>
        </w:rPr>
        <w:t>O Contrato de Nível de Serviço do Azure Databricks Lakebase rege a disponibilidade do Lakebase Postgres (conforme descrito na Documentação) no Azure Databricks.</w:t>
      </w:r>
    </w:p>
    <w:p w14:paraId="522E8CE7" w14:textId="77777777" w:rsidR="00447D51" w:rsidRPr="000569CC" w:rsidRDefault="00447D51" w:rsidP="00447D51">
      <w:pPr>
        <w:spacing w:after="0" w:line="240" w:lineRule="auto"/>
        <w:textAlignment w:val="baseline"/>
        <w:rPr>
          <w:rFonts w:ascii="Segoe UI" w:eastAsia="Times New Roman" w:hAnsi="Segoe UI" w:cs="Segoe UI"/>
          <w:sz w:val="18"/>
          <w:szCs w:val="18"/>
          <w:lang w:val="pt-BR"/>
        </w:rPr>
      </w:pPr>
      <w:r>
        <w:rPr>
          <w:rFonts w:ascii="Calibri" w:eastAsia="Times New Roman" w:hAnsi="Calibri" w:cs="Calibri"/>
          <w:color w:val="00188F"/>
          <w:sz w:val="18"/>
          <w:szCs w:val="18"/>
        </w:rPr>
        <w:t> </w:t>
      </w:r>
      <w:r>
        <w:rPr>
          <w:rFonts w:ascii="Calibri" w:eastAsia="Times New Roman" w:hAnsi="Calibri" w:cs="Calibri"/>
          <w:b/>
          <w:bCs/>
          <w:color w:val="00188F"/>
          <w:sz w:val="18"/>
          <w:szCs w:val="18"/>
        </w:rPr>
        <w:t>Definições Adicionais</w:t>
      </w:r>
      <w:r>
        <w:rPr>
          <w:rFonts w:ascii="Calibri" w:eastAsia="Times New Roman" w:hAnsi="Calibri" w:cs="Calibri"/>
          <w:sz w:val="18"/>
          <w:szCs w:val="18"/>
        </w:rPr>
        <w:t>:</w:t>
      </w:r>
    </w:p>
    <w:p w14:paraId="5EE0601E" w14:textId="77777777" w:rsidR="00447D51" w:rsidRPr="00906E47" w:rsidRDefault="00447D51" w:rsidP="00447D51">
      <w:pPr>
        <w:spacing w:after="0" w:line="240" w:lineRule="auto"/>
        <w:rPr>
          <w:rFonts w:ascii="Calibri" w:eastAsia="Times New Roman" w:hAnsi="Calibri" w:cs="Calibri"/>
          <w:color w:val="000000"/>
          <w:sz w:val="18"/>
          <w:szCs w:val="18"/>
        </w:rPr>
      </w:pPr>
      <w:r>
        <w:rPr>
          <w:rFonts w:ascii="Calibri" w:eastAsia="Cambria" w:hAnsi="Calibri" w:cs="Calibri"/>
          <w:b/>
          <w:color w:val="00188F"/>
          <w:sz w:val="18"/>
        </w:rPr>
        <w:t>“Cadeia de Ligação Coberta”</w:t>
      </w:r>
      <w:r>
        <w:rPr>
          <w:rFonts w:ascii="Calibri" w:eastAsia="Times New Roman" w:hAnsi="Calibri" w:cs="Calibri"/>
          <w:color w:val="000000"/>
          <w:sz w:val="18"/>
          <w:szCs w:val="18"/>
        </w:rPr>
        <w:t xml:space="preserve"> designa qualquer cadeia de ligação de Ponto Final de Lakebase, excluindo as cadeias de ligação a instâncias de computação secundárias dentro de um ponto final de elevada disponibilidade (conforme descrito na Documentação).</w:t>
      </w:r>
    </w:p>
    <w:p w14:paraId="60D455CF" w14:textId="77777777" w:rsidR="00447D51" w:rsidRPr="000569CC" w:rsidRDefault="00447D51" w:rsidP="00447D51">
      <w:pPr>
        <w:spacing w:after="0" w:line="240" w:lineRule="auto"/>
        <w:rPr>
          <w:rFonts w:ascii="Calibri" w:eastAsia="Aptos" w:hAnsi="Calibri" w:cs="Calibri"/>
          <w:b/>
          <w:bCs/>
          <w:sz w:val="18"/>
          <w:szCs w:val="18"/>
          <w:lang w:val="pt-BR"/>
        </w:rPr>
      </w:pPr>
      <w:r>
        <w:rPr>
          <w:rFonts w:ascii="Calibri" w:eastAsia="Cambria" w:hAnsi="Calibri" w:cs="Calibri"/>
          <w:b/>
          <w:color w:val="00188F"/>
          <w:sz w:val="18"/>
        </w:rPr>
        <w:t>“Documentação”</w:t>
      </w:r>
      <w:r>
        <w:rPr>
          <w:rFonts w:ascii="Calibri" w:eastAsia="Aptos" w:hAnsi="Calibri" w:cs="Calibri"/>
          <w:sz w:val="18"/>
          <w:szCs w:val="18"/>
        </w:rPr>
        <w:t xml:space="preserve"> designa a documentação então em vigor relativa ao Azure Databricks, disponível em </w:t>
      </w:r>
      <w:hyperlink r:id="rId22">
        <w:r>
          <w:rPr>
            <w:rFonts w:ascii="Calibri" w:eastAsia="Aptos" w:hAnsi="Calibri" w:cs="Calibri"/>
            <w:color w:val="1155CC"/>
            <w:sz w:val="18"/>
            <w:szCs w:val="18"/>
            <w:u w:val="single"/>
          </w:rPr>
          <w:t>https://learn.microsoft.com/en-us/azure/databricks/</w:t>
        </w:r>
      </w:hyperlink>
      <w:r>
        <w:rPr>
          <w:rFonts w:ascii="Calibri" w:eastAsia="Aptos" w:hAnsi="Calibri" w:cs="Calibri"/>
          <w:sz w:val="18"/>
          <w:szCs w:val="18"/>
        </w:rPr>
        <w:t xml:space="preserve"> (ou numa localização sucessora).</w:t>
      </w:r>
    </w:p>
    <w:p w14:paraId="4CECCA27" w14:textId="77777777" w:rsidR="00447D51" w:rsidRPr="000569CC" w:rsidRDefault="00447D51" w:rsidP="00447D51">
      <w:pPr>
        <w:spacing w:after="0" w:line="240" w:lineRule="auto"/>
        <w:rPr>
          <w:rFonts w:ascii="Calibri" w:eastAsia="Aptos" w:hAnsi="Calibri" w:cs="Calibri"/>
          <w:sz w:val="18"/>
          <w:szCs w:val="18"/>
          <w:lang w:val="pt-BR"/>
        </w:rPr>
      </w:pPr>
      <w:r>
        <w:rPr>
          <w:rFonts w:ascii="Calibri" w:eastAsia="Cambria" w:hAnsi="Calibri" w:cs="Calibri"/>
          <w:b/>
          <w:color w:val="00188F"/>
          <w:sz w:val="18"/>
        </w:rPr>
        <w:t>“Tempo de Inatividade”</w:t>
      </w:r>
      <w:r>
        <w:rPr>
          <w:rFonts w:ascii="Calibri" w:eastAsia="Aptos" w:hAnsi="Calibri" w:cs="Calibri"/>
          <w:sz w:val="18"/>
          <w:szCs w:val="18"/>
        </w:rPr>
        <w:t xml:space="preserve"> designa que a Cadeia de Ligação Coberta de um Ponto Final de Lakebase em estado ativo não apresenta conectividade bem-sucedida, excluindo as Exclusões do SLA, e outras limitações, tal como acima referido, durante um intervalo de um minuto, conforme determinado pela Microsoft. Considera-se que um Ponto Final de Lakebase não tem conectividade bem-sucedida durante um intervalo de um minuto se todas as tentativas contínuas do Cliente para estabelecer uma ligação a um Ponto Final de Lakebase através da Cadeia de Ligação Coberta, realizadas ao longo desse minuto, falharem.</w:t>
      </w:r>
    </w:p>
    <w:p w14:paraId="33141FD9" w14:textId="77777777" w:rsidR="00447D51" w:rsidRPr="000569CC" w:rsidRDefault="00447D51" w:rsidP="00447D51">
      <w:pPr>
        <w:spacing w:after="0" w:line="240" w:lineRule="auto"/>
        <w:rPr>
          <w:rFonts w:ascii="Calibri" w:eastAsia="Aptos" w:hAnsi="Calibri" w:cs="Calibri"/>
          <w:b/>
          <w:bCs/>
          <w:sz w:val="18"/>
          <w:szCs w:val="18"/>
          <w:lang w:val="pt-BR"/>
        </w:rPr>
      </w:pPr>
      <w:r>
        <w:rPr>
          <w:rFonts w:ascii="Calibri" w:eastAsia="Cambria" w:hAnsi="Calibri" w:cs="Calibri"/>
          <w:b/>
          <w:color w:val="00188F"/>
          <w:sz w:val="18"/>
        </w:rPr>
        <w:t>“Ponto Final Lakebase”</w:t>
      </w:r>
      <w:r>
        <w:rPr>
          <w:rFonts w:ascii="Calibri" w:eastAsia="Aptos" w:hAnsi="Calibri" w:cs="Calibri"/>
          <w:sz w:val="18"/>
          <w:szCs w:val="18"/>
        </w:rPr>
        <w:t xml:space="preserve"> designa um Ponto Final do Lakebase, conforme descrito na documentação.</w:t>
      </w:r>
    </w:p>
    <w:p w14:paraId="26168DF8" w14:textId="77777777" w:rsidR="00447D51" w:rsidRPr="000569CC" w:rsidRDefault="00447D51" w:rsidP="00447D51">
      <w:pPr>
        <w:spacing w:after="0" w:line="240" w:lineRule="auto"/>
        <w:rPr>
          <w:rFonts w:ascii="Calibri" w:eastAsia="Aptos" w:hAnsi="Calibri" w:cs="Calibri"/>
          <w:sz w:val="18"/>
          <w:szCs w:val="18"/>
          <w:lang w:val="pt-BR"/>
        </w:rPr>
      </w:pPr>
      <w:r>
        <w:rPr>
          <w:rFonts w:ascii="Calibri" w:eastAsia="Cambria" w:hAnsi="Calibri" w:cs="Calibri"/>
          <w:b/>
          <w:color w:val="00188F"/>
          <w:sz w:val="18"/>
        </w:rPr>
        <w:t>“Máximo de Minutos Disponíveis”</w:t>
      </w:r>
      <w:r>
        <w:rPr>
          <w:rFonts w:ascii="Calibri" w:eastAsia="Aptos" w:hAnsi="Calibri" w:cs="Calibri"/>
          <w:sz w:val="18"/>
          <w:szCs w:val="18"/>
        </w:rPr>
        <w:t xml:space="preserve"> designa o número total de minutos durante um mês civil.</w:t>
      </w:r>
    </w:p>
    <w:p w14:paraId="4A51172B" w14:textId="77777777" w:rsidR="00447D51" w:rsidRPr="000569CC" w:rsidRDefault="00447D51" w:rsidP="00447D51">
      <w:pPr>
        <w:spacing w:after="0" w:line="240" w:lineRule="auto"/>
        <w:rPr>
          <w:rFonts w:ascii="Calibri" w:eastAsia="Aptos" w:hAnsi="Calibri" w:cs="Calibri"/>
          <w:sz w:val="18"/>
          <w:szCs w:val="18"/>
          <w:lang w:val="pt-BR"/>
        </w:rPr>
      </w:pPr>
      <w:r w:rsidRPr="000569CC">
        <w:rPr>
          <w:rFonts w:ascii="Calibri" w:eastAsia="Aptos" w:hAnsi="Calibri" w:cs="Calibri"/>
          <w:sz w:val="18"/>
          <w:szCs w:val="18"/>
        </w:rPr>
        <w:t xml:space="preserve">A </w:t>
      </w:r>
      <w:r>
        <w:rPr>
          <w:rFonts w:ascii="Calibri" w:eastAsia="Cambria" w:hAnsi="Calibri" w:cs="Calibri"/>
          <w:b/>
          <w:color w:val="00188F"/>
          <w:sz w:val="18"/>
        </w:rPr>
        <w:t>“Percentagem de Atividade Mensal”</w:t>
      </w:r>
      <w:r>
        <w:rPr>
          <w:rFonts w:ascii="Calibri" w:eastAsia="Aptos" w:hAnsi="Calibri" w:cs="Calibri"/>
          <w:sz w:val="18"/>
          <w:szCs w:val="18"/>
        </w:rPr>
        <w:t xml:space="preserve"> para um Ponto Final de Lakebase é calculada como o Máximo de Minutos Disponíveis menos o Tempo de Inatividade a dividir pelo Máximo de Minutos Disponíveis multiplicado por 100.</w:t>
      </w:r>
    </w:p>
    <w:p w14:paraId="23F2AFAE" w14:textId="77777777" w:rsidR="00447D51" w:rsidRPr="00906E47" w:rsidRDefault="00000000" w:rsidP="00E55E03">
      <w:pPr>
        <w:spacing w:before="120" w:after="120" w:line="240" w:lineRule="auto"/>
        <w:jc w:val="center"/>
        <w:rPr>
          <w:rFonts w:ascii="Aptos" w:eastAsia="Aptos" w:hAnsi="Aptos" w:cs="Aptos"/>
          <w:b/>
          <w:bCs/>
          <w:sz w:val="24"/>
          <w:szCs w:val="24"/>
          <w:lang w:val="en"/>
        </w:rPr>
      </w:pPr>
      <m:oMathPara>
        <m:oMath>
          <m:f>
            <m:fPr>
              <m:ctrlPr>
                <w:rPr>
                  <w:rFonts w:ascii="Cambria Math" w:eastAsia="Cambria Math" w:hAnsi="Cambria Math" w:cs="Cambria Math"/>
                  <w:i/>
                  <w:iCs/>
                  <w:sz w:val="18"/>
                  <w:szCs w:val="18"/>
                  <w:lang w:val="en"/>
                </w:rPr>
              </m:ctrlPr>
            </m:fPr>
            <m:num>
              <m:r>
                <w:rPr>
                  <w:rFonts w:ascii="Cambria Math" w:eastAsia="Cambria Math" w:hAnsi="Cambria Math" w:cs="Cambria Math"/>
                  <w:sz w:val="18"/>
                  <w:szCs w:val="18"/>
                  <w:lang w:val="en"/>
                </w:rPr>
                <m:t>Máximo de Minutos Disponíveis-Tempo de Inatividade</m:t>
              </m:r>
            </m:num>
            <m:den>
              <m:r>
                <w:rPr>
                  <w:rFonts w:ascii="Cambria Math" w:eastAsia="Cambria Math" w:hAnsi="Cambria Math" w:cs="Cambria Math"/>
                  <w:sz w:val="18"/>
                  <w:szCs w:val="18"/>
                  <w:lang w:val="en"/>
                </w:rPr>
                <m:t>Máximo de Minutos Disponíveis</m:t>
              </m:r>
            </m:den>
          </m:f>
          <m:r>
            <w:rPr>
              <w:rFonts w:ascii="Cambria Math" w:eastAsia="Cambria Math" w:hAnsi="Cambria Math" w:cs="Cambria Math"/>
              <w:sz w:val="18"/>
              <w:szCs w:val="18"/>
              <w:lang w:val="en"/>
            </w:rPr>
            <m:t xml:space="preserve"> x 100</m:t>
          </m:r>
        </m:oMath>
      </m:oMathPara>
    </w:p>
    <w:p w14:paraId="304A5EA2" w14:textId="77777777" w:rsidR="00447D51" w:rsidRPr="000569CC" w:rsidRDefault="00447D51" w:rsidP="00447D51">
      <w:pPr>
        <w:spacing w:after="0" w:line="240" w:lineRule="auto"/>
        <w:rPr>
          <w:rFonts w:ascii="Calibri" w:eastAsia="Aptos" w:hAnsi="Calibri" w:cs="Calibri"/>
          <w:sz w:val="18"/>
          <w:szCs w:val="18"/>
          <w:lang w:val="pt-BR"/>
        </w:rPr>
      </w:pPr>
      <w:r>
        <w:rPr>
          <w:rFonts w:ascii="Calibri" w:eastAsia="Cambria" w:hAnsi="Calibri" w:cs="Calibri"/>
          <w:b/>
          <w:color w:val="00188F"/>
          <w:sz w:val="18"/>
        </w:rPr>
        <w:t>“Exclusões do SLA”</w:t>
      </w:r>
      <w:r>
        <w:rPr>
          <w:rFonts w:ascii="Calibri" w:eastAsia="Aptos" w:hAnsi="Calibri" w:cs="Calibri"/>
          <w:sz w:val="18"/>
          <w:szCs w:val="18"/>
        </w:rPr>
        <w:t xml:space="preserve"> designa que um Ponto Final de Lakebase não consiga estabelecer ligação com êxito num intervalo de um minuto pelas seguintes razões ou nas seguintes condições:</w:t>
      </w:r>
    </w:p>
    <w:p w14:paraId="301D3E13" w14:textId="77777777" w:rsidR="00447D51" w:rsidRPr="000569CC" w:rsidRDefault="00447D51" w:rsidP="00447D51">
      <w:pPr>
        <w:numPr>
          <w:ilvl w:val="0"/>
          <w:numId w:val="39"/>
        </w:numPr>
        <w:spacing w:after="0" w:line="240" w:lineRule="auto"/>
        <w:rPr>
          <w:rFonts w:ascii="Calibri" w:eastAsia="Aptos" w:hAnsi="Calibri" w:cs="Calibri"/>
          <w:sz w:val="18"/>
          <w:szCs w:val="18"/>
          <w:lang w:val="pt-BR"/>
        </w:rPr>
      </w:pPr>
      <w:r>
        <w:rPr>
          <w:rFonts w:ascii="Calibri" w:eastAsia="Aptos" w:hAnsi="Calibri" w:cs="Calibri"/>
          <w:sz w:val="18"/>
          <w:szCs w:val="18"/>
        </w:rPr>
        <w:t>o incumprimento, por parte do Cliente, do Contrato ou das recomendações, se existirem, feitas pela Databricks na prestação dos serviços de suporte;</w:t>
      </w:r>
    </w:p>
    <w:p w14:paraId="6CE334D8" w14:textId="77777777" w:rsidR="00447D51" w:rsidRPr="000569CC" w:rsidRDefault="00447D51" w:rsidP="00447D51">
      <w:pPr>
        <w:numPr>
          <w:ilvl w:val="0"/>
          <w:numId w:val="39"/>
        </w:numPr>
        <w:spacing w:after="0" w:line="240" w:lineRule="auto"/>
        <w:rPr>
          <w:rFonts w:ascii="Calibri" w:eastAsia="Aptos" w:hAnsi="Calibri" w:cs="Calibri"/>
          <w:sz w:val="18"/>
          <w:szCs w:val="18"/>
          <w:lang w:val="pt-BR"/>
        </w:rPr>
      </w:pPr>
      <w:r>
        <w:rPr>
          <w:rFonts w:ascii="Calibri" w:eastAsia="Aptos" w:hAnsi="Calibri" w:cs="Calibri"/>
          <w:sz w:val="18"/>
          <w:szCs w:val="18"/>
        </w:rPr>
        <w:t>atos ou omissões do Cliente ou do Utilizador Autorizado, incluindo o incumprimento das melhores práticas descritas na Documentação (por exemplo, sobrecarregar a base de dados) e a falta de resposta a problemas relacionados com o estado dos recursos; ou</w:t>
      </w:r>
    </w:p>
    <w:p w14:paraId="636F296B" w14:textId="77777777" w:rsidR="00447D51" w:rsidRPr="000569CC" w:rsidRDefault="00447D51" w:rsidP="00447D51">
      <w:pPr>
        <w:numPr>
          <w:ilvl w:val="0"/>
          <w:numId w:val="39"/>
        </w:numPr>
        <w:spacing w:after="0" w:line="240" w:lineRule="auto"/>
        <w:rPr>
          <w:rFonts w:ascii="Calibri" w:eastAsia="Aptos" w:hAnsi="Calibri" w:cs="Calibri"/>
          <w:sz w:val="18"/>
          <w:szCs w:val="18"/>
          <w:lang w:val="pt-BR"/>
        </w:rPr>
      </w:pPr>
      <w:r>
        <w:rPr>
          <w:rFonts w:ascii="Calibri" w:eastAsia="Aptos" w:hAnsi="Calibri" w:cs="Calibri"/>
          <w:sz w:val="18"/>
          <w:szCs w:val="18"/>
        </w:rPr>
        <w:t>utilização de um Ponto Final do Lakebase em conjunto com uma funcionalidade ou serviço designado como “beta”, “experimental”, “pré-visualização” ou algo semelhante. </w:t>
      </w:r>
    </w:p>
    <w:p w14:paraId="3A94DDE4" w14:textId="77777777" w:rsidR="00447D51" w:rsidRPr="00906E47" w:rsidRDefault="00447D51" w:rsidP="00447D51">
      <w:pPr>
        <w:spacing w:after="0" w:line="240" w:lineRule="auto"/>
        <w:rPr>
          <w:rFonts w:ascii="Calibri" w:eastAsia="Aptos" w:hAnsi="Calibri" w:cs="Calibri"/>
          <w:sz w:val="18"/>
          <w:szCs w:val="18"/>
          <w:lang w:val="en"/>
        </w:rPr>
      </w:pPr>
      <w:r>
        <w:rPr>
          <w:rFonts w:ascii="Calibri" w:eastAsia="Cambria" w:hAnsi="Calibri" w:cs="Calibri"/>
          <w:b/>
          <w:color w:val="00188F"/>
          <w:sz w:val="18"/>
        </w:rPr>
        <w:t>“Informações de Verificação”</w:t>
      </w:r>
      <w:r>
        <w:rPr>
          <w:rFonts w:ascii="Calibri" w:eastAsia="Aptos" w:hAnsi="Calibri" w:cs="Calibri"/>
          <w:sz w:val="18"/>
          <w:szCs w:val="18"/>
        </w:rPr>
        <w:t xml:space="preserve"> designa</w:t>
      </w:r>
    </w:p>
    <w:p w14:paraId="7C113C81" w14:textId="77777777" w:rsidR="00447D51" w:rsidRPr="000569CC" w:rsidRDefault="00447D51" w:rsidP="00447D51">
      <w:pPr>
        <w:numPr>
          <w:ilvl w:val="0"/>
          <w:numId w:val="40"/>
        </w:numPr>
        <w:spacing w:after="0" w:line="240" w:lineRule="auto"/>
        <w:rPr>
          <w:rFonts w:ascii="Calibri" w:eastAsia="Aptos" w:hAnsi="Calibri" w:cs="Calibri"/>
          <w:sz w:val="18"/>
          <w:szCs w:val="18"/>
          <w:lang w:val="pt-BR"/>
        </w:rPr>
      </w:pPr>
      <w:r>
        <w:rPr>
          <w:rFonts w:ascii="Calibri" w:eastAsia="Aptos" w:hAnsi="Calibri" w:cs="Calibri"/>
          <w:sz w:val="18"/>
          <w:szCs w:val="18"/>
        </w:rPr>
        <w:t>uma descrição detalhada dos eventos que conduziram ao Tempo de Inatividade, incluindo o ID de Área de Trabalho do Cliente, o ID de Ponto Final de Lakebase e os registos de pedidos que documentam os erros e corroboram o Tempo de Inatividade alegado pelo Cliente (com quaisquer informações confidenciais ou sensíveis nos registos removidas ou substituídas por asteriscos); e</w:t>
      </w:r>
    </w:p>
    <w:p w14:paraId="3C4B2869" w14:textId="77777777" w:rsidR="00447D51" w:rsidRPr="000569CC" w:rsidRDefault="00447D51" w:rsidP="00447D51">
      <w:pPr>
        <w:numPr>
          <w:ilvl w:val="0"/>
          <w:numId w:val="40"/>
        </w:numPr>
        <w:spacing w:after="120" w:line="240" w:lineRule="auto"/>
        <w:rPr>
          <w:rFonts w:ascii="Calibri" w:eastAsia="Aptos" w:hAnsi="Calibri" w:cs="Calibri"/>
          <w:sz w:val="18"/>
          <w:szCs w:val="18"/>
          <w:lang w:val="pt-BR"/>
        </w:rPr>
      </w:pPr>
      <w:r>
        <w:rPr>
          <w:rFonts w:ascii="Calibri" w:eastAsia="Aptos" w:hAnsi="Calibri" w:cs="Calibri"/>
          <w:sz w:val="18"/>
          <w:szCs w:val="18"/>
        </w:rPr>
        <w:t>descrições das tentativas do Cliente para resolver o Tempo de Inatividade no momento em que este ocorreu.</w:t>
      </w:r>
    </w:p>
    <w:p w14:paraId="2A5A0E40" w14:textId="77777777" w:rsidR="00447D51" w:rsidRPr="00906E47" w:rsidRDefault="00447D51" w:rsidP="00447D51">
      <w:pPr>
        <w:spacing w:after="0" w:line="240" w:lineRule="auto"/>
        <w:rPr>
          <w:rFonts w:ascii="Calibri" w:eastAsia="Cambria" w:hAnsi="Calibri" w:cs="Calibri"/>
          <w:b/>
          <w:color w:val="00188F"/>
          <w:sz w:val="18"/>
        </w:rPr>
      </w:pPr>
      <w:r>
        <w:rPr>
          <w:rFonts w:ascii="Calibri" w:eastAsia="Cambria" w:hAnsi="Calibri" w:cs="Calibri"/>
          <w:b/>
          <w:color w:val="00188F"/>
          <w:sz w:val="18"/>
        </w:rPr>
        <w:lastRenderedPageBreak/>
        <w:t>Reclamações</w:t>
      </w:r>
    </w:p>
    <w:p w14:paraId="5BE17960" w14:textId="77777777" w:rsidR="00447D51" w:rsidRPr="000569CC" w:rsidRDefault="00447D51" w:rsidP="00447D51">
      <w:pPr>
        <w:spacing w:after="120" w:line="240" w:lineRule="auto"/>
        <w:rPr>
          <w:rFonts w:ascii="Calibri" w:eastAsia="Aptos" w:hAnsi="Calibri" w:cs="Calibri"/>
          <w:sz w:val="18"/>
          <w:szCs w:val="18"/>
          <w:lang w:val="pt-BR"/>
        </w:rPr>
      </w:pPr>
      <w:r>
        <w:rPr>
          <w:rFonts w:ascii="Calibri" w:eastAsia="Aptos" w:hAnsi="Calibri" w:cs="Calibri"/>
          <w:sz w:val="18"/>
          <w:szCs w:val="18"/>
        </w:rPr>
        <w:t>A não apresentação, por parte do cliente, das Informações de Verificação juntamente com a apresentação do pedido, para além dos requisitos de apresentação de pedidos de indemnização acima descritos, resultará na rejeição dos pedidos de indemnização.</w:t>
      </w:r>
    </w:p>
    <w:p w14:paraId="73FA46B1" w14:textId="77777777" w:rsidR="00447D51" w:rsidRPr="00906E47" w:rsidRDefault="00447D51" w:rsidP="00447D51">
      <w:pPr>
        <w:spacing w:after="0" w:line="240" w:lineRule="auto"/>
        <w:rPr>
          <w:rFonts w:ascii="Calibri" w:eastAsia="Cambria" w:hAnsi="Calibri" w:cs="Calibri"/>
          <w:b/>
          <w:color w:val="00188F"/>
          <w:sz w:val="18"/>
        </w:rPr>
      </w:pPr>
      <w:r>
        <w:rPr>
          <w:rFonts w:ascii="Calibri" w:eastAsia="Cambria" w:hAnsi="Calibri" w:cs="Calibri"/>
          <w:b/>
          <w:color w:val="00188F"/>
          <w:sz w:val="18"/>
        </w:rPr>
        <w:t>Disponibilidade do Serviço e Créditos de Serviço</w:t>
      </w:r>
    </w:p>
    <w:p w14:paraId="6376E6F0" w14:textId="77777777" w:rsidR="00447D51" w:rsidRPr="00906E47" w:rsidRDefault="00447D51" w:rsidP="00447D51">
      <w:pPr>
        <w:spacing w:after="120" w:line="240" w:lineRule="auto"/>
        <w:rPr>
          <w:rFonts w:ascii="Calibri" w:eastAsia="Aptos" w:hAnsi="Calibri" w:cs="Calibri"/>
          <w:sz w:val="18"/>
          <w:szCs w:val="18"/>
          <w:lang w:val="en"/>
        </w:rPr>
      </w:pPr>
      <w:r>
        <w:rPr>
          <w:rFonts w:ascii="Calibri" w:eastAsia="Aptos" w:hAnsi="Calibri" w:cs="Calibri"/>
          <w:sz w:val="18"/>
          <w:szCs w:val="18"/>
        </w:rPr>
        <w:t>Não obstante qualquer disposição em contrário fora da presente secção, os Créditos de Serviço para os Pontos Finais de Lakebase serão calculados segundo a presente secção. Caso algum Ponto Final de Lakebase apresente uma Percentagem de Tempo de Atividade Mensal dentro dos intervalos aplicáveis especificados na tabela abaixo (um “</w:t>
      </w:r>
      <w:r>
        <w:rPr>
          <w:rFonts w:ascii="Calibri" w:eastAsia="Aptos" w:hAnsi="Calibri" w:cs="Calibri"/>
          <w:b/>
          <w:bCs/>
          <w:sz w:val="18"/>
          <w:szCs w:val="18"/>
        </w:rPr>
        <w:t>Evento de SLA</w:t>
      </w:r>
      <w:r>
        <w:rPr>
          <w:rFonts w:ascii="Calibri" w:eastAsia="Aptos" w:hAnsi="Calibri" w:cs="Calibri"/>
          <w:sz w:val="18"/>
          <w:szCs w:val="18"/>
        </w:rPr>
        <w:t>”), o Cliente terá direito a receber Créditos de Serviço. Os Créditos de Serviço são calculados como uma percentagem das Taxas de computação do Ponto Final de Lakebase (excluindo os impostos) que tenha registado um Evento de SLA durante o mês civil em que o Evento de SLA ocorreu. A percentagem aplicável é especificada na tabela abaixo: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447D51" w:rsidRPr="00906E47" w14:paraId="506FE933" w14:textId="77777777" w:rsidTr="0017393E">
        <w:trPr>
          <w:tblHeader/>
        </w:trPr>
        <w:tc>
          <w:tcPr>
            <w:tcW w:w="1250" w:type="pct"/>
            <w:vMerge w:val="restart"/>
            <w:shd w:val="clear" w:color="auto" w:fill="0072C6"/>
          </w:tcPr>
          <w:p w14:paraId="63868217" w14:textId="77777777" w:rsidR="00447D51" w:rsidRPr="000569CC"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pt-BR"/>
              </w:rPr>
            </w:pPr>
            <w:r>
              <w:rPr>
                <w:rFonts w:ascii="Calibri" w:eastAsia="Calibri" w:hAnsi="Calibri" w:cs="Calibri"/>
                <w:color w:val="FFFFFF"/>
                <w:sz w:val="16"/>
                <w:szCs w:val="16"/>
              </w:rPr>
              <w:t>Percentagem de Tempo de Atividade</w:t>
            </w:r>
          </w:p>
        </w:tc>
        <w:tc>
          <w:tcPr>
            <w:tcW w:w="3750" w:type="pct"/>
            <w:gridSpan w:val="3"/>
            <w:shd w:val="clear" w:color="auto" w:fill="0072C6"/>
          </w:tcPr>
          <w:p w14:paraId="3A39A4B1"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Crédito de Serviço</w:t>
            </w:r>
          </w:p>
        </w:tc>
      </w:tr>
      <w:tr w:rsidR="00447D51" w:rsidRPr="00906E47" w14:paraId="44B7ABE2" w14:textId="77777777" w:rsidTr="0017393E">
        <w:trPr>
          <w:trHeight w:val="485"/>
          <w:tblHeader/>
        </w:trPr>
        <w:tc>
          <w:tcPr>
            <w:tcW w:w="1250" w:type="pct"/>
            <w:vMerge/>
            <w:shd w:val="clear" w:color="auto" w:fill="0072C6"/>
          </w:tcPr>
          <w:p w14:paraId="70522DA1"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p>
        </w:tc>
        <w:tc>
          <w:tcPr>
            <w:tcW w:w="1250" w:type="pct"/>
            <w:shd w:val="clear" w:color="auto" w:fill="0072C6"/>
          </w:tcPr>
          <w:p w14:paraId="1BAD6D1B" w14:textId="77777777" w:rsidR="00447D51" w:rsidRPr="000569CC"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pt-BR"/>
              </w:rPr>
            </w:pPr>
            <w:r>
              <w:rPr>
                <w:rFonts w:ascii="Calibri" w:eastAsia="Calibri" w:hAnsi="Calibri" w:cs="Calibri"/>
                <w:color w:val="FFFFFF"/>
                <w:sz w:val="16"/>
                <w:szCs w:val="16"/>
              </w:rPr>
              <w:t>Pontos Finais de Lakebase de Computação Única</w:t>
            </w:r>
          </w:p>
        </w:tc>
        <w:tc>
          <w:tcPr>
            <w:tcW w:w="1250" w:type="pct"/>
            <w:shd w:val="clear" w:color="auto" w:fill="0072C6"/>
          </w:tcPr>
          <w:p w14:paraId="673F62C6" w14:textId="77777777" w:rsidR="00447D51" w:rsidRPr="000569CC"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pt-BR"/>
              </w:rPr>
            </w:pPr>
            <w:r>
              <w:rPr>
                <w:rFonts w:ascii="Calibri" w:eastAsia="Calibri" w:hAnsi="Calibri" w:cs="Calibri"/>
                <w:color w:val="FFFFFF"/>
                <w:sz w:val="16"/>
                <w:szCs w:val="16"/>
              </w:rPr>
              <w:t>Pontos Finais de Lakebase configurados no modo Alta Disponibilidade com redundância entre zonas</w:t>
            </w:r>
          </w:p>
        </w:tc>
        <w:tc>
          <w:tcPr>
            <w:tcW w:w="1250" w:type="pct"/>
            <w:shd w:val="clear" w:color="auto" w:fill="0072C6"/>
          </w:tcPr>
          <w:p w14:paraId="05BD2817" w14:textId="77777777" w:rsidR="00447D51" w:rsidRPr="000569CC"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pt-BR"/>
              </w:rPr>
            </w:pPr>
            <w:r>
              <w:rPr>
                <w:rFonts w:ascii="Calibri" w:eastAsia="Calibri" w:hAnsi="Calibri" w:cs="Calibri"/>
                <w:color w:val="FFFFFF"/>
                <w:sz w:val="16"/>
                <w:szCs w:val="16"/>
              </w:rPr>
              <w:t>Pontos Finais de Lakebase configurados no modo Alta Disponibilidade na mesma zona</w:t>
            </w:r>
          </w:p>
        </w:tc>
      </w:tr>
      <w:tr w:rsidR="00447D51" w:rsidRPr="00906E47" w14:paraId="407383A1" w14:textId="77777777" w:rsidTr="0017393E">
        <w:tc>
          <w:tcPr>
            <w:tcW w:w="1250" w:type="pct"/>
          </w:tcPr>
          <w:p w14:paraId="5549D96A"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&lt;99,99% </w:t>
            </w:r>
          </w:p>
        </w:tc>
        <w:tc>
          <w:tcPr>
            <w:tcW w:w="1250" w:type="pct"/>
          </w:tcPr>
          <w:p w14:paraId="0D2688F5"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N/A </w:t>
            </w:r>
          </w:p>
        </w:tc>
        <w:tc>
          <w:tcPr>
            <w:tcW w:w="1250" w:type="pct"/>
          </w:tcPr>
          <w:p w14:paraId="1A60E37E"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 </w:t>
            </w:r>
          </w:p>
        </w:tc>
        <w:tc>
          <w:tcPr>
            <w:tcW w:w="1250" w:type="pct"/>
          </w:tcPr>
          <w:p w14:paraId="12040D00"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N/A </w:t>
            </w:r>
          </w:p>
        </w:tc>
      </w:tr>
      <w:tr w:rsidR="00447D51" w:rsidRPr="00906E47" w14:paraId="643BBC0A" w14:textId="77777777" w:rsidTr="0017393E">
        <w:tc>
          <w:tcPr>
            <w:tcW w:w="1250" w:type="pct"/>
          </w:tcPr>
          <w:p w14:paraId="2A8D8E08"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&lt;99,9% </w:t>
            </w:r>
          </w:p>
        </w:tc>
        <w:tc>
          <w:tcPr>
            <w:tcW w:w="1250" w:type="pct"/>
          </w:tcPr>
          <w:p w14:paraId="138E9AE1"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c>
          <w:tcPr>
            <w:tcW w:w="1250" w:type="pct"/>
          </w:tcPr>
          <w:p w14:paraId="60D878A3"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c>
          <w:tcPr>
            <w:tcW w:w="1250" w:type="pct"/>
          </w:tcPr>
          <w:p w14:paraId="6B98E951"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r>
      <w:tr w:rsidR="00447D51" w:rsidRPr="00906E47" w14:paraId="51FDDD24" w14:textId="77777777" w:rsidTr="0017393E">
        <w:tc>
          <w:tcPr>
            <w:tcW w:w="1250" w:type="pct"/>
          </w:tcPr>
          <w:p w14:paraId="62A9AFF6"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 </w:t>
            </w:r>
          </w:p>
        </w:tc>
        <w:tc>
          <w:tcPr>
            <w:tcW w:w="1250" w:type="pct"/>
          </w:tcPr>
          <w:p w14:paraId="22D05286"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c>
          <w:tcPr>
            <w:tcW w:w="1250" w:type="pct"/>
          </w:tcPr>
          <w:p w14:paraId="2CFAB692"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c>
          <w:tcPr>
            <w:tcW w:w="1250" w:type="pct"/>
          </w:tcPr>
          <w:p w14:paraId="293ADB5A"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r>
      <w:tr w:rsidR="00447D51" w:rsidRPr="00906E47" w14:paraId="595ACB64" w14:textId="77777777" w:rsidTr="0017393E">
        <w:tc>
          <w:tcPr>
            <w:tcW w:w="1250" w:type="pct"/>
          </w:tcPr>
          <w:p w14:paraId="131998EE"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&lt;95% </w:t>
            </w:r>
          </w:p>
        </w:tc>
        <w:tc>
          <w:tcPr>
            <w:tcW w:w="1250" w:type="pct"/>
          </w:tcPr>
          <w:p w14:paraId="580C96AF"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c>
          <w:tcPr>
            <w:tcW w:w="1250" w:type="pct"/>
          </w:tcPr>
          <w:p w14:paraId="75FDA890"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c>
          <w:tcPr>
            <w:tcW w:w="1250" w:type="pct"/>
          </w:tcPr>
          <w:p w14:paraId="1F389938" w14:textId="77777777" w:rsidR="00447D51" w:rsidRPr="00906E47" w:rsidRDefault="00447D51"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r>
    </w:tbl>
    <w:p w14:paraId="78F08CAF" w14:textId="77777777" w:rsidR="00E55E03" w:rsidRPr="00EF7CF9" w:rsidRDefault="00E55E03" w:rsidP="00E55E0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AD966BC" w14:textId="5EC1A074" w:rsidR="007B7A97" w:rsidRDefault="007B7A97" w:rsidP="00F01ED6">
      <w:pPr>
        <w:pStyle w:val="ProductList-Offering2Heading"/>
        <w:tabs>
          <w:tab w:val="clear" w:pos="360"/>
          <w:tab w:val="clear" w:pos="720"/>
          <w:tab w:val="clear" w:pos="1080"/>
        </w:tabs>
        <w:outlineLvl w:val="2"/>
      </w:pPr>
      <w:bookmarkStart w:id="218" w:name="_Toc239176459"/>
      <w:r>
        <w:t>Gestor de Dados para Energia do Microsoft Azure</w:t>
      </w:r>
      <w:bookmarkEnd w:id="218"/>
    </w:p>
    <w:p w14:paraId="41471812" w14:textId="77777777" w:rsidR="007B7A97" w:rsidRPr="005E7AC5" w:rsidRDefault="007B7A97" w:rsidP="00F01ED6">
      <w:pPr>
        <w:pStyle w:val="ProductList-Body"/>
        <w:rPr>
          <w:b/>
          <w:color w:val="00188F"/>
        </w:rPr>
      </w:pPr>
      <w:r>
        <w:rPr>
          <w:b/>
          <w:color w:val="00188F"/>
        </w:rPr>
        <w:t>Definições adicionais:</w:t>
      </w:r>
    </w:p>
    <w:p w14:paraId="5F733D8F" w14:textId="6BC9E636" w:rsidR="007B7A97" w:rsidRDefault="00380305" w:rsidP="00F01ED6">
      <w:pPr>
        <w:spacing w:after="0" w:line="240" w:lineRule="auto"/>
      </w:pPr>
      <w:r w:rsidRPr="00380305">
        <w:rPr>
          <w:sz w:val="18"/>
        </w:rPr>
        <w:t>“</w:t>
      </w:r>
      <w:r w:rsidR="007B7A97">
        <w:rPr>
          <w:b/>
          <w:color w:val="00188F"/>
          <w:sz w:val="18"/>
        </w:rPr>
        <w:t>Cliente</w:t>
      </w:r>
      <w:r>
        <w:rPr>
          <w:sz w:val="18"/>
        </w:rPr>
        <w:t>”</w:t>
      </w:r>
      <w:r w:rsidR="007B7A97">
        <w:rPr>
          <w:sz w:val="18"/>
        </w:rPr>
        <w:t xml:space="preserve"> é a parte destinada ao utilizador final do recurso Gestor de Dados para Energia do Microsoft Azure.</w:t>
      </w:r>
      <w:r w:rsidR="007B7A97">
        <w:t xml:space="preserve"> </w:t>
      </w:r>
    </w:p>
    <w:p w14:paraId="172835FD" w14:textId="0337FC85" w:rsidR="007B7A97" w:rsidRDefault="00380305" w:rsidP="00F01ED6">
      <w:pPr>
        <w:pStyle w:val="ProductList-Body"/>
      </w:pPr>
      <w:r>
        <w:t>“</w:t>
      </w:r>
      <w:r w:rsidR="007B7A97">
        <w:rPr>
          <w:b/>
          <w:color w:val="00188F"/>
        </w:rPr>
        <w:t>Total de Pedidos de API</w:t>
      </w:r>
      <w:r>
        <w:t>”</w:t>
      </w:r>
      <w:r w:rsidR="007B7A97">
        <w:t xml:space="preserve"> designa o número total de pedidos de API autenticados feitos pelo cliente para qualquer um dos pontos finais da API do respetivo recurso Gestor de Dados para Energia do Azure durante um Período Aplicável para uma determinada subscrição do Microsoft Azure. </w:t>
      </w:r>
    </w:p>
    <w:p w14:paraId="7CABD70A" w14:textId="7BFE299D" w:rsidR="007B7A97" w:rsidRDefault="00380305" w:rsidP="00F01ED6">
      <w:pPr>
        <w:pStyle w:val="ProductList-Body"/>
      </w:pPr>
      <w:r>
        <w:t>“</w:t>
      </w:r>
      <w:r w:rsidR="007B7A97">
        <w:rPr>
          <w:b/>
          <w:color w:val="00188F"/>
        </w:rPr>
        <w:t>Pedidos de API com Falhas</w:t>
      </w:r>
      <w:r>
        <w:t>”</w:t>
      </w:r>
      <w:r w:rsidR="007B7A97">
        <w:t xml:space="preserve"> é o conjunto de todos os pedidos de API entre o Total de Pedidos de API que resultam num Código de Erro. </w:t>
      </w:r>
    </w:p>
    <w:p w14:paraId="3FDDB652" w14:textId="340EF086" w:rsidR="007B7A97" w:rsidRDefault="00AC48A7" w:rsidP="00F01ED6">
      <w:pPr>
        <w:pStyle w:val="ProductList-Body"/>
      </w:pPr>
      <w:r w:rsidRPr="00847C33">
        <w:rPr>
          <w:b/>
          <w:color w:val="00188F"/>
        </w:rPr>
        <w:t>Percentagem de Período de Disponibilidade</w:t>
      </w:r>
      <w:r>
        <w:t>: A Percentagem de Período de Disponibilidade é calculada através da seguinte fórmula:</w:t>
      </w:r>
    </w:p>
    <w:p w14:paraId="4B6C405C" w14:textId="0E56EDB4" w:rsidR="007B7A97" w:rsidRPr="005E7AC5" w:rsidRDefault="00000000" w:rsidP="00A12377">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iCs/>
                  <w:sz w:val="18"/>
                  <w:szCs w:val="18"/>
                </w:rPr>
                <m:t>Total de Pedidos da API-Pedidos da API com Falha</m:t>
              </m:r>
            </m:num>
            <m:den>
              <m:r>
                <m:rPr>
                  <m:nor/>
                </m:rPr>
                <w:rPr>
                  <w:rFonts w:ascii="Cambria Math" w:hAnsi="Cambria Math" w:cs="Tahoma"/>
                  <w:i/>
                  <w:iCs/>
                  <w:sz w:val="18"/>
                  <w:szCs w:val="18"/>
                </w:rPr>
                <m:t>Total de Pedidos da API</m:t>
              </m:r>
            </m:den>
          </m:f>
          <m:r>
            <w:rPr>
              <w:rFonts w:ascii="Cambria Math" w:hAnsi="Cambria Math" w:cs="Tahoma"/>
              <w:sz w:val="18"/>
              <w:szCs w:val="18"/>
            </w:rPr>
            <m:t xml:space="preserve"> x 100</m:t>
          </m:r>
        </m:oMath>
      </m:oMathPara>
    </w:p>
    <w:p w14:paraId="12EDEDD4" w14:textId="11044DE7" w:rsidR="007B7A97" w:rsidRPr="008A2AEE" w:rsidRDefault="007B7A97" w:rsidP="00F01ED6">
      <w:pPr>
        <w:spacing w:after="0" w:line="240" w:lineRule="auto"/>
        <w:rPr>
          <w:b/>
          <w:bCs/>
          <w:color w:val="2E74B5" w:themeColor="accent1" w:themeShade="BF"/>
          <w:sz w:val="18"/>
          <w:szCs w:val="18"/>
        </w:rPr>
      </w:pPr>
      <w:r>
        <w:rPr>
          <w:b/>
          <w:bCs/>
          <w:color w:val="2E74B5" w:themeColor="accent1" w:themeShade="BF"/>
          <w:sz w:val="18"/>
          <w:szCs w:val="18"/>
        </w:rPr>
        <w:t>Crédito de Serviço</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F01ED6">
            <w:pPr>
              <w:pStyle w:val="ProductList-OfferingBody"/>
              <w:jc w:val="center"/>
              <w:rPr>
                <w:color w:val="FFFFFF" w:themeColor="background1"/>
              </w:rPr>
            </w:pPr>
            <w:r>
              <w:rPr>
                <w:color w:val="FFFFFF" w:themeColor="background1"/>
              </w:rPr>
              <w:t>Percentagem de Período de Disponibilidade</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F01ED6">
            <w:pPr>
              <w:pStyle w:val="ProductList-OfferingBody"/>
              <w:jc w:val="center"/>
              <w:rPr>
                <w:color w:val="FFFFFF" w:themeColor="background1"/>
              </w:rPr>
            </w:pPr>
            <w:r>
              <w:rPr>
                <w:color w:val="FFFFFF" w:themeColor="background1"/>
              </w:rPr>
              <w:t>Crédito de Serviço</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596D52C2" w:rsidR="007B7A97" w:rsidRDefault="007B7A97" w:rsidP="00F01ED6">
            <w:pPr>
              <w:pStyle w:val="ProductList-OfferingBody"/>
              <w:jc w:val="center"/>
            </w:pPr>
            <w:r>
              <w:t>&lt;</w:t>
            </w:r>
            <w:r w:rsidR="00F01ED6">
              <w:t xml:space="preserve"> </w:t>
            </w:r>
            <w:r>
              <w:t>99,9%</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F01ED6">
            <w:pPr>
              <w:pStyle w:val="ProductList-OfferingBody"/>
              <w:jc w:val="center"/>
            </w:pPr>
            <w:r>
              <w:t>10%</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F01ED6">
            <w:pPr>
              <w:pStyle w:val="ProductList-OfferingBody"/>
              <w:jc w:val="center"/>
            </w:pPr>
            <w:r>
              <w:t>&lt; 99%</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F01ED6">
            <w:pPr>
              <w:pStyle w:val="ProductList-OfferingBody"/>
              <w:jc w:val="center"/>
            </w:pPr>
            <w:r>
              <w:t>25%</w:t>
            </w:r>
          </w:p>
        </w:tc>
      </w:tr>
    </w:tbl>
    <w:p w14:paraId="47A59A6E" w14:textId="77777777" w:rsidR="007B7A97" w:rsidRPr="007C69E0" w:rsidRDefault="007B7A97" w:rsidP="00F01ED6">
      <w:pPr>
        <w:spacing w:after="0" w:line="240" w:lineRule="auto"/>
        <w:rPr>
          <w:rFonts w:ascii="Segoe UI" w:hAnsi="Segoe UI" w:cs="Segoe UI"/>
          <w:sz w:val="12"/>
          <w:szCs w:val="12"/>
        </w:rPr>
      </w:pPr>
    </w:p>
    <w:p w14:paraId="37225344" w14:textId="77777777" w:rsidR="007B7A97" w:rsidRPr="005E7AC5" w:rsidRDefault="007B7A97" w:rsidP="00F01ED6">
      <w:pPr>
        <w:pStyle w:val="ProductList-Body"/>
      </w:pPr>
      <w:r>
        <w:rPr>
          <w:b/>
          <w:color w:val="00188F"/>
        </w:rPr>
        <w:t>Exceções de nível de serviço</w:t>
      </w:r>
      <w:r w:rsidRPr="00473DD3">
        <w:rPr>
          <w:b/>
          <w:color w:val="00188F"/>
        </w:rPr>
        <w:t>:</w:t>
      </w:r>
      <w:r>
        <w:t xml:space="preserve"> Os Níveis de Serviço e os Créditos de Serviço são aplicáveis à utilização que o Cliente faz da Camada Standard do Gestor de Dados para Energia do Azure. A Camada Developer do Gestor de Dados para Energia do Microsoft Azure não está sujeita a este SLA.</w:t>
      </w:r>
    </w:p>
    <w:p w14:paraId="166AF724"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F28C626" w14:textId="11313304" w:rsidR="004005AF" w:rsidRDefault="004005AF" w:rsidP="00F01ED6">
      <w:pPr>
        <w:pStyle w:val="ProductList-Offering2Heading"/>
        <w:tabs>
          <w:tab w:val="clear" w:pos="360"/>
          <w:tab w:val="clear" w:pos="720"/>
          <w:tab w:val="clear" w:pos="1080"/>
        </w:tabs>
        <w:outlineLvl w:val="2"/>
      </w:pPr>
      <w:bookmarkStart w:id="219" w:name="_Toc239176460"/>
      <w:r>
        <w:t>Azure DDoS Protection</w:t>
      </w:r>
      <w:bookmarkEnd w:id="214"/>
      <w:bookmarkEnd w:id="215"/>
      <w:bookmarkEnd w:id="219"/>
    </w:p>
    <w:p w14:paraId="5A46A1CE" w14:textId="77777777" w:rsidR="004005AF" w:rsidRPr="00DA6241" w:rsidRDefault="004005AF" w:rsidP="00F01ED6">
      <w:pPr>
        <w:pStyle w:val="ProductList-Body"/>
      </w:pPr>
      <w:r>
        <w:rPr>
          <w:b/>
          <w:color w:val="00188F"/>
        </w:rPr>
        <w:t>Definições Adicionais</w:t>
      </w:r>
      <w:r w:rsidRPr="00473DD3">
        <w:rPr>
          <w:b/>
          <w:color w:val="00188F"/>
        </w:rPr>
        <w:t>:</w:t>
      </w:r>
    </w:p>
    <w:p w14:paraId="62BA3B5E" w14:textId="2DDD44E8" w:rsidR="004005AF" w:rsidRPr="006C1AC0" w:rsidRDefault="00380305" w:rsidP="00F01ED6">
      <w:pPr>
        <w:spacing w:after="0" w:line="240" w:lineRule="auto"/>
        <w:rPr>
          <w:sz w:val="18"/>
        </w:rPr>
      </w:pPr>
      <w:r>
        <w:rPr>
          <w:sz w:val="18"/>
        </w:rPr>
        <w:t>“</w:t>
      </w:r>
      <w:r w:rsidR="004005AF">
        <w:rPr>
          <w:b/>
          <w:color w:val="00188F"/>
          <w:sz w:val="18"/>
        </w:rPr>
        <w:t>Máximo de Minutos Disponíveis</w:t>
      </w:r>
      <w:r>
        <w:rPr>
          <w:sz w:val="18"/>
          <w:szCs w:val="18"/>
        </w:rPr>
        <w:t>”</w:t>
      </w:r>
      <w:r w:rsidR="004005AF">
        <w:t xml:space="preserve"> </w:t>
      </w:r>
      <w:r w:rsidR="004005AF">
        <w:rPr>
          <w:sz w:val="18"/>
        </w:rPr>
        <w:t>designa o número total de minutos durante os quais o Serviço DDoS Protection está ativado para uma determinada subscrição do Microsoft Azure durante um Período Aplicável.</w:t>
      </w:r>
    </w:p>
    <w:p w14:paraId="1D8475B1" w14:textId="724F904D" w:rsidR="004005AF" w:rsidRPr="00ED4527" w:rsidRDefault="00380305" w:rsidP="00F01ED6">
      <w:pPr>
        <w:spacing w:after="0" w:line="240" w:lineRule="auto"/>
        <w:rPr>
          <w:color w:val="000000" w:themeColor="text1"/>
          <w:sz w:val="18"/>
        </w:rPr>
      </w:pPr>
      <w:r>
        <w:rPr>
          <w:sz w:val="18"/>
        </w:rPr>
        <w:t>“</w:t>
      </w:r>
      <w:r w:rsidR="004005AF">
        <w:rPr>
          <w:b/>
          <w:color w:val="00188F"/>
          <w:sz w:val="18"/>
        </w:rPr>
        <w:t>Período de Indisponibilidade</w:t>
      </w:r>
      <w:r>
        <w:rPr>
          <w:sz w:val="18"/>
        </w:rPr>
        <w:t>”</w:t>
      </w:r>
      <w:r w:rsidR="004005AF">
        <w:rPr>
          <w:sz w:val="18"/>
          <w:szCs w:val="18"/>
        </w:rPr>
        <w:t xml:space="preserve"> </w:t>
      </w:r>
      <w:r w:rsidR="004005AF">
        <w:rPr>
          <w:sz w:val="18"/>
        </w:rPr>
        <w:t xml:space="preserve">designa o número total de minutos durante o Máximo de Minutos Disponíveis durante os quais os recursos do Azure protegidos não estavam disponíveis. Um minuto é considerado indisponível quando o DDoS Protection não mitigou um ataque que resultou diretamente no incumprimento do </w:t>
      </w:r>
      <w:r w:rsidR="004005AF">
        <w:rPr>
          <w:color w:val="000000" w:themeColor="text1"/>
          <w:sz w:val="18"/>
        </w:rPr>
        <w:t>respetivo SLA</w:t>
      </w:r>
      <w:r w:rsidR="004005AF">
        <w:rPr>
          <w:color w:val="000000" w:themeColor="text1"/>
          <w:sz w:val="18"/>
          <w:szCs w:val="18"/>
        </w:rPr>
        <w:t xml:space="preserve"> pelos recursos do Azure subjacentes.</w:t>
      </w:r>
    </w:p>
    <w:p w14:paraId="7DA3DA65" w14:textId="217E9942" w:rsidR="004005AF" w:rsidRPr="00ED4527" w:rsidRDefault="004005AF" w:rsidP="00F01ED6">
      <w:pPr>
        <w:pStyle w:val="ProductList-Body"/>
        <w:rPr>
          <w:bCs/>
          <w:color w:val="000000" w:themeColor="text1"/>
        </w:rPr>
      </w:pPr>
      <w:r>
        <w:t xml:space="preserve">A </w:t>
      </w:r>
      <w:r w:rsidR="00380305" w:rsidRPr="00380305">
        <w:t>“</w:t>
      </w:r>
      <w:r>
        <w:rPr>
          <w:b/>
          <w:color w:val="00188F"/>
        </w:rPr>
        <w:t>Percentagem de Período de Disponibilidade</w:t>
      </w:r>
      <w:r w:rsidR="00380305" w:rsidRPr="00380305">
        <w:t>”</w:t>
      </w:r>
      <w:r>
        <w:rPr>
          <w:bCs/>
          <w:color w:val="000000" w:themeColor="text1"/>
        </w:rPr>
        <w:t xml:space="preserve"> é calculada como o Máximo de Minutos Disponíveis menos o Período de Indisponibilidade a</w:t>
      </w:r>
      <w:r w:rsidR="00C55C00">
        <w:rPr>
          <w:bCs/>
          <w:color w:val="000000" w:themeColor="text1"/>
        </w:rPr>
        <w:t> </w:t>
      </w:r>
      <w:r>
        <w:rPr>
          <w:bCs/>
          <w:color w:val="000000" w:themeColor="text1"/>
        </w:rPr>
        <w:t>dividir pelo Máximo de Minutos Disponíveis multiplicado por 100.</w:t>
      </w:r>
    </w:p>
    <w:p w14:paraId="11FE3F64" w14:textId="5D6CF346" w:rsidR="004005AF" w:rsidRDefault="004005AF" w:rsidP="00D2226A">
      <w:pPr>
        <w:pStyle w:val="ProductList-Body"/>
        <w:keepNext/>
      </w:pPr>
      <w:r>
        <w:t>A Percentagem de Período de Disponibilidade é calculada através da seguinte fórmula:</w:t>
      </w:r>
    </w:p>
    <w:p w14:paraId="61D2ABFA" w14:textId="77777777" w:rsidR="004005AF" w:rsidRDefault="004005AF" w:rsidP="00F01ED6">
      <w:pPr>
        <w:pStyle w:val="ProductList-Body"/>
      </w:pPr>
    </w:p>
    <w:p w14:paraId="6A1C8F0D" w14:textId="5D10321B" w:rsidR="004005AF" w:rsidRPr="005D67E8" w:rsidRDefault="00000000" w:rsidP="00F01ED6">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4A8E1E0" w14:textId="77777777" w:rsidR="004005AF" w:rsidRDefault="004005AF" w:rsidP="00F01ED6">
      <w:pPr>
        <w:pStyle w:val="ProductList-Body"/>
        <w:keepNext/>
      </w:pPr>
      <w:r>
        <w:rPr>
          <w:b/>
          <w:color w:val="00188F"/>
        </w:rPr>
        <w:lastRenderedPageBreak/>
        <w:t>Os Níveis de Serviço e Créditos de Serviço são aplicáveis à utilização que o Cliente faz do Azure DDoS Protection: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A29B6DB"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716F57D4" w14:textId="77777777" w:rsidTr="00277097">
        <w:tc>
          <w:tcPr>
            <w:tcW w:w="5400" w:type="dxa"/>
          </w:tcPr>
          <w:p w14:paraId="48ECF269" w14:textId="77777777" w:rsidR="004005AF" w:rsidRPr="0076238C" w:rsidRDefault="004005AF" w:rsidP="00F01ED6">
            <w:pPr>
              <w:pStyle w:val="ProductList-OfferingBody"/>
              <w:jc w:val="center"/>
            </w:pPr>
            <w:r>
              <w:t>&lt; 99,99%</w:t>
            </w:r>
          </w:p>
        </w:tc>
        <w:tc>
          <w:tcPr>
            <w:tcW w:w="5400" w:type="dxa"/>
          </w:tcPr>
          <w:p w14:paraId="451C8035" w14:textId="77777777" w:rsidR="004005AF" w:rsidRPr="0076238C" w:rsidRDefault="004005AF" w:rsidP="00F01ED6">
            <w:pPr>
              <w:pStyle w:val="ProductList-OfferingBody"/>
              <w:jc w:val="center"/>
            </w:pPr>
            <w:r>
              <w:t>10%</w:t>
            </w:r>
          </w:p>
        </w:tc>
      </w:tr>
      <w:tr w:rsidR="004005AF" w:rsidRPr="00B44CF9" w14:paraId="3579B58A" w14:textId="77777777" w:rsidTr="00277097">
        <w:tc>
          <w:tcPr>
            <w:tcW w:w="5400" w:type="dxa"/>
          </w:tcPr>
          <w:p w14:paraId="57895367" w14:textId="77777777" w:rsidR="004005AF" w:rsidRPr="0076238C" w:rsidRDefault="004005AF" w:rsidP="00F01ED6">
            <w:pPr>
              <w:pStyle w:val="ProductList-OfferingBody"/>
              <w:jc w:val="center"/>
            </w:pPr>
            <w:r>
              <w:t>&lt; 99,95%</w:t>
            </w:r>
          </w:p>
        </w:tc>
        <w:tc>
          <w:tcPr>
            <w:tcW w:w="5400" w:type="dxa"/>
          </w:tcPr>
          <w:p w14:paraId="4A518C21" w14:textId="77777777" w:rsidR="004005AF" w:rsidRPr="0076238C" w:rsidRDefault="004005AF" w:rsidP="00F01ED6">
            <w:pPr>
              <w:pStyle w:val="ProductList-OfferingBody"/>
              <w:jc w:val="center"/>
            </w:pPr>
            <w:r>
              <w:t>25%</w:t>
            </w:r>
          </w:p>
        </w:tc>
      </w:tr>
    </w:tbl>
    <w:bookmarkStart w:id="220" w:name="_Toc52348939"/>
    <w:bookmarkStart w:id="221" w:name="_Toc526859657"/>
    <w:bookmarkStart w:id="222" w:name="_Toc52348930"/>
    <w:bookmarkEnd w:id="198"/>
    <w:p w14:paraId="1B0A8EED"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5CDE261" w14:textId="77777777" w:rsidR="00DE24F0" w:rsidRPr="00EF7CF9" w:rsidRDefault="00DE24F0" w:rsidP="00F01ED6">
      <w:pPr>
        <w:pStyle w:val="ProductList-Offering2Heading"/>
        <w:keepNext/>
        <w:tabs>
          <w:tab w:val="clear" w:pos="360"/>
          <w:tab w:val="clear" w:pos="720"/>
          <w:tab w:val="clear" w:pos="1080"/>
        </w:tabs>
        <w:outlineLvl w:val="2"/>
      </w:pPr>
      <w:bookmarkStart w:id="223" w:name="_Toc239176461"/>
      <w:r>
        <w:t xml:space="preserve">Azure </w:t>
      </w:r>
      <w:bookmarkEnd w:id="220"/>
      <w:r>
        <w:t>Defender</w:t>
      </w:r>
      <w:bookmarkEnd w:id="223"/>
    </w:p>
    <w:p w14:paraId="56727881" w14:textId="77777777" w:rsidR="00DE24F0" w:rsidRPr="00EF7CF9" w:rsidRDefault="00DE24F0" w:rsidP="00F01ED6">
      <w:pPr>
        <w:pStyle w:val="ProductList-Body"/>
      </w:pPr>
      <w:r>
        <w:rPr>
          <w:b/>
          <w:color w:val="00188F"/>
        </w:rPr>
        <w:t>Definições Adicionais</w:t>
      </w:r>
      <w:r w:rsidRPr="00473DD3">
        <w:rPr>
          <w:b/>
          <w:color w:val="00188F"/>
        </w:rPr>
        <w:t>:</w:t>
      </w:r>
    </w:p>
    <w:p w14:paraId="0085E1D5" w14:textId="5C16A9ED" w:rsidR="00DE24F0" w:rsidRPr="00EF7CF9" w:rsidRDefault="00380305" w:rsidP="00F01ED6">
      <w:pPr>
        <w:pStyle w:val="ProductList-Body"/>
        <w:spacing w:after="40"/>
      </w:pPr>
      <w:r>
        <w:t>“</w:t>
      </w:r>
      <w:r w:rsidR="00DE24F0">
        <w:rPr>
          <w:b/>
          <w:color w:val="00188F"/>
        </w:rPr>
        <w:t>Nó Protegido</w:t>
      </w:r>
      <w:r>
        <w:t>”</w:t>
      </w:r>
      <w:r w:rsidR="00DE24F0">
        <w:t xml:space="preserve"> designa um recurso do Microsoft Azure, contabilizado como um nó para efeitos de faturação, que está configurado para o Azure Defender.</w:t>
      </w:r>
    </w:p>
    <w:p w14:paraId="2B354A40" w14:textId="59197EB0" w:rsidR="00DE24F0" w:rsidRPr="00EF7CF9" w:rsidRDefault="00380305" w:rsidP="00F01ED6">
      <w:pPr>
        <w:pStyle w:val="ProductList-Body"/>
        <w:spacing w:after="40"/>
      </w:pPr>
      <w:r>
        <w:t>“</w:t>
      </w:r>
      <w:r w:rsidR="00DE24F0">
        <w:rPr>
          <w:b/>
          <w:color w:val="00188F"/>
        </w:rPr>
        <w:t>Monitorização da Segurança</w:t>
      </w:r>
      <w:r>
        <w:t>”</w:t>
      </w:r>
      <w:r w:rsidR="00DE24F0">
        <w:t xml:space="preserve"> designa a avaliação de um Nó Protegido que resulta em conclusões potenciais, como o estado de funcionamento da</w:t>
      </w:r>
      <w:r w:rsidR="00351A83">
        <w:t> </w:t>
      </w:r>
      <w:r w:rsidR="00DE24F0">
        <w:t>segurança, as recomendações e os alertas de segurança, expostas no Azure Defender.</w:t>
      </w:r>
    </w:p>
    <w:p w14:paraId="366E30A0" w14:textId="39DD5EDF" w:rsidR="00DE24F0" w:rsidRPr="00EF7CF9" w:rsidRDefault="00380305" w:rsidP="00F01ED6">
      <w:pPr>
        <w:pStyle w:val="ProductList-Body"/>
        <w:spacing w:after="40"/>
      </w:pPr>
      <w:r>
        <w:t>“</w:t>
      </w:r>
      <w:r w:rsidR="00DE24F0">
        <w:rPr>
          <w:b/>
          <w:color w:val="00188F"/>
        </w:rPr>
        <w:t>Máximo de Minutos Disponíveis</w:t>
      </w:r>
      <w:r>
        <w:t>”</w:t>
      </w:r>
      <w:r w:rsidR="00DE24F0">
        <w:t xml:space="preserve"> designa o número total de minutos durante um Período Aplicável em que um determinado Nó Protegido foi implementado e configurado para Monitorização da Segurança.</w:t>
      </w:r>
    </w:p>
    <w:p w14:paraId="3C4C3205" w14:textId="5CCD8E07" w:rsidR="00DE24F0" w:rsidRPr="00B44CF9" w:rsidRDefault="00380305" w:rsidP="00F01ED6">
      <w:pPr>
        <w:spacing w:after="0" w:line="240" w:lineRule="auto"/>
        <w:rPr>
          <w:sz w:val="18"/>
          <w:szCs w:val="18"/>
        </w:rPr>
      </w:pPr>
      <w:r>
        <w:rPr>
          <w:sz w:val="18"/>
          <w:szCs w:val="18"/>
        </w:rPr>
        <w:t>“</w:t>
      </w:r>
      <w:r w:rsidR="00DE24F0">
        <w:rPr>
          <w:b/>
          <w:color w:val="00188F"/>
          <w:sz w:val="18"/>
        </w:rPr>
        <w:t>Período de Indisponibilidade</w:t>
      </w:r>
      <w:r>
        <w:rPr>
          <w:sz w:val="18"/>
          <w:szCs w:val="18"/>
        </w:rPr>
        <w:t>”</w:t>
      </w:r>
      <w:r w:rsidR="00DE24F0">
        <w:rPr>
          <w:sz w:val="18"/>
          <w:szCs w:val="18"/>
        </w:rPr>
        <w:t xml:space="preserve"> </w:t>
      </w:r>
      <w:r w:rsidR="00DE24F0">
        <w:rPr>
          <w:sz w:val="18"/>
        </w:rPr>
        <w:t>designa o total de minutos acumulados durante um Período Aplicável em que as informações de Monitorização da</w:t>
      </w:r>
      <w:r w:rsidR="00651B27">
        <w:rPr>
          <w:sz w:val="18"/>
        </w:rPr>
        <w:t> </w:t>
      </w:r>
      <w:r w:rsidR="00DE24F0">
        <w:rPr>
          <w:sz w:val="18"/>
        </w:rPr>
        <w:t>Segurança de um determinado Nó Protegido estão indisponíveis. Um minuto é considerado indisponível para um determinado Nó Protegido se</w:t>
      </w:r>
      <w:r w:rsidR="00651B27">
        <w:rPr>
          <w:sz w:val="18"/>
        </w:rPr>
        <w:t> </w:t>
      </w:r>
      <w:r w:rsidR="00DE24F0">
        <w:rPr>
          <w:sz w:val="18"/>
        </w:rPr>
        <w:t>todas as tentativas contínuas para obter informações de Monitorização da Segurança durante um minuto resultarem num Código de Erro ou não</w:t>
      </w:r>
      <w:r w:rsidR="00651B27">
        <w:rPr>
          <w:sz w:val="18"/>
        </w:rPr>
        <w:t> </w:t>
      </w:r>
      <w:r w:rsidR="00DE24F0">
        <w:rPr>
          <w:sz w:val="18"/>
        </w:rPr>
        <w:t>devolverem um Código de Êxito num prazo de dois minutos</w:t>
      </w:r>
      <w:r w:rsidR="00DE24F0">
        <w:rPr>
          <w:sz w:val="18"/>
          <w:szCs w:val="18"/>
        </w:rPr>
        <w:t>.</w:t>
      </w:r>
    </w:p>
    <w:p w14:paraId="5227BB56" w14:textId="2916E201" w:rsidR="00DE24F0" w:rsidRPr="00ED4527" w:rsidRDefault="00DE24F0" w:rsidP="00F01ED6">
      <w:pPr>
        <w:pStyle w:val="ProductList-Body"/>
        <w:rPr>
          <w:color w:val="000000" w:themeColor="text1"/>
        </w:rPr>
      </w:pPr>
      <w:r>
        <w:t xml:space="preserve">A </w:t>
      </w:r>
      <w:r w:rsidR="00380305" w:rsidRPr="00380305">
        <w:t>“</w:t>
      </w:r>
      <w:r>
        <w:rPr>
          <w:b/>
          <w:color w:val="00188F"/>
        </w:rPr>
        <w:t>Percentagem de Período de Disponibilidade</w:t>
      </w:r>
      <w:r w:rsidR="00380305" w:rsidRPr="00380305">
        <w:t>”</w:t>
      </w:r>
      <w:r>
        <w:t xml:space="preserve"> </w:t>
      </w:r>
      <w:r>
        <w:rPr>
          <w:color w:val="000000" w:themeColor="text1"/>
        </w:rPr>
        <w:t>para o Azure Defender de um determinado Nó Protegido num determinado Período Aplicável é</w:t>
      </w:r>
      <w:r w:rsidR="00C55C00">
        <w:rPr>
          <w:color w:val="000000" w:themeColor="text1"/>
        </w:rPr>
        <w:t> </w:t>
      </w:r>
      <w:r>
        <w:rPr>
          <w:color w:val="000000" w:themeColor="text1"/>
        </w:rPr>
        <w:t>calculada como o Máximo de Minutos Disponíveis menos o Período de Indisponibilidade, dividido pelo Máximo de Minutos Disponíveis.</w:t>
      </w:r>
    </w:p>
    <w:p w14:paraId="594AC40F" w14:textId="19720EB4" w:rsidR="00DE24F0" w:rsidRDefault="00DE24F0" w:rsidP="00F01ED6">
      <w:pPr>
        <w:pStyle w:val="ProductList-Body"/>
        <w:keepNext/>
        <w:keepLines/>
      </w:pPr>
      <w:r>
        <w:t>A Percentagem de Período de Disponibilidade é calculada através da seguinte fórmula:</w:t>
      </w:r>
    </w:p>
    <w:p w14:paraId="245049EB" w14:textId="77777777" w:rsidR="00DE24F0" w:rsidRPr="00EF7CF9" w:rsidRDefault="00DE24F0" w:rsidP="00F01ED6">
      <w:pPr>
        <w:pStyle w:val="ProductList-Body"/>
        <w:keepNext/>
        <w:keepLines/>
      </w:pPr>
    </w:p>
    <w:p w14:paraId="37308760" w14:textId="463494DE" w:rsidR="00DE24F0" w:rsidRPr="00EF7CF9" w:rsidRDefault="00000000" w:rsidP="00F01ED6">
      <w:pPr>
        <w:pStyle w:val="ListParagraph"/>
        <w:keepNext/>
        <w:keepLines/>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5BC640E5" w14:textId="77777777" w:rsidR="00DE24F0" w:rsidRPr="003C461E" w:rsidRDefault="00DE24F0" w:rsidP="00F01ED6">
      <w:pPr>
        <w:pStyle w:val="ProductList-Body"/>
        <w:rPr>
          <w:b/>
          <w:color w:val="00188F"/>
        </w:rPr>
      </w:pPr>
      <w:r>
        <w:rPr>
          <w:b/>
          <w:color w:val="00188F"/>
        </w:rPr>
        <w:t>Os seguintes Níveis de Serviço e Créditos de Serviço são aplicáveis à utilização que o Cliente faz de cada Nó Protegido: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8F65282" w14:textId="77777777" w:rsidR="00DE24F0" w:rsidRPr="00EF7CF9" w:rsidRDefault="00DE24F0" w:rsidP="00F01ED6">
            <w:pPr>
              <w:pStyle w:val="ProductList-OfferingBody"/>
              <w:jc w:val="center"/>
              <w:rPr>
                <w:color w:val="FFFFFF" w:themeColor="background1"/>
              </w:rPr>
            </w:pPr>
            <w:r>
              <w:rPr>
                <w:color w:val="FFFFFF" w:themeColor="background1"/>
              </w:rPr>
              <w:t>Crédito de Serviço</w:t>
            </w:r>
          </w:p>
        </w:tc>
      </w:tr>
      <w:tr w:rsidR="00DE24F0" w:rsidRPr="00B44CF9" w14:paraId="12276B24" w14:textId="77777777" w:rsidTr="00277097">
        <w:tc>
          <w:tcPr>
            <w:tcW w:w="5400" w:type="dxa"/>
          </w:tcPr>
          <w:p w14:paraId="7342ED85" w14:textId="77777777" w:rsidR="00DE24F0" w:rsidRPr="00EF7CF9" w:rsidRDefault="00DE24F0" w:rsidP="00F01ED6">
            <w:pPr>
              <w:pStyle w:val="ProductList-OfferingBody"/>
              <w:jc w:val="center"/>
            </w:pPr>
            <w:r>
              <w:t>&lt; 99,9%</w:t>
            </w:r>
          </w:p>
        </w:tc>
        <w:tc>
          <w:tcPr>
            <w:tcW w:w="5400" w:type="dxa"/>
          </w:tcPr>
          <w:p w14:paraId="699EF4EF" w14:textId="77777777" w:rsidR="00DE24F0" w:rsidRPr="00EF7CF9" w:rsidRDefault="00DE24F0" w:rsidP="00F01ED6">
            <w:pPr>
              <w:pStyle w:val="ProductList-OfferingBody"/>
              <w:jc w:val="center"/>
            </w:pPr>
            <w:r>
              <w:t>10%</w:t>
            </w:r>
          </w:p>
        </w:tc>
      </w:tr>
      <w:tr w:rsidR="00DE24F0" w:rsidRPr="00B44CF9" w14:paraId="19CBA1F9" w14:textId="77777777" w:rsidTr="00277097">
        <w:tc>
          <w:tcPr>
            <w:tcW w:w="5400" w:type="dxa"/>
          </w:tcPr>
          <w:p w14:paraId="0D45F04A" w14:textId="77777777" w:rsidR="00DE24F0" w:rsidRPr="00EF7CF9" w:rsidRDefault="00DE24F0" w:rsidP="00F01ED6">
            <w:pPr>
              <w:pStyle w:val="ProductList-OfferingBody"/>
              <w:jc w:val="center"/>
            </w:pPr>
            <w:r>
              <w:t>&lt; 99%</w:t>
            </w:r>
          </w:p>
        </w:tc>
        <w:tc>
          <w:tcPr>
            <w:tcW w:w="5400" w:type="dxa"/>
          </w:tcPr>
          <w:p w14:paraId="4F2000CD" w14:textId="77777777" w:rsidR="00DE24F0" w:rsidRPr="00EF7CF9" w:rsidRDefault="00DE24F0" w:rsidP="00F01ED6">
            <w:pPr>
              <w:pStyle w:val="ProductList-OfferingBody"/>
              <w:jc w:val="center"/>
            </w:pPr>
            <w:r>
              <w:t>25%</w:t>
            </w:r>
          </w:p>
        </w:tc>
      </w:tr>
    </w:tbl>
    <w:p w14:paraId="6DE916E7"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41EE902" w14:textId="77777777" w:rsidR="00781010" w:rsidRPr="00781010" w:rsidRDefault="00781010" w:rsidP="00F01ED6">
      <w:pPr>
        <w:pStyle w:val="ProductList-Offering2Heading"/>
        <w:keepNext/>
        <w:tabs>
          <w:tab w:val="clear" w:pos="360"/>
          <w:tab w:val="clear" w:pos="720"/>
          <w:tab w:val="clear" w:pos="1080"/>
        </w:tabs>
        <w:outlineLvl w:val="2"/>
      </w:pPr>
      <w:bookmarkStart w:id="224" w:name="_Toc239176462"/>
      <w:r>
        <w:t>Defender External Attack Surface Management</w:t>
      </w:r>
      <w:bookmarkEnd w:id="224"/>
    </w:p>
    <w:p w14:paraId="20DDC606" w14:textId="77777777" w:rsidR="00781010" w:rsidRPr="00781010" w:rsidRDefault="00781010" w:rsidP="00F01ED6">
      <w:pPr>
        <w:pStyle w:val="ProductList-Body"/>
        <w:rPr>
          <w:b/>
          <w:bCs/>
          <w:color w:val="00188F"/>
        </w:rPr>
      </w:pPr>
      <w:r>
        <w:rPr>
          <w:b/>
          <w:bCs/>
          <w:color w:val="00188F"/>
        </w:rPr>
        <w:t>Definições Adicionais</w:t>
      </w:r>
    </w:p>
    <w:p w14:paraId="770294EA" w14:textId="59B17EC1" w:rsidR="00781010" w:rsidRDefault="00380305" w:rsidP="00F01ED6">
      <w:pPr>
        <w:pStyle w:val="ProductList-Body"/>
      </w:pPr>
      <w:r>
        <w:t>“</w:t>
      </w:r>
      <w:r w:rsidR="00781010">
        <w:rPr>
          <w:b/>
          <w:bCs/>
          <w:color w:val="00188F"/>
        </w:rPr>
        <w:t>Máximo de Minutos Disponíveis</w:t>
      </w:r>
      <w:r>
        <w:t>”</w:t>
      </w:r>
      <w:r w:rsidR="00781010">
        <w:t xml:space="preserve"> é o número total de minutos durante os quais um determinado recurso Defender EASM foi implementado pelo Cliente numa subscrição do Microsoft Azure durante um Período Aplicável.</w:t>
      </w:r>
    </w:p>
    <w:p w14:paraId="61FF4E80" w14:textId="11F7618E" w:rsidR="00781010" w:rsidRDefault="00380305" w:rsidP="00F01ED6">
      <w:pPr>
        <w:pStyle w:val="ProductList-Body"/>
      </w:pPr>
      <w:r>
        <w:t>“</w:t>
      </w:r>
      <w:r w:rsidR="00781010">
        <w:rPr>
          <w:b/>
          <w:bCs/>
          <w:color w:val="00188F"/>
        </w:rPr>
        <w:t>Período de Indisponibilidade</w:t>
      </w:r>
      <w:r>
        <w:t>”</w:t>
      </w:r>
      <w:r w:rsidR="00781010">
        <w:t xml:space="preserve"> é o número total de minutos dentro do Máximo de Minutos Disponíveis, durante os quais um recurso Defender EASM está indisponível. Um minuto será considerado indisponível para um determinado recurso Defender EASM se durante esse minuto não se registar qualquer operação de HTTP que devolva um Código de Sucesso.</w:t>
      </w:r>
    </w:p>
    <w:p w14:paraId="5A74F90E" w14:textId="390FE8F7" w:rsidR="00781010" w:rsidRDefault="00781010" w:rsidP="00F01ED6">
      <w:pPr>
        <w:pStyle w:val="ProductList-Body"/>
      </w:pPr>
      <w:r>
        <w:t xml:space="preserve">A </w:t>
      </w:r>
      <w:r w:rsidR="00380305">
        <w:t>“</w:t>
      </w:r>
      <w:r>
        <w:rPr>
          <w:b/>
          <w:bCs/>
          <w:color w:val="00188F"/>
        </w:rPr>
        <w:t>Percentagem de Disponibilidade para Consulta</w:t>
      </w:r>
      <w:r w:rsidR="00380305">
        <w:t>”</w:t>
      </w:r>
      <w:r>
        <w:t xml:space="preserve"> de um determinado recurso Defender EASM é calculada como o Máximo de Minutos Disponíveis menos o Período de Indisponibilidade, a dividir pelo Máximo de Minutos Disponíveis a multiplicar por 100.</w:t>
      </w:r>
    </w:p>
    <w:p w14:paraId="538C7A5C" w14:textId="08BF57FD" w:rsidR="00781010" w:rsidRDefault="00781010" w:rsidP="00F01ED6">
      <w:pPr>
        <w:pStyle w:val="ProductList-Body"/>
      </w:pPr>
      <w:r>
        <w:t>A Percentagem de Disponibilidade para Consulta é calculada utilizando a seguinte fórmula:</w:t>
      </w:r>
    </w:p>
    <w:p w14:paraId="57FD6F59" w14:textId="77777777" w:rsidR="00781010" w:rsidRPr="00EF7CF9" w:rsidRDefault="00781010" w:rsidP="00F01ED6">
      <w:pPr>
        <w:pStyle w:val="ProductList-Body"/>
      </w:pPr>
    </w:p>
    <w:p w14:paraId="30A59169" w14:textId="248E6986" w:rsidR="00781010" w:rsidRPr="00EF7CF9" w:rsidRDefault="00000000" w:rsidP="00F01ED6">
      <w:pPr>
        <w:pStyle w:val="ListParagraph"/>
        <w:spacing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A0ED6A0" w14:textId="77777777" w:rsidR="00781010" w:rsidRDefault="00781010" w:rsidP="00EC7E96">
      <w:pPr>
        <w:pStyle w:val="ProductList-Body"/>
        <w:keepNext/>
        <w:keepLines/>
      </w:pPr>
      <w:r>
        <w:t>Os seguintes Níveis de Serviço e Créditos de Serviço são aplicáveis à utilização do Defender External Attack Surface Management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EC7E96">
            <w:pPr>
              <w:pStyle w:val="ProductList-OfferingBody"/>
              <w:keepNext/>
              <w:keepLines/>
              <w:jc w:val="center"/>
              <w:rPr>
                <w:color w:val="FFFFFF" w:themeColor="background1"/>
              </w:rPr>
            </w:pPr>
            <w:r>
              <w:rPr>
                <w:color w:val="FFFFFF" w:themeColor="background1"/>
              </w:rPr>
              <w:t>Percentagem de Disponibilidade para Consulta</w:t>
            </w:r>
          </w:p>
        </w:tc>
        <w:tc>
          <w:tcPr>
            <w:tcW w:w="5400" w:type="dxa"/>
            <w:shd w:val="clear" w:color="auto" w:fill="0072C6"/>
          </w:tcPr>
          <w:p w14:paraId="18CAA572" w14:textId="77777777" w:rsidR="00781010" w:rsidRPr="00EF7CF9" w:rsidRDefault="00781010" w:rsidP="00EC7E96">
            <w:pPr>
              <w:pStyle w:val="ProductList-OfferingBody"/>
              <w:keepNext/>
              <w:keepLines/>
              <w:jc w:val="center"/>
              <w:rPr>
                <w:color w:val="FFFFFF" w:themeColor="background1"/>
              </w:rPr>
            </w:pPr>
            <w:r>
              <w:rPr>
                <w:color w:val="FFFFFF" w:themeColor="background1"/>
              </w:rPr>
              <w:t>Crédito de Serviço</w:t>
            </w:r>
          </w:p>
        </w:tc>
      </w:tr>
      <w:tr w:rsidR="00781010" w:rsidRPr="00B44CF9" w14:paraId="28A18A12" w14:textId="77777777" w:rsidTr="00277097">
        <w:tc>
          <w:tcPr>
            <w:tcW w:w="5400" w:type="dxa"/>
          </w:tcPr>
          <w:p w14:paraId="111B54CB" w14:textId="77777777" w:rsidR="00781010" w:rsidRPr="00EF7CF9" w:rsidRDefault="00781010" w:rsidP="00EC7E96">
            <w:pPr>
              <w:pStyle w:val="ProductList-OfferingBody"/>
              <w:keepNext/>
              <w:keepLines/>
              <w:jc w:val="center"/>
            </w:pPr>
            <w:r>
              <w:t>&lt; 99,9%</w:t>
            </w:r>
          </w:p>
        </w:tc>
        <w:tc>
          <w:tcPr>
            <w:tcW w:w="5400" w:type="dxa"/>
          </w:tcPr>
          <w:p w14:paraId="6090A89D" w14:textId="77777777" w:rsidR="00781010" w:rsidRPr="00EF7CF9" w:rsidRDefault="00781010" w:rsidP="00EC7E96">
            <w:pPr>
              <w:pStyle w:val="ProductList-OfferingBody"/>
              <w:keepNext/>
              <w:keepLines/>
              <w:jc w:val="center"/>
            </w:pPr>
            <w:r>
              <w:t>10%</w:t>
            </w:r>
          </w:p>
        </w:tc>
      </w:tr>
      <w:tr w:rsidR="00781010" w:rsidRPr="00B44CF9" w14:paraId="60F211CD" w14:textId="77777777" w:rsidTr="00277097">
        <w:tc>
          <w:tcPr>
            <w:tcW w:w="5400" w:type="dxa"/>
          </w:tcPr>
          <w:p w14:paraId="583A91C1" w14:textId="77777777" w:rsidR="00781010" w:rsidRPr="00EF7CF9" w:rsidRDefault="00781010" w:rsidP="00EC7E96">
            <w:pPr>
              <w:pStyle w:val="ProductList-OfferingBody"/>
              <w:keepNext/>
              <w:keepLines/>
              <w:jc w:val="center"/>
            </w:pPr>
            <w:r>
              <w:t>&lt; 99%</w:t>
            </w:r>
          </w:p>
        </w:tc>
        <w:tc>
          <w:tcPr>
            <w:tcW w:w="5400" w:type="dxa"/>
          </w:tcPr>
          <w:p w14:paraId="59F68250" w14:textId="77777777" w:rsidR="00781010" w:rsidRPr="00EF7CF9" w:rsidRDefault="00781010" w:rsidP="00EC7E96">
            <w:pPr>
              <w:pStyle w:val="ProductList-OfferingBody"/>
              <w:keepNext/>
              <w:keepLines/>
              <w:jc w:val="center"/>
            </w:pPr>
            <w:r>
              <w:t>25%</w:t>
            </w:r>
          </w:p>
        </w:tc>
      </w:tr>
    </w:tbl>
    <w:bookmarkStart w:id="225" w:name="_Toc524384537"/>
    <w:bookmarkStart w:id="226" w:name="_Toc52348999"/>
    <w:p w14:paraId="3099F349"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43EC33DC" w14:textId="77777777" w:rsidR="00C66B25" w:rsidRPr="00EA5FB1" w:rsidRDefault="00C66B25" w:rsidP="00F01ED6">
      <w:pPr>
        <w:pStyle w:val="ProductList-Offering2Heading"/>
        <w:keepNext/>
        <w:tabs>
          <w:tab w:val="clear" w:pos="360"/>
          <w:tab w:val="clear" w:pos="720"/>
          <w:tab w:val="clear" w:pos="1080"/>
        </w:tabs>
        <w:outlineLvl w:val="2"/>
        <w:rPr>
          <w:lang w:val="fr-FR"/>
        </w:rPr>
      </w:pPr>
      <w:bookmarkStart w:id="227" w:name="_Toc239176463"/>
      <w:r>
        <w:lastRenderedPageBreak/>
        <w:t>Azure Dev Ops</w:t>
      </w:r>
      <w:bookmarkEnd w:id="225"/>
      <w:bookmarkEnd w:id="226"/>
      <w:bookmarkEnd w:id="227"/>
    </w:p>
    <w:p w14:paraId="578E5FA7" w14:textId="77777777" w:rsidR="00C66B25" w:rsidRPr="00EF7CF9" w:rsidRDefault="00C66B25" w:rsidP="00F01ED6">
      <w:pPr>
        <w:pStyle w:val="ProductList-Body"/>
        <w:rPr>
          <w:b/>
          <w:color w:val="00188F"/>
        </w:rPr>
      </w:pPr>
      <w:r>
        <w:rPr>
          <w:b/>
          <w:color w:val="00188F"/>
        </w:rPr>
        <w:t>Definições Adicionais</w:t>
      </w:r>
      <w:r w:rsidRPr="00473DD3">
        <w:rPr>
          <w:b/>
          <w:color w:val="00188F"/>
        </w:rPr>
        <w:t>:</w:t>
      </w:r>
    </w:p>
    <w:p w14:paraId="0BF8769E" w14:textId="12513CE0" w:rsidR="00C66B25" w:rsidRPr="00E80B8A" w:rsidRDefault="00380305" w:rsidP="00F01ED6">
      <w:pPr>
        <w:pStyle w:val="ProductList-Body"/>
        <w:spacing w:after="40"/>
        <w:jc w:val="both"/>
        <w:rPr>
          <w:spacing w:val="-2"/>
        </w:rPr>
      </w:pPr>
      <w:r>
        <w:rPr>
          <w:spacing w:val="-2"/>
        </w:rPr>
        <w:t>“</w:t>
      </w:r>
      <w:r w:rsidR="00C66B25" w:rsidRPr="00E80B8A">
        <w:rPr>
          <w:b/>
          <w:color w:val="00188F"/>
          <w:spacing w:val="-2"/>
        </w:rPr>
        <w:t>Pipelines do Azure</w:t>
      </w:r>
      <w:r>
        <w:rPr>
          <w:spacing w:val="-2"/>
        </w:rPr>
        <w:t>”</w:t>
      </w:r>
      <w:r w:rsidR="00C66B25" w:rsidRPr="00E80B8A">
        <w:rPr>
          <w:spacing w:val="-2"/>
        </w:rPr>
        <w:t xml:space="preserve"> é uma funcionalidade que permite aos clientes desenvolver e implementar as respetivas aplicações nos Serviços do Azure DevOps.</w:t>
      </w:r>
    </w:p>
    <w:p w14:paraId="55EB42EB" w14:textId="0DE51704" w:rsidR="00C66B25" w:rsidRDefault="00380305" w:rsidP="00F01ED6">
      <w:pPr>
        <w:pStyle w:val="ProductList-Body"/>
      </w:pPr>
      <w:r>
        <w:t>“</w:t>
      </w:r>
      <w:r w:rsidR="00C66B25">
        <w:rPr>
          <w:b/>
          <w:color w:val="00188F"/>
        </w:rPr>
        <w:t>Extensões Baseadas no Utilizador</w:t>
      </w:r>
      <w:r>
        <w:t>”</w:t>
      </w:r>
      <w:r w:rsidR="00C66B25">
        <w:t xml:space="preserve"> designa o conjunto de extensões dos Serviços do Azure DevOps publicadas pela Microsoft que são vendidas por utilizador através do Azure DevOps Marketplace.</w:t>
      </w:r>
    </w:p>
    <w:p w14:paraId="4C808E64" w14:textId="77777777" w:rsidR="0053155E" w:rsidRPr="00923340" w:rsidRDefault="0053155E" w:rsidP="0053155E">
      <w:pPr>
        <w:pStyle w:val="ProductList-Body"/>
        <w:rPr>
          <w:rFonts w:ascii="Calibri" w:hAnsi="Calibri" w:cs="Calibri"/>
        </w:rPr>
      </w:pPr>
      <w:r w:rsidRPr="00D40378">
        <w:rPr>
          <w:rFonts w:ascii="Calibri" w:hAnsi="Calibri" w:cs="Calibri"/>
          <w:b/>
          <w:color w:val="00188F"/>
        </w:rPr>
        <w:t>“</w:t>
      </w:r>
      <w:r>
        <w:rPr>
          <w:rFonts w:ascii="Calibri" w:hAnsi="Calibri" w:cs="Calibri"/>
          <w:b/>
          <w:color w:val="00188F"/>
        </w:rPr>
        <w:t>Utilizadores dos Serviços do Azure DevOps</w:t>
      </w:r>
      <w:r w:rsidRPr="00D40378">
        <w:rPr>
          <w:rFonts w:ascii="Calibri" w:hAnsi="Calibri" w:cs="Calibri"/>
          <w:b/>
          <w:color w:val="00188F"/>
        </w:rPr>
        <w:t>”</w:t>
      </w:r>
      <w:r>
        <w:rPr>
          <w:rFonts w:ascii="Calibri" w:hAnsi="Calibri" w:cs="Calibri"/>
        </w:rPr>
        <w:t xml:space="preserve"> designa o conjunto de funções e funcionalidades à disposição de um utilizador numa conta de Serviços do Azure DevOps numa subscrição do Cliente. As funcionalidades e funções disponíveis são descritas no Web site do </w:t>
      </w:r>
      <w:r>
        <w:rPr>
          <w:rStyle w:val="Hyperlink"/>
          <w:rFonts w:ascii="Calibri" w:hAnsi="Calibri" w:cs="Calibri"/>
        </w:rPr>
        <w:t>Azure DevOps</w:t>
      </w:r>
      <w:r>
        <w:rPr>
          <w:rFonts w:ascii="Calibri" w:hAnsi="Calibri" w:cs="Calibri"/>
        </w:rPr>
        <w:t>.</w:t>
      </w:r>
    </w:p>
    <w:p w14:paraId="04EEA0D9" w14:textId="08B9315C" w:rsidR="00C66B25" w:rsidRPr="00ED4527" w:rsidRDefault="00EE6E3C" w:rsidP="00F01ED6">
      <w:pPr>
        <w:pStyle w:val="ProductList-Body"/>
        <w:spacing w:before="120"/>
        <w:rPr>
          <w:b/>
          <w:bCs/>
          <w:color w:val="00188F"/>
        </w:rPr>
      </w:pPr>
      <w:r>
        <w:rPr>
          <w:b/>
          <w:bCs/>
          <w:color w:val="00188F"/>
        </w:rPr>
        <w:t>Cálculo do Período de Disponibilidade e Níveis de Serviço para os Utilizadores e as Extensões Baseadas no Utilizador do Azure DevOps Services</w:t>
      </w:r>
    </w:p>
    <w:p w14:paraId="519D60EC" w14:textId="4BA8BCB2" w:rsidR="00C66B25" w:rsidRDefault="00380305" w:rsidP="00F01ED6">
      <w:pPr>
        <w:pStyle w:val="ProductList-Body"/>
      </w:pPr>
      <w:r>
        <w:t>“</w:t>
      </w:r>
      <w:r w:rsidR="00C66B25">
        <w:rPr>
          <w:b/>
          <w:color w:val="00188F"/>
        </w:rPr>
        <w:t>Minutos de Implementação</w:t>
      </w:r>
      <w:r>
        <w:t>”</w:t>
      </w:r>
      <w:r w:rsidR="00C66B25">
        <w:t xml:space="preserve"> designa o número total de minutos para os quais foi adquirida uma Extensão Baseada no Utilizador ou Utilizadores durante um Período Aplicável.</w:t>
      </w:r>
    </w:p>
    <w:p w14:paraId="1D9C3180" w14:textId="41E66E66" w:rsidR="00C66B25" w:rsidRPr="00EF7CF9" w:rsidRDefault="00380305" w:rsidP="00F01ED6">
      <w:pPr>
        <w:pStyle w:val="ProductList-Body"/>
      </w:pPr>
      <w:r>
        <w:t>“</w:t>
      </w:r>
      <w:r w:rsidR="00C66B25">
        <w:rPr>
          <w:b/>
          <w:color w:val="00188F"/>
        </w:rPr>
        <w:t>Máximo de Minutos Disponíveis</w:t>
      </w:r>
      <w:r>
        <w:t>”</w:t>
      </w:r>
      <w:r w:rsidR="00C66B25">
        <w:t xml:space="preserve"> designa todos os Minutos de Implementação em todas as Extensões Baseadas no Utilizador ou Utilizadores para</w:t>
      </w:r>
      <w:r w:rsidR="00896A38">
        <w:t> </w:t>
      </w:r>
      <w:r w:rsidR="00C66B25">
        <w:t>uma determinada subscrição do Microsoft Azure durante um Período Aplicável.</w:t>
      </w:r>
    </w:p>
    <w:p w14:paraId="0C23C755" w14:textId="0E7C530D" w:rsidR="00C66B25" w:rsidRPr="00EF7CF9" w:rsidRDefault="00380305" w:rsidP="00F01ED6">
      <w:pPr>
        <w:pStyle w:val="ProductList-Body"/>
      </w:pPr>
      <w:r>
        <w:t>“</w:t>
      </w:r>
      <w:r w:rsidR="00C66B25">
        <w:rPr>
          <w:b/>
          <w:color w:val="00188F"/>
        </w:rPr>
        <w:t>Período de Indisponibilidade</w:t>
      </w:r>
      <w:r>
        <w:t>”</w:t>
      </w:r>
      <w:r w:rsidR="00C66B25">
        <w:t xml:space="preserve"> designa o total de Minutos de Implementação, em todas as Extensões Baseadas no Utilizador ou Utilizadores para</w:t>
      </w:r>
      <w:r w:rsidR="00896A38">
        <w:t> </w:t>
      </w:r>
      <w:r w:rsidR="00C66B25">
        <w:t>determinada subscrição do Microsoft Azure, durante a qual o Serviço está indisponível. Um minuto é considerado indisponível para uma determinada Extensão Baseada no Utilizador ou Utilizadores se todos os pedidos de HTTP contínuos para executar operações, que não sejam operações pertencentes ao Azure Pipelines Services nesse minuto resultarem num Código de Erro ou se não devolverem uma resposta.</w:t>
      </w:r>
    </w:p>
    <w:p w14:paraId="53A2B476" w14:textId="11292FC1" w:rsidR="00C66B25" w:rsidRDefault="00AC48A7" w:rsidP="00F01ED6">
      <w:pPr>
        <w:pStyle w:val="ProductList-Body"/>
      </w:pPr>
      <w:r>
        <w:rPr>
          <w:b/>
          <w:color w:val="00188F"/>
        </w:rPr>
        <w:t>Percentagem de Período de Disponibilidade</w:t>
      </w:r>
      <w:r w:rsidRPr="00473DD3">
        <w:rPr>
          <w:b/>
          <w:color w:val="00188F"/>
        </w:rPr>
        <w:t>:</w:t>
      </w:r>
      <w:r>
        <w:t xml:space="preserve"> para as Extensões Baseadas no Utilizador ou Utilizadores do Azure DevOps Services é calculada como</w:t>
      </w:r>
      <w:r w:rsidR="00896A38">
        <w:t> </w:t>
      </w:r>
      <w:r>
        <w:t>o Máximo de Minutos Disponíveis menos o Período de Indisponibilidade a dividir pelo Máximo de Minutos Disponíveis num Período Aplicável</w:t>
      </w:r>
      <w:r w:rsidR="00896A38">
        <w:t> </w:t>
      </w:r>
      <w:r>
        <w:t>para uma determinada subscrição do Microsoft Azure.</w:t>
      </w:r>
    </w:p>
    <w:p w14:paraId="23F1EFA1" w14:textId="48F4EC62" w:rsidR="00C66B25" w:rsidRPr="00EF7CF9" w:rsidRDefault="00AC48A7" w:rsidP="00F01ED6">
      <w:pPr>
        <w:pStyle w:val="ProductList-Body"/>
      </w:pPr>
      <w:r>
        <w:t>A Percentagem de Período de Disponibilidade é representada pela seguinte fórmula:</w:t>
      </w:r>
    </w:p>
    <w:p w14:paraId="1B4E29BA" w14:textId="644198A9" w:rsidR="00C66B25" w:rsidRPr="00EF7CF9" w:rsidRDefault="00000000" w:rsidP="008F2AC6">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0A37B0C" w14:textId="77777777" w:rsidR="00C66B25" w:rsidRDefault="00C66B25" w:rsidP="00F01ED6">
      <w:pPr>
        <w:pStyle w:val="ProductList-Body"/>
        <w:rPr>
          <w:rFonts w:eastAsiaTheme="minorEastAsia"/>
          <w:szCs w:val="18"/>
          <w:lang w:eastAsia="zh-TW"/>
        </w:rPr>
      </w:pPr>
      <w:r>
        <w:rPr>
          <w:rFonts w:eastAsiaTheme="minorEastAsia"/>
          <w:szCs w:val="18"/>
        </w:rPr>
        <w:t xml:space="preserve">Na eventualidade de o Azure DevOps Services estar indisponível, os Créditos de Serviço são aplicáveis às Extensões Baseadas no Utilizador ou Utilizadores do Azure DevOps Services. Os seguintes Níveis de Serviço e Créditos de Serviço são aplicáveis à utilização que o Cliente faz do Serviço Pipelines do Azure. </w:t>
      </w:r>
    </w:p>
    <w:p w14:paraId="2DC335EC" w14:textId="77777777" w:rsidR="00C66B25" w:rsidRPr="00EF7CF9" w:rsidRDefault="00C66B25"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bottom w:val="single" w:sz="4" w:space="0" w:color="auto"/>
            </w:tcBorders>
            <w:shd w:val="clear" w:color="auto" w:fill="0072C6"/>
          </w:tcPr>
          <w:p w14:paraId="3BB7CB41" w14:textId="77777777" w:rsidR="00C66B25" w:rsidRPr="00EF7CF9" w:rsidRDefault="00C66B25" w:rsidP="00F01ED6">
            <w:pPr>
              <w:pStyle w:val="ProductList-OfferingBody"/>
              <w:jc w:val="center"/>
              <w:rPr>
                <w:color w:val="FFFFFF" w:themeColor="background1"/>
              </w:rPr>
            </w:pPr>
            <w:r>
              <w:rPr>
                <w:color w:val="FFFFFF" w:themeColor="background1"/>
              </w:rPr>
              <w:t>Crédito de Serviço</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F01ED6">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F01ED6">
            <w:pPr>
              <w:pStyle w:val="ProductList-OfferingBody"/>
              <w:jc w:val="center"/>
            </w:pPr>
            <w:r>
              <w:t>10%</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F01ED6">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F01ED6">
            <w:pPr>
              <w:pStyle w:val="ProductList-OfferingBody"/>
              <w:keepNext/>
              <w:jc w:val="center"/>
            </w:pPr>
            <w:r>
              <w:t>25%</w:t>
            </w:r>
          </w:p>
        </w:tc>
      </w:tr>
    </w:tbl>
    <w:p w14:paraId="383C6DD9" w14:textId="3B1BB4D9" w:rsidR="00C66B25" w:rsidRPr="00ED4527" w:rsidRDefault="00EE6E3C" w:rsidP="00AE3327">
      <w:pPr>
        <w:pStyle w:val="ProductList-Body"/>
        <w:tabs>
          <w:tab w:val="clear" w:pos="360"/>
          <w:tab w:val="clear" w:pos="720"/>
          <w:tab w:val="clear" w:pos="1080"/>
        </w:tabs>
        <w:spacing w:before="120"/>
        <w:rPr>
          <w:b/>
          <w:bCs/>
          <w:color w:val="00188F"/>
        </w:rPr>
      </w:pPr>
      <w:bookmarkStart w:id="228" w:name="_Toc457821589"/>
      <w:bookmarkStart w:id="229" w:name="_Toc526859726"/>
      <w:bookmarkStart w:id="230" w:name="_Toc524384538"/>
      <w:bookmarkStart w:id="231" w:name="VisualStudioTeamServices_LoadTestService"/>
      <w:r>
        <w:rPr>
          <w:b/>
          <w:bCs/>
          <w:color w:val="00188F"/>
        </w:rPr>
        <w:t>Cálculo do Período de Disponibilidade e Níveis de Serviço para o Azure Pipelines</w:t>
      </w:r>
    </w:p>
    <w:p w14:paraId="014EED69" w14:textId="66CBE1CE" w:rsidR="00C66B25" w:rsidRPr="00ED4527" w:rsidRDefault="00380305" w:rsidP="00F01ED6">
      <w:pPr>
        <w:pStyle w:val="ProductList-Body"/>
        <w:rPr>
          <w:color w:val="000000" w:themeColor="text1"/>
        </w:rPr>
      </w:pPr>
      <w:r>
        <w:rPr>
          <w:color w:val="000000" w:themeColor="text1"/>
        </w:rPr>
        <w:t>“</w:t>
      </w:r>
      <w:r w:rsidR="00C66B25">
        <w:rPr>
          <w:b/>
          <w:bCs/>
          <w:color w:val="00188F"/>
        </w:rPr>
        <w:t>Máximo de Minutos Disponíveis</w:t>
      </w:r>
      <w:r>
        <w:rPr>
          <w:color w:val="000000" w:themeColor="text1"/>
        </w:rPr>
        <w:t>”</w:t>
      </w:r>
      <w:r w:rsidR="00C66B25">
        <w:rPr>
          <w:color w:val="000000" w:themeColor="text1"/>
        </w:rPr>
        <w:t xml:space="preserve"> designa o número total de minutos para os quais o Azure Pipelines Service pago foi ativado numa determinada subscrição do Microsoft Azure durante um Período Aplicável.</w:t>
      </w:r>
    </w:p>
    <w:p w14:paraId="4BF684E0" w14:textId="388FABFB" w:rsidR="00C66B25" w:rsidRPr="00ED4527" w:rsidRDefault="00380305" w:rsidP="00F01ED6">
      <w:pPr>
        <w:pStyle w:val="ProductList-Body"/>
        <w:rPr>
          <w:color w:val="000000" w:themeColor="text1"/>
        </w:rPr>
      </w:pPr>
      <w:r>
        <w:rPr>
          <w:color w:val="000000" w:themeColor="text1"/>
        </w:rPr>
        <w:t>“</w:t>
      </w:r>
      <w:r w:rsidR="00C66B25">
        <w:rPr>
          <w:b/>
          <w:bCs/>
          <w:color w:val="00188F"/>
        </w:rPr>
        <w:t>Período de Indisponibilidade</w:t>
      </w:r>
      <w:r>
        <w:rPr>
          <w:color w:val="000000" w:themeColor="text1"/>
        </w:rPr>
        <w:t>”</w:t>
      </w:r>
      <w:r w:rsidR="00C66B25">
        <w:rPr>
          <w:color w:val="000000" w:themeColor="text1"/>
        </w:rPr>
        <w:t xml:space="preserve"> designa o total de minutos acumulados numa determinada subscrição do Microsoft Azure, no qual o Azure Pipelines Service está indisponível. Um minuto é considerado indisponível se todos os pedidos de HTTP contínuos para o Azure Pipelines Service executar operações iniciadas pelo Cliente nesse minuto resultarem num Código de Erro ou se não devolverem uma resposta.</w:t>
      </w:r>
    </w:p>
    <w:p w14:paraId="4B5453E7" w14:textId="2360ABC9" w:rsidR="00C66B25" w:rsidRPr="00E80B8A" w:rsidRDefault="00C66B25" w:rsidP="00F01ED6">
      <w:pPr>
        <w:pStyle w:val="ProductList-Body"/>
        <w:tabs>
          <w:tab w:val="clear" w:pos="360"/>
          <w:tab w:val="clear" w:pos="720"/>
          <w:tab w:val="clear" w:pos="1080"/>
        </w:tabs>
        <w:rPr>
          <w:color w:val="000000" w:themeColor="text1"/>
          <w:spacing w:val="-2"/>
        </w:rPr>
      </w:pPr>
      <w:r w:rsidRPr="00E80B8A">
        <w:rPr>
          <w:spacing w:val="-2"/>
        </w:rPr>
        <w:t xml:space="preserve">A </w:t>
      </w:r>
      <w:r w:rsidR="00380305">
        <w:rPr>
          <w:color w:val="000000" w:themeColor="text1"/>
          <w:spacing w:val="-2"/>
        </w:rPr>
        <w:t>“</w:t>
      </w:r>
      <w:r w:rsidRPr="00E80B8A">
        <w:rPr>
          <w:b/>
          <w:bCs/>
          <w:color w:val="00188F"/>
          <w:spacing w:val="-2"/>
        </w:rPr>
        <w:t>Percentagem de Período de Disponibilidade</w:t>
      </w:r>
      <w:r w:rsidR="00380305">
        <w:rPr>
          <w:color w:val="000000" w:themeColor="text1"/>
          <w:spacing w:val="-2"/>
        </w:rPr>
        <w:t>”</w:t>
      </w:r>
      <w:r w:rsidRPr="00E80B8A">
        <w:rPr>
          <w:color w:val="000000" w:themeColor="text1"/>
          <w:spacing w:val="-2"/>
        </w:rPr>
        <w:t xml:space="preserve"> para o Azure Pipelines Service é calculada como o Máximo de Minutos Disponíveis menos o Período de Indisponibilidade a dividir pelo Máximo de Minutos Disponíveis num Período Aplicável para uma determinada subscrição do Microsoft Azure. </w:t>
      </w:r>
    </w:p>
    <w:p w14:paraId="7D2391A4" w14:textId="55984207" w:rsidR="00C66B25" w:rsidRDefault="00AC48A7" w:rsidP="00F01ED6">
      <w:pPr>
        <w:pStyle w:val="ProductList-Body"/>
        <w:tabs>
          <w:tab w:val="clear" w:pos="360"/>
          <w:tab w:val="clear" w:pos="720"/>
          <w:tab w:val="clear" w:pos="1080"/>
        </w:tabs>
        <w:rPr>
          <w:color w:val="000000" w:themeColor="text1"/>
        </w:rPr>
      </w:pPr>
      <w:r>
        <w:rPr>
          <w:color w:val="000000" w:themeColor="text1"/>
        </w:rPr>
        <w:t>A Percentagem de Período de Disponibilidade é representada pela seguinte fórmula:</w:t>
      </w:r>
    </w:p>
    <w:p w14:paraId="3D9D0A67" w14:textId="607C58EE" w:rsidR="00C66B25" w:rsidRPr="00EF7CF9" w:rsidRDefault="00000000" w:rsidP="008F2AC6">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CA4F1C6" w14:textId="77777777" w:rsidR="00C66B25" w:rsidRPr="00EF7CF9" w:rsidRDefault="00C66B25" w:rsidP="00D56684">
      <w:pPr>
        <w:pStyle w:val="ProductList-Body"/>
        <w:keepNext/>
        <w:keepLines/>
      </w:pPr>
      <w:r>
        <w:rPr>
          <w:b/>
          <w:color w:val="00188F"/>
        </w:rPr>
        <w:t>Os seguintes Níveis de Serviço e Créditos de Serviço são aplicáveis à utilização que o Cliente faz do Serviço Pipelines do Azure</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D56684">
            <w:pPr>
              <w:pStyle w:val="ProductList-OfferingBody"/>
              <w:keepNext/>
              <w:keepLines/>
              <w:jc w:val="center"/>
              <w:rPr>
                <w:color w:val="FFFFFF" w:themeColor="background1"/>
              </w:rPr>
            </w:pPr>
            <w:r>
              <w:rPr>
                <w:color w:val="FFFFFF" w:themeColor="background1"/>
              </w:rPr>
              <w:t>Percentagem de Período de Disponibilidade</w:t>
            </w:r>
          </w:p>
        </w:tc>
        <w:tc>
          <w:tcPr>
            <w:tcW w:w="5400" w:type="dxa"/>
            <w:shd w:val="clear" w:color="auto" w:fill="0072C6"/>
          </w:tcPr>
          <w:p w14:paraId="0F2CFA2F" w14:textId="77777777" w:rsidR="00C66B25" w:rsidRPr="00EF7CF9" w:rsidRDefault="00C66B25" w:rsidP="00D56684">
            <w:pPr>
              <w:pStyle w:val="ProductList-OfferingBody"/>
              <w:keepNext/>
              <w:keepLines/>
              <w:jc w:val="center"/>
              <w:rPr>
                <w:color w:val="FFFFFF" w:themeColor="background1"/>
              </w:rPr>
            </w:pPr>
            <w:r>
              <w:rPr>
                <w:color w:val="FFFFFF" w:themeColor="background1"/>
              </w:rPr>
              <w:t>Crédito de Serviço</w:t>
            </w:r>
          </w:p>
        </w:tc>
      </w:tr>
      <w:tr w:rsidR="00C66B25" w:rsidRPr="00B44CF9" w14:paraId="4C6AEF21" w14:textId="77777777" w:rsidTr="00277097">
        <w:tc>
          <w:tcPr>
            <w:tcW w:w="5400" w:type="dxa"/>
          </w:tcPr>
          <w:p w14:paraId="07891EB0" w14:textId="77777777" w:rsidR="00C66B25" w:rsidRPr="00EF7CF9" w:rsidRDefault="00C66B25" w:rsidP="00D56684">
            <w:pPr>
              <w:pStyle w:val="ProductList-OfferingBody"/>
              <w:keepNext/>
              <w:keepLines/>
              <w:jc w:val="center"/>
            </w:pPr>
            <w:r>
              <w:t>&lt; 99,9%</w:t>
            </w:r>
          </w:p>
        </w:tc>
        <w:tc>
          <w:tcPr>
            <w:tcW w:w="5400" w:type="dxa"/>
          </w:tcPr>
          <w:p w14:paraId="326AF5F8" w14:textId="77777777" w:rsidR="00C66B25" w:rsidRPr="00EF7CF9" w:rsidRDefault="00C66B25" w:rsidP="00D56684">
            <w:pPr>
              <w:pStyle w:val="ProductList-OfferingBody"/>
              <w:keepNext/>
              <w:keepLines/>
              <w:jc w:val="center"/>
            </w:pPr>
            <w:r>
              <w:t>10%</w:t>
            </w:r>
          </w:p>
        </w:tc>
      </w:tr>
      <w:tr w:rsidR="00C66B25" w:rsidRPr="00B44CF9" w14:paraId="755CE143" w14:textId="77777777" w:rsidTr="00277097">
        <w:tc>
          <w:tcPr>
            <w:tcW w:w="5400" w:type="dxa"/>
          </w:tcPr>
          <w:p w14:paraId="3D649C21" w14:textId="77777777" w:rsidR="00C66B25" w:rsidRPr="00EF7CF9" w:rsidRDefault="00C66B25" w:rsidP="00D56684">
            <w:pPr>
              <w:pStyle w:val="ProductList-OfferingBody"/>
              <w:keepNext/>
              <w:keepLines/>
              <w:jc w:val="center"/>
            </w:pPr>
            <w:r>
              <w:t>&lt; 99%</w:t>
            </w:r>
          </w:p>
        </w:tc>
        <w:tc>
          <w:tcPr>
            <w:tcW w:w="5400" w:type="dxa"/>
          </w:tcPr>
          <w:p w14:paraId="57C68158" w14:textId="77777777" w:rsidR="00C66B25" w:rsidRPr="00EF7CF9" w:rsidRDefault="00C66B25" w:rsidP="00D56684">
            <w:pPr>
              <w:pStyle w:val="ProductList-OfferingBody"/>
              <w:keepNext/>
              <w:keepLines/>
              <w:jc w:val="center"/>
            </w:pPr>
            <w:r>
              <w:t>25%</w:t>
            </w:r>
          </w:p>
        </w:tc>
      </w:tr>
    </w:tbl>
    <w:bookmarkEnd w:id="228"/>
    <w:bookmarkEnd w:id="229"/>
    <w:bookmarkEnd w:id="230"/>
    <w:bookmarkEnd w:id="231"/>
    <w:p w14:paraId="19962885"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8C1E041" w14:textId="1FD25458" w:rsidR="00DD29AD" w:rsidRPr="00EA5FB1" w:rsidRDefault="000E3C0B" w:rsidP="00F01ED6">
      <w:pPr>
        <w:pStyle w:val="ProductList-Offering2Heading"/>
        <w:keepNext/>
        <w:tabs>
          <w:tab w:val="clear" w:pos="360"/>
          <w:tab w:val="clear" w:pos="720"/>
          <w:tab w:val="clear" w:pos="1080"/>
        </w:tabs>
        <w:outlineLvl w:val="2"/>
        <w:rPr>
          <w:lang w:val="fr-FR"/>
        </w:rPr>
      </w:pPr>
      <w:bookmarkStart w:id="232" w:name="_Toc239176464"/>
      <w:r>
        <w:t>Microsoft Dev Box</w:t>
      </w:r>
      <w:bookmarkEnd w:id="232"/>
    </w:p>
    <w:p w14:paraId="70C5163F" w14:textId="77777777" w:rsidR="00DD29AD" w:rsidRDefault="00DD29AD" w:rsidP="00F01ED6">
      <w:pPr>
        <w:pStyle w:val="ProductList-Body"/>
      </w:pPr>
      <w:r>
        <w:rPr>
          <w:b/>
          <w:color w:val="00188F"/>
        </w:rPr>
        <w:t>Definições Adicionais</w:t>
      </w:r>
      <w:r w:rsidRPr="00473DD3">
        <w:rPr>
          <w:b/>
          <w:color w:val="00188F"/>
        </w:rPr>
        <w:t>:</w:t>
      </w:r>
    </w:p>
    <w:p w14:paraId="26431222" w14:textId="0CD74D1D" w:rsidR="009D7DA3" w:rsidRDefault="00380305" w:rsidP="00F01ED6">
      <w:pPr>
        <w:pStyle w:val="ProductList-Body"/>
      </w:pPr>
      <w:r w:rsidRPr="00380305">
        <w:t>“</w:t>
      </w:r>
      <w:r w:rsidR="009D7DA3">
        <w:rPr>
          <w:b/>
          <w:bCs/>
          <w:color w:val="00188F"/>
        </w:rPr>
        <w:t>Dev Box</w:t>
      </w:r>
      <w:r w:rsidRPr="00380305">
        <w:t>”</w:t>
      </w:r>
      <w:r w:rsidR="009D7DA3">
        <w:rPr>
          <w:b/>
          <w:bCs/>
          <w:color w:val="00188F"/>
        </w:rPr>
        <w:t xml:space="preserve"> </w:t>
      </w:r>
      <w:r w:rsidR="009D7DA3" w:rsidRPr="00380305">
        <w:t xml:space="preserve">designa </w:t>
      </w:r>
      <w:r w:rsidR="009D7DA3">
        <w:t>a instância específica do Microsoft Dev Box.</w:t>
      </w:r>
    </w:p>
    <w:p w14:paraId="5E7314A0" w14:textId="1398EF22" w:rsidR="00AB71EC" w:rsidRDefault="00380305" w:rsidP="00F01ED6">
      <w:pPr>
        <w:pStyle w:val="ProductList-Body"/>
      </w:pPr>
      <w:r w:rsidRPr="00380305">
        <w:t>“</w:t>
      </w:r>
      <w:r w:rsidR="00AB71EC">
        <w:rPr>
          <w:b/>
          <w:bCs/>
          <w:color w:val="00188F"/>
        </w:rPr>
        <w:t>Minutos no Período Aplicável</w:t>
      </w:r>
      <w:r w:rsidRPr="00380305">
        <w:t>”</w:t>
      </w:r>
      <w:r w:rsidR="00AB71EC">
        <w:rPr>
          <w:b/>
          <w:bCs/>
          <w:color w:val="00188F"/>
        </w:rPr>
        <w:t xml:space="preserve"> </w:t>
      </w:r>
      <w:r w:rsidR="00AB71EC" w:rsidRPr="00380305">
        <w:t xml:space="preserve">designa </w:t>
      </w:r>
      <w:r w:rsidR="00AB71EC">
        <w:t>o número total de minutos num determinado Período Aplicável.</w:t>
      </w:r>
    </w:p>
    <w:p w14:paraId="7DB28583" w14:textId="0A9D9C1F" w:rsidR="005923D3" w:rsidRDefault="00380305" w:rsidP="00F01ED6">
      <w:pPr>
        <w:pStyle w:val="ProductList-Body"/>
      </w:pPr>
      <w:r w:rsidRPr="00380305">
        <w:lastRenderedPageBreak/>
        <w:t>“</w:t>
      </w:r>
      <w:r w:rsidR="005923D3">
        <w:rPr>
          <w:b/>
          <w:bCs/>
          <w:color w:val="00188F"/>
        </w:rPr>
        <w:t>Período de Indisponibilidade</w:t>
      </w:r>
      <w:r w:rsidRPr="00380305">
        <w:t>”</w:t>
      </w:r>
      <w:r w:rsidR="005923D3">
        <w:rPr>
          <w:b/>
          <w:bCs/>
          <w:color w:val="00188F"/>
        </w:rPr>
        <w:t xml:space="preserve"> </w:t>
      </w:r>
      <w:r w:rsidR="005923D3" w:rsidRPr="00380305">
        <w:t>é</w:t>
      </w:r>
      <w:r w:rsidR="005923D3">
        <w:t xml:space="preserve"> medido em minutos, o período durante o qual todas as tentativas de ligação por um utilizador específico a um Dev Box específico não tiverem êxito, excluindo qualquer um dos seguintes tipos de falhas:</w:t>
      </w:r>
    </w:p>
    <w:p w14:paraId="44B8E501" w14:textId="77777777" w:rsidR="005923D3" w:rsidRDefault="005923D3">
      <w:pPr>
        <w:pStyle w:val="ProductList-Body"/>
        <w:numPr>
          <w:ilvl w:val="0"/>
          <w:numId w:val="22"/>
        </w:numPr>
      </w:pPr>
      <w:r>
        <w:t>As falhas resultantes de o Dev Box estar num estado inoperável não relacionado com a infraestrutura do Azure subjacente (por exemplo, sistema operativo, configuração do sistema operativo ou configuração incorreta ou danificada); e</w:t>
      </w:r>
    </w:p>
    <w:p w14:paraId="04363F4B" w14:textId="77777777" w:rsidR="005923D3" w:rsidRDefault="005923D3">
      <w:pPr>
        <w:pStyle w:val="ProductList-Body"/>
        <w:numPr>
          <w:ilvl w:val="0"/>
          <w:numId w:val="22"/>
        </w:numPr>
      </w:pPr>
      <w:r>
        <w:t>Falha resultante de uma aplicação ou outro software instalado no Dev Box.</w:t>
      </w:r>
    </w:p>
    <w:p w14:paraId="1D5AED2E" w14:textId="77777777" w:rsidR="00AB71EC" w:rsidRDefault="00AB71EC" w:rsidP="00F01ED6">
      <w:pPr>
        <w:pStyle w:val="ProductList-Body"/>
      </w:pPr>
    </w:p>
    <w:p w14:paraId="30377E18" w14:textId="16ACAE44" w:rsidR="005273EB" w:rsidRDefault="005273EB" w:rsidP="00F01ED6">
      <w:pPr>
        <w:pStyle w:val="ProductList-Body"/>
      </w:pPr>
      <w:r>
        <w:t xml:space="preserve">A </w:t>
      </w:r>
      <w:r w:rsidR="00380305" w:rsidRPr="00380305">
        <w:t>“</w:t>
      </w:r>
      <w:r>
        <w:rPr>
          <w:b/>
          <w:bCs/>
          <w:color w:val="00188F"/>
        </w:rPr>
        <w:t>Percentagem de Período de Disponibilidade Por Dev Box</w:t>
      </w:r>
      <w:r w:rsidR="00380305">
        <w:t>”</w:t>
      </w:r>
      <w:r>
        <w:t xml:space="preserve"> é calculada ao subtrair de 100% a percentagem de Minutos no Período Aplicável em</w:t>
      </w:r>
      <w:r w:rsidR="00DE29C2">
        <w:t> </w:t>
      </w:r>
      <w:r>
        <w:t>que o Dev Box teve um Período de Indisponibilidade.</w:t>
      </w:r>
    </w:p>
    <w:p w14:paraId="57443AFA" w14:textId="5CD6A634" w:rsidR="005149F7" w:rsidRDefault="005149F7" w:rsidP="00F01ED6">
      <w:pPr>
        <w:pStyle w:val="ProductList-Body"/>
      </w:pPr>
      <w:r>
        <w:t>A Percentagem de Período de Disponibilidade Por Dev Box é calculada através da seguinte fórmula:</w:t>
      </w:r>
    </w:p>
    <w:p w14:paraId="3EF93F85" w14:textId="77777777" w:rsidR="00C91F92" w:rsidRDefault="00C91F92" w:rsidP="00F01ED6">
      <w:pPr>
        <w:pStyle w:val="ProductList-Body"/>
      </w:pPr>
    </w:p>
    <w:p w14:paraId="7B069CB1" w14:textId="6BA2D822" w:rsidR="00C91F92" w:rsidRPr="00F01ED6" w:rsidRDefault="00E80B8A" w:rsidP="00F01ED6">
      <w:pPr>
        <w:spacing w:line="240" w:lineRule="auto"/>
        <w:jc w:val="both"/>
        <w:rPr>
          <w:sz w:val="18"/>
          <w:szCs w:val="18"/>
        </w:rPr>
      </w:pPr>
      <m:oMathPara>
        <m:oMath>
          <m:r>
            <w:rPr>
              <w:rFonts w:ascii="Cambria Math" w:hAnsi="Cambria Math"/>
              <w:sz w:val="18"/>
              <w:szCs w:val="18"/>
            </w:rPr>
            <m:t xml:space="preserve">% </m:t>
          </m:r>
          <m:r>
            <m:rPr>
              <m:nor/>
            </m:rPr>
            <w:rPr>
              <w:rFonts w:ascii="Cambria Math" w:hAnsi="Cambria Math"/>
              <w:i/>
              <w:iCs/>
              <w:sz w:val="18"/>
              <w:szCs w:val="18"/>
            </w:rPr>
            <m:t>de Período de Disponibilidade Por Dev Box</m:t>
          </m:r>
          <m:r>
            <w:rPr>
              <w:rFonts w:ascii="Cambria Math" w:hAnsi="Cambria Math"/>
              <w:sz w:val="18"/>
              <w:szCs w:val="18"/>
            </w:rPr>
            <m:t> =</m:t>
          </m:r>
          <m:f>
            <m:fPr>
              <m:ctrlPr>
                <w:rPr>
                  <w:rFonts w:ascii="Cambria Math" w:hAnsi="Cambria Math"/>
                  <w:sz w:val="18"/>
                  <w:szCs w:val="18"/>
                </w:rPr>
              </m:ctrlPr>
            </m:fPr>
            <m:num>
              <m:r>
                <m:rPr>
                  <m:nor/>
                </m:rPr>
                <w:rPr>
                  <w:rFonts w:ascii="Cambria Math" w:hAnsi="Cambria Math"/>
                  <w:i/>
                  <w:iCs/>
                  <w:sz w:val="18"/>
                  <w:szCs w:val="18"/>
                </w:rPr>
                <m:t>(Minutos no Período Aplicável - Período de Indisponibilidade)</m:t>
              </m:r>
            </m:num>
            <m:den>
              <m:r>
                <m:rPr>
                  <m:nor/>
                </m:rPr>
                <w:rPr>
                  <w:rFonts w:ascii="Cambria Math" w:hAnsi="Cambria Math"/>
                  <w:i/>
                  <w:iCs/>
                  <w:sz w:val="18"/>
                  <w:szCs w:val="18"/>
                </w:rPr>
                <m:t>Minutos no Período Aplicável</m:t>
              </m:r>
            </m:den>
          </m:f>
          <m:r>
            <w:rPr>
              <w:rFonts w:ascii="Cambria Math" w:hAnsi="Cambria Math"/>
              <w:sz w:val="18"/>
              <w:szCs w:val="18"/>
            </w:rPr>
            <m:t> x 100</m:t>
          </m:r>
        </m:oMath>
      </m:oMathPara>
    </w:p>
    <w:p w14:paraId="1EC2860B" w14:textId="77777777" w:rsidR="00EE4264" w:rsidRPr="00E80B8A" w:rsidRDefault="00EE4264" w:rsidP="00F01ED6">
      <w:pPr>
        <w:pStyle w:val="ProductList-Body"/>
        <w:tabs>
          <w:tab w:val="clear" w:pos="360"/>
        </w:tabs>
        <w:rPr>
          <w:spacing w:val="-3"/>
        </w:rPr>
      </w:pPr>
      <w:r w:rsidRPr="00E80B8A">
        <w:rPr>
          <w:b/>
          <w:bCs/>
          <w:color w:val="00188F"/>
          <w:spacing w:val="-3"/>
        </w:rPr>
        <w:t>Crédito de Serviço Por Dev Box</w:t>
      </w:r>
      <w:r w:rsidRPr="00473DD3">
        <w:rPr>
          <w:b/>
          <w:bCs/>
          <w:color w:val="00188F"/>
          <w:spacing w:val="-3"/>
        </w:rPr>
        <w:t>:</w:t>
      </w:r>
      <w:r w:rsidRPr="00E80B8A">
        <w:rPr>
          <w:spacing w:val="-3"/>
        </w:rPr>
        <w:t xml:space="preserve"> Os seguintes Níveis de Serviço e Créditos de Serviço são aplicáveis à utilização que o Cliente faz do Microsoft Dev 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D2226A">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F01ED6">
            <w:pPr>
              <w:pStyle w:val="ProductList-OfferingBody"/>
              <w:jc w:val="center"/>
              <w:rPr>
                <w:color w:val="FFFFFF" w:themeColor="background1"/>
              </w:rPr>
            </w:pPr>
            <w:r>
              <w:rPr>
                <w:color w:val="FFFFFF" w:themeColor="background1"/>
              </w:rPr>
              <w:t>Percentagem de Período de Disponibilidade Por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F01ED6">
            <w:pPr>
              <w:pStyle w:val="ProductList-OfferingBody"/>
              <w:jc w:val="center"/>
              <w:rPr>
                <w:color w:val="FFFFFF" w:themeColor="background1"/>
              </w:rPr>
            </w:pPr>
            <w:r>
              <w:rPr>
                <w:color w:val="FFFFFF" w:themeColor="background1"/>
              </w:rPr>
              <w:t>Crédito de Serviço Por Dev Box</w:t>
            </w:r>
          </w:p>
        </w:tc>
      </w:tr>
      <w:tr w:rsidR="00CF7A47" w14:paraId="5A838D14" w14:textId="77777777" w:rsidTr="00D2226A">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F01ED6">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F01ED6">
            <w:pPr>
              <w:pStyle w:val="ProductList-OfferingBody"/>
              <w:jc w:val="center"/>
            </w:pPr>
            <w:r>
              <w:t>10%</w:t>
            </w:r>
          </w:p>
        </w:tc>
      </w:tr>
      <w:tr w:rsidR="00CF7A47" w14:paraId="46F1CA46" w14:textId="77777777" w:rsidTr="00D2226A">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F01ED6">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F01ED6">
            <w:pPr>
              <w:pStyle w:val="ProductList-OfferingBody"/>
              <w:keepNext/>
              <w:jc w:val="center"/>
            </w:pPr>
            <w:r>
              <w:t>25%</w:t>
            </w:r>
          </w:p>
        </w:tc>
      </w:tr>
      <w:tr w:rsidR="00CF7A47" w14:paraId="4C10F3EF" w14:textId="77777777" w:rsidTr="00D2226A">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F01ED6">
            <w:pPr>
              <w:pStyle w:val="ProductList-OfferingBody"/>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F01ED6">
            <w:pPr>
              <w:pStyle w:val="ProductList-OfferingBody"/>
              <w:keepNext/>
              <w:jc w:val="center"/>
            </w:pPr>
            <w:r>
              <w:t>100%</w:t>
            </w:r>
          </w:p>
        </w:tc>
      </w:tr>
    </w:tbl>
    <w:p w14:paraId="04F4896A" w14:textId="20AA2C2F"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DF4D031" w14:textId="512AAD83" w:rsidR="005C061C" w:rsidRPr="005C061C" w:rsidRDefault="005C061C" w:rsidP="00D2226A">
      <w:pPr>
        <w:pStyle w:val="ProductList-Offering2Heading"/>
        <w:keepNext/>
        <w:tabs>
          <w:tab w:val="clear" w:pos="360"/>
          <w:tab w:val="clear" w:pos="720"/>
          <w:tab w:val="clear" w:pos="1080"/>
        </w:tabs>
        <w:outlineLvl w:val="2"/>
        <w:rPr>
          <w:lang w:val="fr-FR"/>
        </w:rPr>
      </w:pPr>
      <w:bookmarkStart w:id="233" w:name="_Toc239176465"/>
      <w:r>
        <w:t>Azure Digital Twins</w:t>
      </w:r>
      <w:bookmarkEnd w:id="233"/>
    </w:p>
    <w:p w14:paraId="13E3D280" w14:textId="77777777" w:rsidR="005C061C" w:rsidRPr="005C061C" w:rsidRDefault="005C061C" w:rsidP="00F01ED6">
      <w:pPr>
        <w:pStyle w:val="ProductList-Body"/>
        <w:keepNext/>
        <w:keepLines/>
        <w:rPr>
          <w:b/>
          <w:bCs/>
          <w:color w:val="00188F"/>
        </w:rPr>
      </w:pPr>
      <w:r>
        <w:rPr>
          <w:b/>
          <w:bCs/>
          <w:color w:val="00188F"/>
        </w:rPr>
        <w:t>Definições Adicionais</w:t>
      </w:r>
    </w:p>
    <w:p w14:paraId="260F4527" w14:textId="1737E9FB" w:rsidR="005C061C" w:rsidRDefault="00380305" w:rsidP="00F01ED6">
      <w:pPr>
        <w:pStyle w:val="ProductList-Body"/>
        <w:keepNext/>
        <w:keepLines/>
      </w:pPr>
      <w:r>
        <w:t>“</w:t>
      </w:r>
      <w:r w:rsidR="005C061C">
        <w:rPr>
          <w:b/>
          <w:bCs/>
          <w:color w:val="00188F"/>
        </w:rPr>
        <w:t>Mensagem</w:t>
      </w:r>
      <w:r>
        <w:t>”</w:t>
      </w:r>
      <w:r w:rsidR="005C061C">
        <w:t xml:space="preserve"> designa qualquer evento enviado por uma instância do Azure Digital Twins implementada num serviço de ponto final, como o Hub de</w:t>
      </w:r>
      <w:r w:rsidR="00F3017D">
        <w:t> </w:t>
      </w:r>
      <w:r w:rsidR="005C061C">
        <w:t>Eventos, a Grelha de Eventos e o Service Bus.</w:t>
      </w:r>
    </w:p>
    <w:p w14:paraId="5926A16D" w14:textId="3864E20D" w:rsidR="005C061C" w:rsidRDefault="00380305" w:rsidP="00F01ED6">
      <w:pPr>
        <w:pStyle w:val="ProductList-Body"/>
        <w:keepNext/>
        <w:keepLines/>
      </w:pPr>
      <w:r>
        <w:t>“</w:t>
      </w:r>
      <w:r w:rsidR="005C061C">
        <w:rPr>
          <w:b/>
          <w:bCs/>
          <w:color w:val="00188F"/>
        </w:rPr>
        <w:t>Operações de API</w:t>
      </w:r>
      <w:r>
        <w:t>”</w:t>
      </w:r>
      <w:r w:rsidR="005C061C">
        <w:t xml:space="preserve"> designa as ações de leitura, escrita, atualização e eliminação, entre outras, executadas em modelos e duplos digitais, incluindo as consultas.</w:t>
      </w:r>
    </w:p>
    <w:p w14:paraId="6CC377C8" w14:textId="585CC3EC" w:rsidR="005C061C" w:rsidRPr="005C061C" w:rsidRDefault="00EE6E3C" w:rsidP="00F01ED6">
      <w:pPr>
        <w:pStyle w:val="ProductList-Body"/>
        <w:spacing w:before="120"/>
        <w:rPr>
          <w:b/>
          <w:bCs/>
          <w:color w:val="00188F"/>
        </w:rPr>
      </w:pPr>
      <w:r>
        <w:rPr>
          <w:b/>
          <w:bCs/>
          <w:color w:val="00188F"/>
        </w:rPr>
        <w:t>Cálculo do Período de Disponibilidade e Níveis de Serviço</w:t>
      </w:r>
    </w:p>
    <w:p w14:paraId="21D71404" w14:textId="1437EB62" w:rsidR="005C061C" w:rsidRDefault="00380305" w:rsidP="00F01ED6">
      <w:pPr>
        <w:pStyle w:val="ProductList-Body"/>
      </w:pPr>
      <w:r>
        <w:t>“</w:t>
      </w:r>
      <w:r w:rsidR="005C061C">
        <w:rPr>
          <w:b/>
          <w:bCs/>
          <w:color w:val="00188F"/>
        </w:rPr>
        <w:t>Minutos de Implementação</w:t>
      </w:r>
      <w:r>
        <w:t>”</w:t>
      </w:r>
      <w:r w:rsidR="005C061C">
        <w:t xml:space="preserve"> designa o número total de minutos durante os quais uma determinada instância do Azure Digital Twins foi implementada no Azure durante um Período Aplicável.</w:t>
      </w:r>
    </w:p>
    <w:p w14:paraId="3359A4D2" w14:textId="7E2D08E6" w:rsidR="005C061C" w:rsidRDefault="00380305" w:rsidP="00F01ED6">
      <w:pPr>
        <w:pStyle w:val="ProductList-Body"/>
      </w:pPr>
      <w:r>
        <w:t>“</w:t>
      </w:r>
      <w:r w:rsidR="005C061C">
        <w:rPr>
          <w:b/>
          <w:bCs/>
          <w:color w:val="00188F"/>
        </w:rPr>
        <w:t>Máximo de Minutos Disponíveis</w:t>
      </w:r>
      <w:r>
        <w:t>”</w:t>
      </w:r>
      <w:r w:rsidR="005C061C">
        <w:t xml:space="preserve"> designa a soma de todos os Minutos de Implementação em todas as instâncias do Azure Digital Twins implementadas pelo Cliente numa determinada subscrição do Azure durante um Período Aplicável.</w:t>
      </w:r>
    </w:p>
    <w:p w14:paraId="65F63DE3" w14:textId="1FE4ACDD" w:rsidR="005C061C" w:rsidRPr="00E80B8A" w:rsidRDefault="00380305" w:rsidP="00F01ED6">
      <w:pPr>
        <w:pStyle w:val="ProductList-Body"/>
        <w:rPr>
          <w:spacing w:val="-2"/>
        </w:rPr>
      </w:pPr>
      <w:r>
        <w:rPr>
          <w:spacing w:val="-2"/>
        </w:rPr>
        <w:t>“</w:t>
      </w:r>
      <w:r w:rsidR="005C061C" w:rsidRPr="00E80B8A">
        <w:rPr>
          <w:b/>
          <w:bCs/>
          <w:color w:val="00188F"/>
          <w:spacing w:val="-2"/>
        </w:rPr>
        <w:t>Período de Indisponibilidade</w:t>
      </w:r>
      <w:r>
        <w:rPr>
          <w:spacing w:val="-2"/>
        </w:rPr>
        <w:t>”</w:t>
      </w:r>
      <w:r w:rsidR="005C061C" w:rsidRPr="00E80B8A">
        <w:rPr>
          <w:spacing w:val="-2"/>
        </w:rPr>
        <w:t xml:space="preserve"> designa o total de Minutos de Implementação acumulados em todos os Azure Digital Twins implementados numa determinada subscrição do Azure durante os quais a instância do Azure Digital Twins está indisponível. Um minuto é considerado indisponível para uma</w:t>
      </w:r>
      <w:r w:rsidR="00836106">
        <w:rPr>
          <w:spacing w:val="-2"/>
        </w:rPr>
        <w:t> </w:t>
      </w:r>
      <w:r w:rsidR="005C061C" w:rsidRPr="00E80B8A">
        <w:rPr>
          <w:spacing w:val="-2"/>
        </w:rPr>
        <w:t>determinada instância do Azure Digital Twins se todas as tentativas contínuas para enviar Mensagens ou executar Operações de API na instância do Azure Digital Twins durante esse minuto devolverem um Código de Erro ou não resultarem num Código de Êxito no prazo de cinco minutos.</w:t>
      </w:r>
    </w:p>
    <w:p w14:paraId="509F5CE6" w14:textId="29734CE1" w:rsidR="005C061C" w:rsidRDefault="00AC48A7" w:rsidP="00F01ED6">
      <w:pPr>
        <w:pStyle w:val="ProductList-Body"/>
      </w:pPr>
      <w:r>
        <w:rPr>
          <w:b/>
          <w:bCs/>
          <w:color w:val="00188F"/>
        </w:rPr>
        <w:t>Percentagem de Período de Disponibilidade:</w:t>
      </w:r>
      <w:r>
        <w:t xml:space="preserve"> A Percentagem de Período de Disponibilidade é calculada através da seguinte fórmula:</w:t>
      </w:r>
    </w:p>
    <w:p w14:paraId="71C25E21" w14:textId="0D5376AD" w:rsidR="005C061C" w:rsidRPr="00EF7CF9" w:rsidRDefault="00000000" w:rsidP="008F2AC6">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63A3969" w14:textId="77777777" w:rsidR="005C061C" w:rsidRPr="005C061C" w:rsidRDefault="005C061C" w:rsidP="00844254">
      <w:pPr>
        <w:pStyle w:val="ProductList-Body"/>
        <w:rPr>
          <w:b/>
          <w:bCs/>
          <w:color w:val="00188F"/>
        </w:rPr>
      </w:pPr>
      <w:r>
        <w:rPr>
          <w:b/>
          <w:bCs/>
          <w:color w:val="00188F"/>
        </w:rPr>
        <w:t>Os seguintes Níveis de Serviço e Créditos de Serviço são aplicáveis à utilização dos Azure Digital Twins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F14ACF">
            <w:pPr>
              <w:pStyle w:val="ProductList-OfferingBody"/>
              <w:keepNext/>
              <w:keepLines/>
              <w:jc w:val="center"/>
              <w:rPr>
                <w:color w:val="FFFFFF" w:themeColor="background1"/>
              </w:rPr>
            </w:pPr>
            <w:r>
              <w:rPr>
                <w:color w:val="FFFFFF" w:themeColor="background1"/>
              </w:rPr>
              <w:t>Percentagem de Período de Disponibilidade</w:t>
            </w:r>
          </w:p>
        </w:tc>
        <w:tc>
          <w:tcPr>
            <w:tcW w:w="5400" w:type="dxa"/>
            <w:shd w:val="clear" w:color="auto" w:fill="0072C6"/>
          </w:tcPr>
          <w:p w14:paraId="5F3B44BC" w14:textId="77777777" w:rsidR="005C061C" w:rsidRPr="00EF7CF9" w:rsidRDefault="005C061C" w:rsidP="00F14ACF">
            <w:pPr>
              <w:pStyle w:val="ProductList-OfferingBody"/>
              <w:keepNext/>
              <w:keepLines/>
              <w:jc w:val="center"/>
              <w:rPr>
                <w:color w:val="FFFFFF" w:themeColor="background1"/>
              </w:rPr>
            </w:pPr>
            <w:r>
              <w:rPr>
                <w:color w:val="FFFFFF" w:themeColor="background1"/>
              </w:rPr>
              <w:t>Crédito de Serviço</w:t>
            </w:r>
          </w:p>
        </w:tc>
      </w:tr>
      <w:tr w:rsidR="005C061C" w:rsidRPr="00B44CF9" w14:paraId="2A0F7D12" w14:textId="77777777" w:rsidTr="00277097">
        <w:tc>
          <w:tcPr>
            <w:tcW w:w="5400" w:type="dxa"/>
          </w:tcPr>
          <w:p w14:paraId="53DE73C6" w14:textId="77777777" w:rsidR="005C061C" w:rsidRPr="00EF7CF9" w:rsidRDefault="005C061C" w:rsidP="00F14ACF">
            <w:pPr>
              <w:pStyle w:val="ProductList-OfferingBody"/>
              <w:keepNext/>
              <w:keepLines/>
              <w:jc w:val="center"/>
            </w:pPr>
            <w:r>
              <w:t>&lt; 99,9%</w:t>
            </w:r>
          </w:p>
        </w:tc>
        <w:tc>
          <w:tcPr>
            <w:tcW w:w="5400" w:type="dxa"/>
          </w:tcPr>
          <w:p w14:paraId="180C4714" w14:textId="77777777" w:rsidR="005C061C" w:rsidRPr="00EF7CF9" w:rsidRDefault="005C061C" w:rsidP="00F14ACF">
            <w:pPr>
              <w:pStyle w:val="ProductList-OfferingBody"/>
              <w:keepNext/>
              <w:keepLines/>
              <w:jc w:val="center"/>
            </w:pPr>
            <w:r>
              <w:t>10%</w:t>
            </w:r>
          </w:p>
        </w:tc>
      </w:tr>
      <w:tr w:rsidR="005C061C" w:rsidRPr="00B44CF9" w14:paraId="30A24E7D" w14:textId="77777777" w:rsidTr="00277097">
        <w:tc>
          <w:tcPr>
            <w:tcW w:w="5400" w:type="dxa"/>
          </w:tcPr>
          <w:p w14:paraId="2F3DD4DC" w14:textId="77777777" w:rsidR="005C061C" w:rsidRPr="00EF7CF9" w:rsidRDefault="005C061C" w:rsidP="00F14ACF">
            <w:pPr>
              <w:pStyle w:val="ProductList-OfferingBody"/>
              <w:keepNext/>
              <w:keepLines/>
              <w:jc w:val="center"/>
            </w:pPr>
            <w:r>
              <w:t>&lt; 99%</w:t>
            </w:r>
          </w:p>
        </w:tc>
        <w:tc>
          <w:tcPr>
            <w:tcW w:w="5400" w:type="dxa"/>
          </w:tcPr>
          <w:p w14:paraId="721BD409" w14:textId="77777777" w:rsidR="005C061C" w:rsidRPr="00EF7CF9" w:rsidRDefault="005C061C" w:rsidP="00F14ACF">
            <w:pPr>
              <w:pStyle w:val="ProductList-OfferingBody"/>
              <w:keepNext/>
              <w:keepLines/>
              <w:jc w:val="center"/>
            </w:pPr>
            <w:r>
              <w:t>25%</w:t>
            </w:r>
          </w:p>
        </w:tc>
      </w:tr>
    </w:tbl>
    <w:p w14:paraId="0558C221"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2C28851" w14:textId="42544763" w:rsidR="004005AF" w:rsidRPr="00EF7CF9" w:rsidRDefault="004005AF" w:rsidP="00F01ED6">
      <w:pPr>
        <w:pStyle w:val="ProductList-Offering2Heading"/>
        <w:keepNext/>
        <w:tabs>
          <w:tab w:val="clear" w:pos="360"/>
          <w:tab w:val="clear" w:pos="720"/>
          <w:tab w:val="clear" w:pos="1080"/>
        </w:tabs>
        <w:outlineLvl w:val="2"/>
      </w:pPr>
      <w:bookmarkStart w:id="234" w:name="_Toc239176466"/>
      <w:r>
        <w:t>DNS do Azure</w:t>
      </w:r>
      <w:bookmarkEnd w:id="221"/>
      <w:bookmarkEnd w:id="222"/>
      <w:bookmarkEnd w:id="234"/>
    </w:p>
    <w:p w14:paraId="0BF477DA" w14:textId="77777777" w:rsidR="004005AF" w:rsidRPr="00EF7CF9" w:rsidRDefault="004005AF" w:rsidP="00F01ED6">
      <w:pPr>
        <w:pStyle w:val="ProductList-Body"/>
      </w:pPr>
      <w:r>
        <w:rPr>
          <w:b/>
          <w:color w:val="00188F"/>
        </w:rPr>
        <w:t>Definições Adicionais</w:t>
      </w:r>
      <w:r w:rsidRPr="00473DD3">
        <w:rPr>
          <w:b/>
          <w:color w:val="00188F"/>
        </w:rPr>
        <w:t>:</w:t>
      </w:r>
    </w:p>
    <w:p w14:paraId="3CA6934D" w14:textId="4E982F18" w:rsidR="004005AF" w:rsidRPr="009200BE" w:rsidRDefault="00380305" w:rsidP="00F01ED6">
      <w:pPr>
        <w:pStyle w:val="ProductList-Body"/>
      </w:pPr>
      <w:r>
        <w:t>“</w:t>
      </w:r>
      <w:r w:rsidR="004005AF">
        <w:rPr>
          <w:b/>
          <w:color w:val="00188F"/>
        </w:rPr>
        <w:t>Zona DNS</w:t>
      </w:r>
      <w:r>
        <w:t>”</w:t>
      </w:r>
      <w:r w:rsidR="004005AF">
        <w:rPr>
          <w:b/>
          <w:color w:val="00188F"/>
        </w:rPr>
        <w:t xml:space="preserve"> </w:t>
      </w:r>
      <w:r w:rsidR="004005AF">
        <w:t>designa uma implementação do Serviço DNS do Azure que contém uma zona DNS e conjuntos de registos.</w:t>
      </w:r>
    </w:p>
    <w:p w14:paraId="5D6DD826" w14:textId="135F0E9B" w:rsidR="004005AF" w:rsidRPr="009200BE" w:rsidRDefault="00380305" w:rsidP="00F01ED6">
      <w:pPr>
        <w:pStyle w:val="ProductList-Body"/>
      </w:pPr>
      <w:r>
        <w:t>“</w:t>
      </w:r>
      <w:r w:rsidR="004005AF">
        <w:rPr>
          <w:b/>
          <w:color w:val="00188F"/>
        </w:rPr>
        <w:t>Minutos de Implementação</w:t>
      </w:r>
      <w:r>
        <w:t>”</w:t>
      </w:r>
      <w:r w:rsidR="004005AF">
        <w:rPr>
          <w:b/>
          <w:color w:val="00188F"/>
        </w:rPr>
        <w:t xml:space="preserve"> </w:t>
      </w:r>
      <w:r w:rsidR="004005AF">
        <w:t>designa o número total de minutos durante os quais uma determinada Zona DNS foi implementada no Microsoft Azure durante um Período Aplicável.</w:t>
      </w:r>
    </w:p>
    <w:p w14:paraId="5A0A0837" w14:textId="729D1A9E" w:rsidR="004005AF" w:rsidRPr="009200BE" w:rsidRDefault="00380305" w:rsidP="00F01ED6">
      <w:pPr>
        <w:pStyle w:val="ProductList-Body"/>
      </w:pPr>
      <w:r>
        <w:t>“</w:t>
      </w:r>
      <w:r w:rsidR="004005AF">
        <w:rPr>
          <w:b/>
          <w:color w:val="00188F"/>
        </w:rPr>
        <w:t>Máximo de Minutos Disponíveis</w:t>
      </w:r>
      <w:r>
        <w:t>”</w:t>
      </w:r>
      <w:r w:rsidR="004005AF">
        <w:t xml:space="preserve"> designa a soma de todos os Minutos de Implementação em todas as Zonas DNS implementadas numa determinada subscrição do Microsoft Azure durante um Período Aplicável.</w:t>
      </w:r>
    </w:p>
    <w:p w14:paraId="4DE9FAB9" w14:textId="1F882A19" w:rsidR="004005AF" w:rsidRPr="009200BE" w:rsidRDefault="00380305" w:rsidP="00F01ED6">
      <w:pPr>
        <w:pStyle w:val="ProductList-Body"/>
      </w:pPr>
      <w:r>
        <w:lastRenderedPageBreak/>
        <w:t>“</w:t>
      </w:r>
      <w:r w:rsidR="004005AF">
        <w:rPr>
          <w:b/>
          <w:color w:val="00188F"/>
        </w:rPr>
        <w:t>Pedido de DNS Válido</w:t>
      </w:r>
      <w:r>
        <w:t>”</w:t>
      </w:r>
      <w:r w:rsidR="004005AF">
        <w:rPr>
          <w:b/>
          <w:color w:val="00188F"/>
        </w:rPr>
        <w:t xml:space="preserve"> </w:t>
      </w:r>
      <w:r w:rsidR="004005AF">
        <w:t>designa um pedido de DNS para um servidor de nomes do Serviço DNS do Azure associado a uma Zona DNS para um conjunto de registos correspondentes na Zona DNS.</w:t>
      </w:r>
    </w:p>
    <w:p w14:paraId="244475C2" w14:textId="5D59548C" w:rsidR="004005AF" w:rsidRDefault="00380305" w:rsidP="00F01ED6">
      <w:pPr>
        <w:pStyle w:val="ProductList-Body"/>
      </w:pPr>
      <w:r>
        <w:t>“</w:t>
      </w:r>
      <w:r w:rsidR="004005AF">
        <w:rPr>
          <w:b/>
          <w:color w:val="00188F"/>
        </w:rPr>
        <w:t>Período de Indisponibilidade</w:t>
      </w:r>
      <w:r>
        <w:t>”</w:t>
      </w:r>
      <w:r w:rsidR="004005AF">
        <w:t xml:space="preserve"> designa o total acumulado do Máximo de Minutos Disponíveis durante o qual uma Zona DNS está indisponível. Um</w:t>
      </w:r>
      <w:r w:rsidR="008348E7">
        <w:t> </w:t>
      </w:r>
      <w:r w:rsidR="004005AF">
        <w:t>minuto é considerado indisponível para uma determinada Zona DNS se uma resposta de DNS não for recebida ao fim de dois segundos para um Pedido de DNS válido, desde que o Pedido de DNS válido seja feito para todos os servidores de nomes associados à Zona DNS e forem feitas tentativas contínuas durante pelo menos 60 segundos consecutivos.</w:t>
      </w:r>
    </w:p>
    <w:p w14:paraId="7D6BFCE9" w14:textId="763FF46E" w:rsidR="004005AF"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E6E3CDB" w14:textId="21DD9DE3" w:rsidR="004005AF" w:rsidRPr="00EF7CF9" w:rsidRDefault="00000000" w:rsidP="00A12377">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7621791E" w14:textId="0AF5CDDE" w:rsidR="004005AF" w:rsidRDefault="004005AF" w:rsidP="00F01ED6">
      <w:pPr>
        <w:pStyle w:val="ProductList-Body"/>
        <w:keepNext/>
        <w:rPr>
          <w:b/>
          <w:color w:val="00188F"/>
        </w:rPr>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6AF1D85" w14:textId="77777777" w:rsidR="004005AF" w:rsidRPr="005A3C16"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4EE2FC55" w14:textId="77777777" w:rsidTr="00277097">
        <w:tc>
          <w:tcPr>
            <w:tcW w:w="5400" w:type="dxa"/>
          </w:tcPr>
          <w:p w14:paraId="3F2D7638" w14:textId="1B1AF048" w:rsidR="004005AF" w:rsidRPr="005A3C16" w:rsidRDefault="004005AF" w:rsidP="00F01ED6">
            <w:pPr>
              <w:pStyle w:val="ProductList-OfferingBody"/>
              <w:jc w:val="center"/>
            </w:pPr>
            <w:r>
              <w:t>&lt;</w:t>
            </w:r>
            <w:r w:rsidR="00F23B07">
              <w:t xml:space="preserve"> </w:t>
            </w:r>
            <w:r>
              <w:t>100</w:t>
            </w:r>
          </w:p>
        </w:tc>
        <w:tc>
          <w:tcPr>
            <w:tcW w:w="5400" w:type="dxa"/>
          </w:tcPr>
          <w:p w14:paraId="4E1D2360" w14:textId="77777777" w:rsidR="004005AF" w:rsidRPr="005A3C16" w:rsidRDefault="004005AF" w:rsidP="00F01ED6">
            <w:pPr>
              <w:pStyle w:val="ProductList-OfferingBody"/>
              <w:jc w:val="center"/>
            </w:pPr>
            <w:r>
              <w:t>10%</w:t>
            </w:r>
          </w:p>
        </w:tc>
      </w:tr>
      <w:tr w:rsidR="004005AF" w:rsidRPr="00B44CF9" w14:paraId="1E1FFD7F" w14:textId="77777777" w:rsidTr="00277097">
        <w:tc>
          <w:tcPr>
            <w:tcW w:w="5400" w:type="dxa"/>
          </w:tcPr>
          <w:p w14:paraId="74F71647" w14:textId="77777777" w:rsidR="004005AF" w:rsidRPr="005A3C16" w:rsidRDefault="004005AF" w:rsidP="00F01ED6">
            <w:pPr>
              <w:pStyle w:val="ProductList-OfferingBody"/>
              <w:jc w:val="center"/>
            </w:pPr>
            <w:r>
              <w:t>&lt; 99,99%</w:t>
            </w:r>
          </w:p>
        </w:tc>
        <w:tc>
          <w:tcPr>
            <w:tcW w:w="5400" w:type="dxa"/>
          </w:tcPr>
          <w:p w14:paraId="461E93FC" w14:textId="77777777" w:rsidR="004005AF" w:rsidRPr="005A3C16" w:rsidRDefault="004005AF" w:rsidP="00F01ED6">
            <w:pPr>
              <w:pStyle w:val="ProductList-OfferingBody"/>
              <w:jc w:val="center"/>
            </w:pPr>
            <w:r>
              <w:t>25%</w:t>
            </w:r>
          </w:p>
        </w:tc>
      </w:tr>
      <w:tr w:rsidR="004005AF" w:rsidRPr="00B44CF9" w14:paraId="0266D6E2" w14:textId="77777777" w:rsidTr="00277097">
        <w:tc>
          <w:tcPr>
            <w:tcW w:w="5400" w:type="dxa"/>
          </w:tcPr>
          <w:p w14:paraId="4C4CA789" w14:textId="77777777" w:rsidR="004005AF" w:rsidRPr="005A3C16" w:rsidRDefault="004005AF" w:rsidP="00F01ED6">
            <w:pPr>
              <w:pStyle w:val="ProductList-OfferingBody"/>
              <w:jc w:val="center"/>
            </w:pPr>
            <w:r>
              <w:t>&lt; 99,5%</w:t>
            </w:r>
          </w:p>
        </w:tc>
        <w:tc>
          <w:tcPr>
            <w:tcW w:w="5400" w:type="dxa"/>
          </w:tcPr>
          <w:p w14:paraId="33C407AA" w14:textId="77777777" w:rsidR="004005AF" w:rsidRPr="005A3C16" w:rsidRDefault="004005AF" w:rsidP="00F01ED6">
            <w:pPr>
              <w:pStyle w:val="ProductList-OfferingBody"/>
              <w:jc w:val="center"/>
            </w:pPr>
            <w:r>
              <w:t>100%</w:t>
            </w:r>
          </w:p>
        </w:tc>
      </w:tr>
    </w:tbl>
    <w:bookmarkStart w:id="235" w:name="_Toc505679756"/>
    <w:bookmarkStart w:id="236" w:name="_Toc52348953"/>
    <w:bookmarkStart w:id="237" w:name="_Toc526859658"/>
    <w:bookmarkStart w:id="238" w:name="_Toc52348931"/>
    <w:p w14:paraId="676E5BF8"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4BDD6216" w14:textId="47B9E703" w:rsidR="008070B0" w:rsidRPr="00EF7CF9" w:rsidRDefault="008070B0" w:rsidP="008070B0">
      <w:pPr>
        <w:pStyle w:val="ProductList-Offering2Heading"/>
        <w:keepNext/>
        <w:tabs>
          <w:tab w:val="clear" w:pos="360"/>
          <w:tab w:val="clear" w:pos="720"/>
          <w:tab w:val="clear" w:pos="1080"/>
        </w:tabs>
        <w:outlineLvl w:val="2"/>
      </w:pPr>
      <w:bookmarkStart w:id="239" w:name="_Toc239176467"/>
      <w:r>
        <w:t>Azure</w:t>
      </w:r>
      <w:r w:rsidR="000B098B">
        <w:t xml:space="preserve"> DNS Private Resolver</w:t>
      </w:r>
      <w:bookmarkEnd w:id="239"/>
    </w:p>
    <w:p w14:paraId="0708D2A4" w14:textId="77777777" w:rsidR="008070B0" w:rsidRDefault="008070B0" w:rsidP="008070B0">
      <w:pPr>
        <w:pStyle w:val="ProductList-Body"/>
        <w:rPr>
          <w:b/>
          <w:color w:val="00188F"/>
        </w:rPr>
      </w:pPr>
      <w:r>
        <w:rPr>
          <w:b/>
          <w:color w:val="00188F"/>
        </w:rPr>
        <w:t>Definições Adicionais</w:t>
      </w:r>
      <w:r w:rsidRPr="00473DD3">
        <w:rPr>
          <w:b/>
          <w:color w:val="00188F"/>
        </w:rPr>
        <w:t>:</w:t>
      </w:r>
    </w:p>
    <w:p w14:paraId="0B10BD28" w14:textId="77777777" w:rsidR="00885319" w:rsidRPr="00885319" w:rsidRDefault="00885319" w:rsidP="00885319">
      <w:pPr>
        <w:pStyle w:val="ProductList-Body"/>
        <w:rPr>
          <w:rFonts w:cstheme="minorHAnsi"/>
        </w:rPr>
      </w:pPr>
      <w:r w:rsidRPr="00885319">
        <w:rPr>
          <w:rFonts w:cstheme="minorHAnsi"/>
        </w:rPr>
        <w:t>“</w:t>
      </w:r>
      <w:r w:rsidRPr="00885319">
        <w:rPr>
          <w:rFonts w:cstheme="minorHAnsi"/>
          <w:b/>
          <w:color w:val="00188F"/>
        </w:rPr>
        <w:t>Ponto final do Azure DNS Private Resolver</w:t>
      </w:r>
      <w:r w:rsidRPr="00885319">
        <w:rPr>
          <w:rFonts w:cstheme="minorHAnsi"/>
        </w:rPr>
        <w:t>” designa uma implementação de um ponto final do Azure DNS Private Resolver que fornece resolução de nomes para as consultas DNS recebidas.</w:t>
      </w:r>
    </w:p>
    <w:p w14:paraId="1C354FB2" w14:textId="77777777" w:rsidR="00885319" w:rsidRPr="00885319" w:rsidRDefault="00885319" w:rsidP="00885319">
      <w:pPr>
        <w:pStyle w:val="ProductList-Body"/>
        <w:rPr>
          <w:rFonts w:cstheme="minorHAnsi"/>
        </w:rPr>
      </w:pPr>
      <w:r w:rsidRPr="00885319">
        <w:rPr>
          <w:rFonts w:cstheme="minorHAnsi"/>
        </w:rPr>
        <w:t>“</w:t>
      </w:r>
      <w:r w:rsidRPr="00885319">
        <w:rPr>
          <w:rFonts w:cstheme="minorHAnsi"/>
          <w:b/>
          <w:color w:val="00188F"/>
        </w:rPr>
        <w:t>Minutos de Implementação</w:t>
      </w:r>
      <w:r w:rsidRPr="00885319">
        <w:rPr>
          <w:rFonts w:cstheme="minorHAnsi"/>
        </w:rPr>
        <w:t>” designa o número total de minutos durante os quais um determinado ponto final foi implementado no Microsoft Azure durante um Período Aplicável.</w:t>
      </w:r>
    </w:p>
    <w:p w14:paraId="443F20ED" w14:textId="77777777" w:rsidR="00885319" w:rsidRPr="00885319" w:rsidRDefault="00885319" w:rsidP="00885319">
      <w:pPr>
        <w:pStyle w:val="ProductList-Body"/>
        <w:rPr>
          <w:rFonts w:cstheme="minorHAnsi"/>
        </w:rPr>
      </w:pPr>
      <w:r w:rsidRPr="00885319">
        <w:rPr>
          <w:rFonts w:cstheme="minorHAnsi"/>
        </w:rPr>
        <w:t>“</w:t>
      </w:r>
      <w:r w:rsidRPr="00885319">
        <w:rPr>
          <w:rFonts w:cstheme="minorHAnsi"/>
          <w:b/>
          <w:color w:val="00188F"/>
        </w:rPr>
        <w:t>Máximo de Minutos Disponíveis</w:t>
      </w:r>
      <w:r w:rsidRPr="00885319">
        <w:rPr>
          <w:rFonts w:cstheme="minorHAnsi"/>
        </w:rPr>
        <w:t>” é a soma de todos os Minutos de Implementação em todos os pontos finais implementados em cada subscrição do Microsoft Azure durante um Período Aplicável.</w:t>
      </w:r>
    </w:p>
    <w:p w14:paraId="44DF05F4" w14:textId="77777777" w:rsidR="00885319" w:rsidRPr="00885319" w:rsidRDefault="00885319" w:rsidP="00885319">
      <w:pPr>
        <w:pStyle w:val="ProductList-Body"/>
        <w:rPr>
          <w:rFonts w:cstheme="minorHAnsi"/>
        </w:rPr>
      </w:pPr>
      <w:r w:rsidRPr="00885319">
        <w:rPr>
          <w:rFonts w:cstheme="minorHAnsi"/>
        </w:rPr>
        <w:t>“</w:t>
      </w:r>
      <w:r w:rsidRPr="00885319">
        <w:rPr>
          <w:rFonts w:cstheme="minorHAnsi"/>
          <w:b/>
          <w:color w:val="00188F"/>
        </w:rPr>
        <w:t>Pedido de DNS Válido</w:t>
      </w:r>
      <w:r w:rsidRPr="00885319">
        <w:rPr>
          <w:rFonts w:cstheme="minorHAnsi"/>
        </w:rPr>
        <w:t>” designa um pedido de DNS para um servidor de nomes do Serviço DNS do Azure associado a uma Zona DNS para um conjunto de registos correspondentes na Zona DNS.</w:t>
      </w:r>
    </w:p>
    <w:p w14:paraId="3AF44406" w14:textId="77777777" w:rsidR="00885319" w:rsidRPr="00885319" w:rsidRDefault="00885319" w:rsidP="00885319">
      <w:pPr>
        <w:pStyle w:val="ProductList-Body"/>
        <w:rPr>
          <w:rFonts w:cstheme="minorHAnsi"/>
        </w:rPr>
      </w:pPr>
      <w:r w:rsidRPr="00885319">
        <w:rPr>
          <w:rFonts w:cstheme="minorHAnsi"/>
        </w:rPr>
        <w:t>“</w:t>
      </w:r>
      <w:r w:rsidRPr="00885319">
        <w:rPr>
          <w:rFonts w:cstheme="minorHAnsi"/>
          <w:b/>
          <w:color w:val="00188F"/>
        </w:rPr>
        <w:t>Período de Indisponibilidade</w:t>
      </w:r>
      <w:r w:rsidRPr="00885319">
        <w:rPr>
          <w:rFonts w:cstheme="minorHAnsi"/>
        </w:rPr>
        <w:t>” designa o total acumulado de Máximo de Minutos Disponíveis durante o qual um ponto final do DNS Private Resolver está indisponível. Um minuto é considerado indisponível para uma determinada ponto final se uma resposta de DNS não for recebida ao fim de dois segundos para um Pedido de DNS válido, desde que o Pedido de DNS válido seja feito para todos os servidores de nomes associados ao ponto final e forem feitas tentativas contínuas durante pelo menos 60 segundos consecutivos.</w:t>
      </w:r>
    </w:p>
    <w:p w14:paraId="52A136FC" w14:textId="77777777" w:rsidR="00885319" w:rsidRPr="00885319" w:rsidRDefault="00885319" w:rsidP="00885319">
      <w:pPr>
        <w:pStyle w:val="ProductList-Body"/>
        <w:rPr>
          <w:rFonts w:cstheme="minorHAnsi"/>
        </w:rPr>
      </w:pPr>
      <w:r w:rsidRPr="00885319">
        <w:rPr>
          <w:rFonts w:cstheme="minorHAnsi"/>
          <w:b/>
          <w:color w:val="00188F"/>
        </w:rPr>
        <w:t>Percentagem de Período de Disponibilidade:</w:t>
      </w:r>
      <w:r w:rsidRPr="00885319">
        <w:rPr>
          <w:rFonts w:cstheme="minorHAnsi"/>
        </w:rPr>
        <w:t xml:space="preserve"> A Percentagem de Período de Disponibilidade é calculada através da seguinte fórmula:</w:t>
      </w:r>
    </w:p>
    <w:p w14:paraId="2E27432F" w14:textId="77777777" w:rsidR="00885319" w:rsidRPr="00EF7CF9" w:rsidRDefault="00000000" w:rsidP="009F16F1">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Disponíveis-Período de Indisponibilidade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33492536" w14:textId="77777777" w:rsidR="00885319" w:rsidRPr="00885319" w:rsidRDefault="00885319" w:rsidP="00885319">
      <w:pPr>
        <w:pStyle w:val="ProductList-Body"/>
        <w:keepNext/>
        <w:rPr>
          <w:rFonts w:cstheme="minorHAnsi"/>
        </w:rPr>
      </w:pPr>
      <w:r w:rsidRPr="00885319">
        <w:rPr>
          <w:rFonts w:cstheme="minorHAnsi"/>
          <w:b/>
          <w:color w:val="00188F"/>
        </w:rPr>
        <w:t>Crédito de Serviço</w:t>
      </w:r>
      <w:r w:rsidRPr="00885319">
        <w:rPr>
          <w:rFonts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85319" w:rsidRPr="00B44CF9" w14:paraId="7FF549BB" w14:textId="77777777" w:rsidTr="00EA2F1A">
        <w:trPr>
          <w:tblHeader/>
        </w:trPr>
        <w:tc>
          <w:tcPr>
            <w:tcW w:w="5400" w:type="dxa"/>
            <w:shd w:val="clear" w:color="auto" w:fill="0072C6"/>
          </w:tcPr>
          <w:p w14:paraId="182558DE" w14:textId="77777777" w:rsidR="00885319" w:rsidRPr="00885319" w:rsidRDefault="00885319" w:rsidP="00EA2F1A">
            <w:pPr>
              <w:pStyle w:val="ProductList-OfferingBody"/>
              <w:jc w:val="center"/>
              <w:rPr>
                <w:rFonts w:cstheme="minorHAnsi"/>
                <w:color w:val="FFFFFF" w:themeColor="background1"/>
              </w:rPr>
            </w:pPr>
            <w:r w:rsidRPr="00885319">
              <w:rPr>
                <w:rFonts w:cstheme="minorHAnsi"/>
                <w:color w:val="FFFFFF" w:themeColor="background1"/>
              </w:rPr>
              <w:t>Percentagem de Período de Disponibilidade</w:t>
            </w:r>
          </w:p>
        </w:tc>
        <w:tc>
          <w:tcPr>
            <w:tcW w:w="5400" w:type="dxa"/>
            <w:shd w:val="clear" w:color="auto" w:fill="0072C6"/>
          </w:tcPr>
          <w:p w14:paraId="6BCF04BA" w14:textId="77777777" w:rsidR="00885319" w:rsidRPr="00885319" w:rsidRDefault="00885319" w:rsidP="00EA2F1A">
            <w:pPr>
              <w:pStyle w:val="ProductList-OfferingBody"/>
              <w:jc w:val="center"/>
              <w:rPr>
                <w:rFonts w:cstheme="minorHAnsi"/>
                <w:color w:val="FFFFFF" w:themeColor="background1"/>
              </w:rPr>
            </w:pPr>
            <w:r w:rsidRPr="00885319">
              <w:rPr>
                <w:rFonts w:cstheme="minorHAnsi"/>
                <w:color w:val="FFFFFF" w:themeColor="background1"/>
              </w:rPr>
              <w:t>Crédito de Serviço</w:t>
            </w:r>
          </w:p>
        </w:tc>
      </w:tr>
      <w:tr w:rsidR="00885319" w:rsidRPr="00B44CF9" w14:paraId="07F3DD10" w14:textId="77777777" w:rsidTr="00EA2F1A">
        <w:tc>
          <w:tcPr>
            <w:tcW w:w="5400" w:type="dxa"/>
          </w:tcPr>
          <w:p w14:paraId="001A7603" w14:textId="77777777" w:rsidR="00885319" w:rsidRPr="00885319" w:rsidRDefault="00885319" w:rsidP="00EA2F1A">
            <w:pPr>
              <w:pStyle w:val="ProductList-OfferingBody"/>
              <w:jc w:val="center"/>
              <w:rPr>
                <w:rFonts w:cstheme="minorHAnsi"/>
              </w:rPr>
            </w:pPr>
            <w:r w:rsidRPr="00885319">
              <w:rPr>
                <w:rFonts w:cstheme="minorHAnsi"/>
              </w:rPr>
              <w:t>&lt; 99,99%</w:t>
            </w:r>
          </w:p>
        </w:tc>
        <w:tc>
          <w:tcPr>
            <w:tcW w:w="5400" w:type="dxa"/>
          </w:tcPr>
          <w:p w14:paraId="122DF3EF" w14:textId="77777777" w:rsidR="00885319" w:rsidRPr="00885319" w:rsidRDefault="00885319" w:rsidP="00EA2F1A">
            <w:pPr>
              <w:pStyle w:val="ProductList-OfferingBody"/>
              <w:jc w:val="center"/>
              <w:rPr>
                <w:rFonts w:cstheme="minorHAnsi"/>
              </w:rPr>
            </w:pPr>
            <w:r w:rsidRPr="00885319">
              <w:rPr>
                <w:rFonts w:cstheme="minorHAnsi"/>
              </w:rPr>
              <w:t>10%</w:t>
            </w:r>
          </w:p>
        </w:tc>
      </w:tr>
      <w:tr w:rsidR="00885319" w:rsidRPr="00B44CF9" w14:paraId="481F6CB7" w14:textId="77777777" w:rsidTr="00EA2F1A">
        <w:tc>
          <w:tcPr>
            <w:tcW w:w="5400" w:type="dxa"/>
          </w:tcPr>
          <w:p w14:paraId="31746A5D" w14:textId="77777777" w:rsidR="00885319" w:rsidRPr="00885319" w:rsidRDefault="00885319" w:rsidP="00EA2F1A">
            <w:pPr>
              <w:pStyle w:val="ProductList-OfferingBody"/>
              <w:jc w:val="center"/>
              <w:rPr>
                <w:rFonts w:cstheme="minorHAnsi"/>
              </w:rPr>
            </w:pPr>
            <w:r w:rsidRPr="00885319">
              <w:rPr>
                <w:rFonts w:cstheme="minorHAnsi"/>
              </w:rPr>
              <w:t>&lt; 99,9%</w:t>
            </w:r>
          </w:p>
        </w:tc>
        <w:tc>
          <w:tcPr>
            <w:tcW w:w="5400" w:type="dxa"/>
          </w:tcPr>
          <w:p w14:paraId="5A213C9E" w14:textId="77777777" w:rsidR="00885319" w:rsidRPr="00885319" w:rsidRDefault="00885319" w:rsidP="00EA2F1A">
            <w:pPr>
              <w:pStyle w:val="ProductList-OfferingBody"/>
              <w:jc w:val="center"/>
              <w:rPr>
                <w:rFonts w:cstheme="minorHAnsi"/>
              </w:rPr>
            </w:pPr>
            <w:r w:rsidRPr="00885319">
              <w:rPr>
                <w:rFonts w:cstheme="minorHAnsi"/>
              </w:rPr>
              <w:t>25%</w:t>
            </w:r>
          </w:p>
        </w:tc>
      </w:tr>
      <w:tr w:rsidR="00885319" w:rsidRPr="00B44CF9" w14:paraId="107308CF" w14:textId="77777777" w:rsidTr="00EA2F1A">
        <w:tc>
          <w:tcPr>
            <w:tcW w:w="5400" w:type="dxa"/>
          </w:tcPr>
          <w:p w14:paraId="789A70DC" w14:textId="77777777" w:rsidR="00885319" w:rsidRPr="00885319" w:rsidRDefault="00885319" w:rsidP="00EA2F1A">
            <w:pPr>
              <w:pStyle w:val="ProductList-OfferingBody"/>
              <w:jc w:val="center"/>
              <w:rPr>
                <w:rFonts w:cstheme="minorHAnsi"/>
              </w:rPr>
            </w:pPr>
            <w:r w:rsidRPr="00885319">
              <w:rPr>
                <w:rFonts w:cstheme="minorHAnsi"/>
              </w:rPr>
              <w:t>&lt; 99,5%</w:t>
            </w:r>
          </w:p>
        </w:tc>
        <w:tc>
          <w:tcPr>
            <w:tcW w:w="5400" w:type="dxa"/>
          </w:tcPr>
          <w:p w14:paraId="57E89398" w14:textId="77777777" w:rsidR="00885319" w:rsidRPr="00885319" w:rsidRDefault="00885319" w:rsidP="00EA2F1A">
            <w:pPr>
              <w:pStyle w:val="ProductList-OfferingBody"/>
              <w:jc w:val="center"/>
              <w:rPr>
                <w:rFonts w:cstheme="minorHAnsi"/>
              </w:rPr>
            </w:pPr>
            <w:r w:rsidRPr="00885319">
              <w:rPr>
                <w:rFonts w:cstheme="minorHAnsi"/>
              </w:rPr>
              <w:t>100%</w:t>
            </w:r>
          </w:p>
        </w:tc>
      </w:tr>
    </w:tbl>
    <w:p w14:paraId="2A2996EC" w14:textId="77777777" w:rsidR="00FB0DBB" w:rsidRPr="00EF7CF9" w:rsidRDefault="00FB0DBB" w:rsidP="00FB0D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4AB2EFF" w14:textId="77777777" w:rsidR="00D420DB" w:rsidRPr="00D420DB" w:rsidRDefault="00D420DB" w:rsidP="00D420DB">
      <w:pPr>
        <w:pStyle w:val="ProductList-Offering2Heading"/>
        <w:keepNext/>
        <w:tabs>
          <w:tab w:val="clear" w:pos="360"/>
          <w:tab w:val="clear" w:pos="720"/>
          <w:tab w:val="clear" w:pos="1080"/>
        </w:tabs>
        <w:outlineLvl w:val="2"/>
      </w:pPr>
      <w:bookmarkStart w:id="240" w:name="_Toc210228314"/>
      <w:bookmarkStart w:id="241" w:name="_Toc239176468"/>
      <w:r w:rsidRPr="00D420DB">
        <w:t>Azure DocumentDB (com compatibilidade com MongoDB)</w:t>
      </w:r>
      <w:bookmarkEnd w:id="240"/>
      <w:bookmarkEnd w:id="241"/>
    </w:p>
    <w:p w14:paraId="5636A415" w14:textId="77777777" w:rsidR="00D420DB" w:rsidRPr="00A15C3C" w:rsidRDefault="00D420DB" w:rsidP="00D420DB">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Definições Adicionais:</w:t>
      </w:r>
    </w:p>
    <w:p w14:paraId="0941A35B" w14:textId="77777777" w:rsidR="00D420DB" w:rsidRPr="00A15C3C" w:rsidRDefault="00D420DB" w:rsidP="00D420DB">
      <w:pPr>
        <w:spacing w:after="0" w:line="240" w:lineRule="auto"/>
        <w:rPr>
          <w:rFonts w:ascii="Calibri" w:eastAsia="Calibri" w:hAnsi="Calibri" w:cs="Calibri"/>
          <w:sz w:val="18"/>
          <w:szCs w:val="18"/>
        </w:rPr>
      </w:pPr>
      <w:r>
        <w:rPr>
          <w:rFonts w:ascii="Calibri" w:eastAsia="Calibri" w:hAnsi="Calibri" w:cs="Calibri"/>
          <w:b/>
          <w:bCs/>
          <w:color w:val="00188F"/>
          <w:sz w:val="18"/>
          <w:szCs w:val="18"/>
        </w:rPr>
        <w:t>“Servidor”</w:t>
      </w:r>
      <w:r>
        <w:rPr>
          <w:rFonts w:ascii="Calibri" w:eastAsia="Calibri" w:hAnsi="Calibri" w:cs="Calibri"/>
          <w:color w:val="00188F"/>
          <w:sz w:val="18"/>
          <w:szCs w:val="18"/>
        </w:rPr>
        <w:t xml:space="preserve"> </w:t>
      </w:r>
      <w:r>
        <w:rPr>
          <w:rFonts w:ascii="Calibri" w:eastAsia="Calibri" w:hAnsi="Calibri" w:cs="Calibri"/>
          <w:sz w:val="18"/>
          <w:szCs w:val="18"/>
        </w:rPr>
        <w:t>designa qualquer servidor Azure DocumentDB específico.</w:t>
      </w:r>
    </w:p>
    <w:p w14:paraId="362498D9" w14:textId="77777777" w:rsidR="00D420DB" w:rsidRPr="00A15C3C" w:rsidRDefault="00D420DB" w:rsidP="00D420DB">
      <w:pPr>
        <w:spacing w:after="0" w:line="240" w:lineRule="auto"/>
        <w:rPr>
          <w:rFonts w:ascii="Calibri" w:eastAsia="Calibri" w:hAnsi="Calibri" w:cs="Calibri"/>
          <w:sz w:val="18"/>
          <w:szCs w:val="18"/>
        </w:rPr>
      </w:pPr>
      <w:r>
        <w:rPr>
          <w:rFonts w:ascii="Calibri" w:eastAsia="Calibri" w:hAnsi="Calibri" w:cs="Calibri"/>
          <w:b/>
          <w:bCs/>
          <w:color w:val="00188F"/>
          <w:sz w:val="18"/>
          <w:szCs w:val="18"/>
        </w:rPr>
        <w:t>“Cluster de Elevada Disponibilidade”</w:t>
      </w:r>
      <w:r>
        <w:rPr>
          <w:rFonts w:ascii="Calibri" w:eastAsia="Calibri" w:hAnsi="Calibri" w:cs="Calibri"/>
          <w:color w:val="00188F"/>
          <w:sz w:val="18"/>
          <w:szCs w:val="18"/>
        </w:rPr>
        <w:t xml:space="preserve"> </w:t>
      </w:r>
      <w:r>
        <w:rPr>
          <w:rFonts w:ascii="Calibri" w:eastAsia="Calibri" w:hAnsi="Calibri" w:cs="Calibri"/>
          <w:sz w:val="18"/>
          <w:szCs w:val="18"/>
        </w:rPr>
        <w:t>designa um conjunto de Nós de Elevada Disponibilidade.</w:t>
      </w:r>
    </w:p>
    <w:p w14:paraId="35089EEA" w14:textId="77777777" w:rsidR="00D420DB" w:rsidRPr="00A15C3C" w:rsidRDefault="00D420DB" w:rsidP="00D420DB">
      <w:pPr>
        <w:spacing w:after="0" w:line="240" w:lineRule="auto"/>
        <w:rPr>
          <w:rFonts w:ascii="Calibri" w:eastAsia="Calibri" w:hAnsi="Calibri" w:cs="Calibri"/>
          <w:sz w:val="18"/>
          <w:szCs w:val="18"/>
        </w:rPr>
      </w:pPr>
      <w:r>
        <w:rPr>
          <w:rFonts w:ascii="Calibri" w:eastAsia="Calibri" w:hAnsi="Calibri" w:cs="Calibri"/>
          <w:b/>
          <w:bCs/>
          <w:color w:val="00188F"/>
          <w:sz w:val="18"/>
          <w:szCs w:val="18"/>
        </w:rPr>
        <w:t>“Nó de Elevada Disponibilidade”</w:t>
      </w:r>
      <w:r>
        <w:rPr>
          <w:rFonts w:ascii="Calibri" w:eastAsia="Calibri" w:hAnsi="Calibri" w:cs="Calibri"/>
          <w:color w:val="00188F"/>
          <w:sz w:val="18"/>
          <w:szCs w:val="18"/>
        </w:rPr>
        <w:t xml:space="preserve"> </w:t>
      </w:r>
      <w:r>
        <w:rPr>
          <w:rFonts w:ascii="Calibri" w:eastAsia="Calibri" w:hAnsi="Calibri" w:cs="Calibri"/>
          <w:sz w:val="18"/>
          <w:szCs w:val="18"/>
        </w:rPr>
        <w:t>designa um Nó num cluster, com elevada disponibilidade ativada.</w:t>
      </w:r>
    </w:p>
    <w:p w14:paraId="26C547EF" w14:textId="77777777" w:rsidR="00D420DB" w:rsidRPr="00A15C3C" w:rsidRDefault="00D420DB" w:rsidP="00D420DB">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Cálculo do Tempo de Disponibilidade e Níveis de Serviço para o Microsoft Azure DocumentDB – Nó de Elevada Disponibilidade</w:t>
      </w:r>
    </w:p>
    <w:p w14:paraId="796555E4" w14:textId="77777777" w:rsidR="00D420DB" w:rsidRPr="00A15C3C" w:rsidRDefault="00D420DB" w:rsidP="00D420DB">
      <w:pPr>
        <w:spacing w:after="0" w:line="240" w:lineRule="auto"/>
        <w:rPr>
          <w:rFonts w:ascii="Calibri" w:eastAsia="Calibri" w:hAnsi="Calibri" w:cs="Calibri"/>
          <w:sz w:val="18"/>
          <w:szCs w:val="18"/>
        </w:rPr>
      </w:pPr>
      <w:r>
        <w:rPr>
          <w:rFonts w:ascii="Calibri" w:eastAsia="Calibri" w:hAnsi="Calibri" w:cs="Calibri"/>
          <w:b/>
          <w:bCs/>
          <w:color w:val="00188F"/>
          <w:sz w:val="18"/>
          <w:szCs w:val="18"/>
        </w:rPr>
        <w:t>“Máximo de Minutos Disponíveis”</w:t>
      </w:r>
      <w:r>
        <w:rPr>
          <w:rFonts w:ascii="Calibri" w:eastAsia="Calibri" w:hAnsi="Calibri" w:cs="Calibri"/>
          <w:color w:val="00188F"/>
          <w:sz w:val="18"/>
          <w:szCs w:val="18"/>
        </w:rPr>
        <w:t xml:space="preserve"> </w:t>
      </w:r>
      <w:r>
        <w:rPr>
          <w:rFonts w:ascii="Calibri" w:eastAsia="Calibri" w:hAnsi="Calibri" w:cs="Calibri"/>
          <w:sz w:val="18"/>
          <w:szCs w:val="18"/>
        </w:rPr>
        <w:t>designa o número total de minutos para um determinado Nó de Elevada Disponibilidade implementado pelo Cliente numa subscrição do Microsoft Azure durante um Período Aplicável.</w:t>
      </w:r>
    </w:p>
    <w:p w14:paraId="3F9D0344" w14:textId="77777777" w:rsidR="00D420DB" w:rsidRPr="00A15C3C" w:rsidRDefault="00D420DB" w:rsidP="00D420DB">
      <w:pPr>
        <w:spacing w:after="0" w:line="240" w:lineRule="auto"/>
        <w:rPr>
          <w:rFonts w:ascii="Calibri" w:eastAsia="Calibri" w:hAnsi="Calibri" w:cs="Calibri"/>
          <w:sz w:val="18"/>
          <w:szCs w:val="18"/>
        </w:rPr>
      </w:pPr>
      <w:r>
        <w:rPr>
          <w:rFonts w:ascii="Calibri" w:eastAsia="Calibri" w:hAnsi="Calibri" w:cs="Calibri"/>
          <w:b/>
          <w:bCs/>
          <w:color w:val="00188F"/>
          <w:sz w:val="18"/>
          <w:szCs w:val="18"/>
        </w:rPr>
        <w:t>“Tempo de Indisponibilidade”</w:t>
      </w:r>
      <w:r>
        <w:rPr>
          <w:rFonts w:ascii="Calibri" w:eastAsia="Calibri" w:hAnsi="Calibri" w:cs="Calibri"/>
          <w:color w:val="00188F"/>
          <w:sz w:val="18"/>
          <w:szCs w:val="18"/>
        </w:rPr>
        <w:t xml:space="preserve"> </w:t>
      </w:r>
      <w:r>
        <w:rPr>
          <w:rFonts w:ascii="Calibri" w:eastAsia="Calibri" w:hAnsi="Calibri" w:cs="Calibri"/>
          <w:sz w:val="18"/>
          <w:szCs w:val="18"/>
        </w:rPr>
        <w:t>designa o número total de minutos no Máximo de Minutos Disponíveis durante o qual um Nó está indisponível. Um minuto é considerado indisponível se todas as tentativas contínuas por parte do Cliente para estabelecer ligação ao Nó devolveram um Código de Erro ou não responderam ao fim de um minuto.</w:t>
      </w:r>
    </w:p>
    <w:p w14:paraId="05930FDD" w14:textId="77777777" w:rsidR="00D420DB" w:rsidRPr="000D6A98" w:rsidRDefault="00D420DB" w:rsidP="00D420DB">
      <w:pPr>
        <w:spacing w:after="0" w:line="240" w:lineRule="auto"/>
        <w:rPr>
          <w:rFonts w:ascii="Calibri" w:eastAsia="Calibri" w:hAnsi="Calibri" w:cs="Calibri"/>
          <w:sz w:val="18"/>
          <w:szCs w:val="18"/>
        </w:rPr>
      </w:pPr>
      <w:r w:rsidRPr="000D6A98">
        <w:rPr>
          <w:sz w:val="18"/>
          <w:szCs w:val="18"/>
        </w:rPr>
        <w:t xml:space="preserve">A </w:t>
      </w:r>
      <w:r w:rsidRPr="000D6A98">
        <w:rPr>
          <w:rFonts w:ascii="Calibri" w:eastAsia="Calibri" w:hAnsi="Calibri" w:cs="Calibri"/>
          <w:b/>
          <w:bCs/>
          <w:color w:val="00188F"/>
          <w:sz w:val="18"/>
          <w:szCs w:val="18"/>
        </w:rPr>
        <w:t>“Percentagem de Tempo de Disponibilidade”</w:t>
      </w:r>
      <w:r w:rsidRPr="000D6A98">
        <w:rPr>
          <w:rFonts w:ascii="Calibri" w:eastAsia="Calibri" w:hAnsi="Calibri" w:cs="Calibri"/>
          <w:color w:val="00188F"/>
          <w:sz w:val="18"/>
          <w:szCs w:val="18"/>
        </w:rPr>
        <w:t xml:space="preserve"> </w:t>
      </w:r>
      <w:r w:rsidRPr="000D6A98">
        <w:rPr>
          <w:rFonts w:ascii="Calibri" w:eastAsia="Calibri" w:hAnsi="Calibri" w:cs="Calibri"/>
          <w:sz w:val="18"/>
          <w:szCs w:val="18"/>
        </w:rPr>
        <w:t>para o Nó de Elevada Disponibilidade do Azure DocumentDB é calculada como o Máximo de Minutos Disponíveis menos o Tempo de Indisponibilidade dividido pelo Máximo de Minutos Disponíveis.</w:t>
      </w:r>
    </w:p>
    <w:p w14:paraId="75D441B0" w14:textId="77777777" w:rsidR="00D420DB" w:rsidRPr="00A15C3C" w:rsidRDefault="00D420DB" w:rsidP="00D420DB">
      <w:pPr>
        <w:spacing w:after="0" w:line="240" w:lineRule="auto"/>
        <w:rPr>
          <w:rFonts w:ascii="Calibri" w:eastAsia="Calibri" w:hAnsi="Calibri" w:cs="Calibri"/>
          <w:sz w:val="18"/>
          <w:szCs w:val="18"/>
        </w:rPr>
      </w:pPr>
      <w:r>
        <w:rPr>
          <w:rFonts w:ascii="Calibri" w:eastAsia="Calibri" w:hAnsi="Calibri" w:cs="Calibri"/>
          <w:sz w:val="18"/>
          <w:szCs w:val="18"/>
        </w:rPr>
        <w:lastRenderedPageBreak/>
        <w:t>A Percentagem de Tempo de Disponibilidade é calculada através da seguinte fórmula:</w:t>
      </w:r>
    </w:p>
    <w:p w14:paraId="6AE8E3D0" w14:textId="77777777" w:rsidR="00D420DB" w:rsidRPr="00A15C3C" w:rsidRDefault="00000000" w:rsidP="00D420DB">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Máximo de Minutos Disponíveis-Tempo de Indisponibilidade</m:t>
              </m:r>
            </m:num>
            <m:den>
              <m:r>
                <m:rPr>
                  <m:nor/>
                </m:rPr>
                <w:rPr>
                  <w:rFonts w:ascii="Cambria Math" w:eastAsia="Calibri" w:hAnsi="Cambria Math" w:cs="Calibri"/>
                  <w:i/>
                  <w:sz w:val="18"/>
                  <w:szCs w:val="18"/>
                </w:rPr>
                <m:t>Máximo de Minutos Disponíveis</m:t>
              </m:r>
            </m:den>
          </m:f>
          <m:r>
            <w:rPr>
              <w:rFonts w:ascii="Cambria Math" w:eastAsia="Calibri" w:hAnsi="Cambria Math" w:cs="Calibri"/>
              <w:sz w:val="18"/>
              <w:szCs w:val="18"/>
            </w:rPr>
            <m:t xml:space="preserve"> x 100</m:t>
          </m:r>
        </m:oMath>
      </m:oMathPara>
    </w:p>
    <w:p w14:paraId="03788B8B" w14:textId="77777777" w:rsidR="00D420DB" w:rsidRPr="00A15C3C" w:rsidRDefault="00D420DB" w:rsidP="00D420DB">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Os seguintes Níveis de Serviço e Crédito de Serviço são aplicáveis à utilização que o Cliente faz do Nó de Elevada Disponibilidade do Microsoft Azure DocumentDB configurado para abranger duas ou mais regiões do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420DB" w:rsidRPr="00A15C3C" w14:paraId="6E1AD475" w14:textId="77777777" w:rsidTr="00954FA1">
        <w:trPr>
          <w:trHeight w:val="245"/>
          <w:tblHeader/>
        </w:trPr>
        <w:tc>
          <w:tcPr>
            <w:tcW w:w="5400" w:type="dxa"/>
            <w:shd w:val="clear" w:color="auto" w:fill="0072C6"/>
          </w:tcPr>
          <w:p w14:paraId="428DF30B"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Percentagem de Tempo de Disponibilidade</w:t>
            </w:r>
          </w:p>
        </w:tc>
        <w:tc>
          <w:tcPr>
            <w:tcW w:w="5400" w:type="dxa"/>
            <w:shd w:val="clear" w:color="auto" w:fill="0072C6"/>
          </w:tcPr>
          <w:p w14:paraId="5AB1B287"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D420DB" w:rsidRPr="00A15C3C" w14:paraId="03F98028" w14:textId="77777777" w:rsidTr="00954FA1">
        <w:trPr>
          <w:trHeight w:val="245"/>
        </w:trPr>
        <w:tc>
          <w:tcPr>
            <w:tcW w:w="5400" w:type="dxa"/>
          </w:tcPr>
          <w:p w14:paraId="16559088"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&lt;99,995%</w:t>
            </w:r>
          </w:p>
        </w:tc>
        <w:tc>
          <w:tcPr>
            <w:tcW w:w="5400" w:type="dxa"/>
          </w:tcPr>
          <w:p w14:paraId="6B9666FA" w14:textId="77777777" w:rsidR="00D420DB" w:rsidRPr="00A15C3C" w:rsidRDefault="00D420DB"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D420DB" w:rsidRPr="00A15C3C" w14:paraId="4C17FB52" w14:textId="77777777" w:rsidTr="00954FA1">
        <w:trPr>
          <w:trHeight w:val="245"/>
        </w:trPr>
        <w:tc>
          <w:tcPr>
            <w:tcW w:w="5400" w:type="dxa"/>
          </w:tcPr>
          <w:p w14:paraId="15B63169"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09924970"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4F114404" w14:textId="77777777" w:rsidR="00D420DB" w:rsidRPr="00A15C3C" w:rsidRDefault="00D420DB" w:rsidP="00D420DB">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Os seguintes Níveis de Serviço e Crédito de Serviço são aplicáveis à utilização que o Cliente faz do Nó de Elevada Disponibilidade do Microsoft Azure DocumentDB destinado a uma única região do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420DB" w:rsidRPr="00A15C3C" w14:paraId="0DA38935" w14:textId="77777777" w:rsidTr="00954FA1">
        <w:trPr>
          <w:trHeight w:val="245"/>
          <w:tblHeader/>
        </w:trPr>
        <w:tc>
          <w:tcPr>
            <w:tcW w:w="5400" w:type="dxa"/>
            <w:shd w:val="clear" w:color="auto" w:fill="0072C6"/>
          </w:tcPr>
          <w:p w14:paraId="646B3560"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Percentagem de Tempo de Disponibilidade</w:t>
            </w:r>
          </w:p>
        </w:tc>
        <w:tc>
          <w:tcPr>
            <w:tcW w:w="5400" w:type="dxa"/>
            <w:shd w:val="clear" w:color="auto" w:fill="0072C6"/>
          </w:tcPr>
          <w:p w14:paraId="7FEBA19A"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D420DB" w:rsidRPr="00A15C3C" w14:paraId="5EC3F5BD" w14:textId="77777777" w:rsidTr="00954FA1">
        <w:trPr>
          <w:trHeight w:val="245"/>
        </w:trPr>
        <w:tc>
          <w:tcPr>
            <w:tcW w:w="5400" w:type="dxa"/>
          </w:tcPr>
          <w:p w14:paraId="55D37E42"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w:t>
            </w:r>
          </w:p>
        </w:tc>
        <w:tc>
          <w:tcPr>
            <w:tcW w:w="5400" w:type="dxa"/>
          </w:tcPr>
          <w:p w14:paraId="2D9F992C" w14:textId="77777777" w:rsidR="00D420DB" w:rsidRPr="00A15C3C" w:rsidRDefault="00D420DB"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D420DB" w:rsidRPr="00A15C3C" w14:paraId="6947C77D" w14:textId="77777777" w:rsidTr="00954FA1">
        <w:trPr>
          <w:trHeight w:val="245"/>
        </w:trPr>
        <w:tc>
          <w:tcPr>
            <w:tcW w:w="5400" w:type="dxa"/>
          </w:tcPr>
          <w:p w14:paraId="1EB73BD0"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767E6078" w14:textId="77777777" w:rsidR="00D420DB" w:rsidRPr="00A15C3C" w:rsidRDefault="00D420DB"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4EF520BF" w14:textId="77777777" w:rsidR="00D420DB" w:rsidRPr="00EF7CF9" w:rsidRDefault="00D420DB" w:rsidP="00D420D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F3755EE" w14:textId="53DF5F56" w:rsidR="0049639F" w:rsidRDefault="0049639F" w:rsidP="00F01ED6">
      <w:pPr>
        <w:pStyle w:val="ProductList-Offering2Heading"/>
        <w:keepNext/>
        <w:tabs>
          <w:tab w:val="clear" w:pos="360"/>
          <w:tab w:val="clear" w:pos="720"/>
          <w:tab w:val="clear" w:pos="1080"/>
        </w:tabs>
        <w:outlineLvl w:val="2"/>
      </w:pPr>
      <w:bookmarkStart w:id="242" w:name="_Toc239176469"/>
      <w:r>
        <w:t>SLA Elastic San</w:t>
      </w:r>
      <w:bookmarkEnd w:id="242"/>
    </w:p>
    <w:p w14:paraId="6B14CF3D" w14:textId="77777777" w:rsidR="00D30437" w:rsidRPr="00B511B1" w:rsidRDefault="00D30437" w:rsidP="00D30437">
      <w:pPr>
        <w:pStyle w:val="ProductList-Body"/>
        <w:rPr>
          <w:rFonts w:ascii="Calibri" w:hAnsi="Calibri" w:cs="Calibri"/>
          <w:b/>
          <w:bCs/>
        </w:rPr>
      </w:pPr>
      <w:r>
        <w:rPr>
          <w:rFonts w:ascii="Calibri" w:hAnsi="Calibri" w:cs="Calibri"/>
          <w:b/>
          <w:color w:val="00188F"/>
        </w:rPr>
        <w:t>Definições Adicionais</w:t>
      </w:r>
      <w:r w:rsidRPr="00B511B1">
        <w:rPr>
          <w:rFonts w:ascii="Calibri" w:hAnsi="Calibri" w:cs="Calibri"/>
          <w:b/>
          <w:bCs/>
        </w:rPr>
        <w:t>:</w:t>
      </w:r>
    </w:p>
    <w:p w14:paraId="185F3C17" w14:textId="77777777" w:rsidR="00D30437" w:rsidRPr="00293689" w:rsidRDefault="00D30437" w:rsidP="00D30437">
      <w:pPr>
        <w:pStyle w:val="ProductList-Body"/>
        <w:rPr>
          <w:rFonts w:ascii="Calibri" w:eastAsia="Segoe UI" w:hAnsi="Calibri" w:cs="Calibri"/>
          <w:color w:val="1A1A1A"/>
        </w:rPr>
      </w:pPr>
      <w:r w:rsidRPr="00293689">
        <w:rPr>
          <w:rFonts w:ascii="Calibri" w:hAnsi="Calibri" w:cs="Calibri"/>
          <w:b/>
          <w:color w:val="00188F"/>
        </w:rPr>
        <w:t>“Total de Transações de Armazenamento”</w:t>
      </w:r>
      <w:r w:rsidRPr="00293689">
        <w:rPr>
          <w:rFonts w:ascii="Calibri" w:hAnsi="Calibri" w:cs="Calibri"/>
        </w:rPr>
        <w:t xml:space="preserve"> </w:t>
      </w:r>
      <w:r w:rsidRPr="00293689">
        <w:rPr>
          <w:rFonts w:ascii="Calibri" w:eastAsia="Segoe UI" w:hAnsi="Calibri" w:cs="Calibri"/>
          <w:color w:val="1A1A1A"/>
        </w:rPr>
        <w:t xml:space="preserve">é o conjunto de todas as transações de armazenamento tentadas num intervalo de uma hora num único volume Elastic SAN em que a contagem total de transações é &gt; 10.000. O único tipo de transação de armazenamento suportado pelo Elastic SAN são as operações iSCSI. </w:t>
      </w:r>
    </w:p>
    <w:p w14:paraId="18910B9C" w14:textId="77777777" w:rsidR="00D30437" w:rsidRPr="00293689" w:rsidRDefault="00D30437" w:rsidP="00D30437">
      <w:pPr>
        <w:pStyle w:val="ProductList-Body"/>
        <w:rPr>
          <w:rFonts w:ascii="Calibri" w:eastAsia="Segoe UI" w:hAnsi="Calibri" w:cs="Calibri"/>
          <w:color w:val="1A1A1A"/>
        </w:rPr>
      </w:pPr>
      <w:r w:rsidRPr="00293689">
        <w:rPr>
          <w:rFonts w:ascii="Calibri" w:hAnsi="Calibri" w:cs="Calibri"/>
          <w:b/>
          <w:color w:val="00188F"/>
        </w:rPr>
        <w:t>“Transações de Armazenamento com Falha”</w:t>
      </w:r>
      <w:r w:rsidRPr="00293689">
        <w:rPr>
          <w:rFonts w:ascii="Calibri" w:eastAsia="Segoe UI" w:hAnsi="Calibri" w:cs="Calibri"/>
          <w:color w:val="1A1A1A"/>
        </w:rPr>
        <w:t xml:space="preserve"> é o conjunto de todas as transações de armazenamento de leitura e escrita no âmbito do Total de Transações de Armazenamento que não são concluídas com uma resposta positiva devido a falhas do lado do serviço, excluindo erros do lado do cliente e erros de limitação do servidor. </w:t>
      </w:r>
    </w:p>
    <w:p w14:paraId="0F771D91" w14:textId="77777777" w:rsidR="00D30437" w:rsidRDefault="00D30437" w:rsidP="00D30437">
      <w:pPr>
        <w:pStyle w:val="ProductList-Body"/>
        <w:rPr>
          <w:rFonts w:eastAsia="Segoe UI"/>
          <w:color w:val="1A1A1A"/>
        </w:rPr>
      </w:pPr>
      <w:r w:rsidRPr="00293689">
        <w:rPr>
          <w:rFonts w:ascii="Calibri" w:hAnsi="Calibri" w:cs="Calibri"/>
          <w:b/>
          <w:color w:val="00188F"/>
        </w:rPr>
        <w:t>“Percentagem de Período de Disponibilidade Mensal”</w:t>
      </w:r>
      <w:r w:rsidRPr="00293689">
        <w:rPr>
          <w:rStyle w:val="Strong"/>
          <w:rFonts w:ascii="Calibri" w:hAnsi="Calibri" w:cs="Calibri"/>
          <w:shd w:val="clear" w:color="auto" w:fill="FFFFFF"/>
        </w:rPr>
        <w:t>:</w:t>
      </w:r>
      <w:r w:rsidRPr="00293689">
        <w:rPr>
          <w:rFonts w:ascii="Calibri" w:hAnsi="Calibri" w:cs="Calibri"/>
          <w:shd w:val="clear" w:color="auto" w:fill="FFFFFF"/>
        </w:rPr>
        <w:t> A Percentagem de Período de Disponibilidade Mensal no Azure Elastic SAN num único volume é calculada como a média das percentagens de disponibilidade de todos os intervalos de uma hora, que é calculada através da seguinte fórmula:</w:t>
      </w:r>
      <w:r>
        <w:rPr>
          <w:rFonts w:eastAsia="Segoe UI"/>
          <w:color w:val="1A1A1A"/>
        </w:rPr>
        <w:t xml:space="preserve"> </w:t>
      </w:r>
    </w:p>
    <w:p w14:paraId="4B0B2283" w14:textId="77777777" w:rsidR="00D30437" w:rsidRDefault="00000000" w:rsidP="00AB785C">
      <w:pPr>
        <w:pStyle w:val="ProductList-Body"/>
        <w:spacing w:after="120"/>
        <w:rPr>
          <w:rFonts w:eastAsia="Segoe UI"/>
          <w:color w:val="1A1A1A"/>
        </w:rPr>
      </w:pPr>
      <m:oMathPara>
        <m:oMath>
          <m:f>
            <m:fPr>
              <m:ctrlPr>
                <w:rPr>
                  <w:rFonts w:ascii="Cambria Math" w:hAnsi="Cambria Math"/>
                </w:rPr>
              </m:ctrlPr>
            </m:fPr>
            <m:num>
              <m:r>
                <w:rPr>
                  <w:rFonts w:ascii="Cambria Math" w:hAnsi="Cambria Math"/>
                </w:rPr>
                <m:t>Total de Transações de Armazenamento-Transações de Armazenamento com Falha</m:t>
              </m:r>
            </m:num>
            <m:den>
              <m:r>
                <w:rPr>
                  <w:rFonts w:ascii="Cambria Math" w:hAnsi="Cambria Math"/>
                </w:rPr>
                <m:t>Total de Transações de Armazenamento</m:t>
              </m:r>
            </m:den>
          </m:f>
          <m:r>
            <w:rPr>
              <w:rFonts w:ascii="Cambria Math" w:hAnsi="Cambria Math"/>
            </w:rPr>
            <m:t>×100</m:t>
          </m:r>
        </m:oMath>
      </m:oMathPara>
    </w:p>
    <w:p w14:paraId="4A542B03" w14:textId="77777777" w:rsidR="00D30437" w:rsidRPr="000F5508" w:rsidRDefault="00D30437" w:rsidP="00485BEC">
      <w:pPr>
        <w:pStyle w:val="ProductList-Body"/>
      </w:pPr>
      <w:r>
        <w:rPr>
          <w:b/>
          <w:color w:val="00188F"/>
        </w:rPr>
        <w:t>Crédito de Serviço:</w:t>
      </w:r>
      <w:r>
        <w:t xml:space="preserve"> Elastic SAN em LRS, ZRS (pedidos de leitura e escrita) em que a contagem total de volumes Elastic SAN &gt; 10 e &gt;10% dos volumes nesta implementação Elastic SAN não cumprem o meet SLA:</w:t>
      </w:r>
    </w:p>
    <w:tbl>
      <w:tblPr>
        <w:tblStyle w:val="TableGrid"/>
        <w:tblW w:w="0" w:type="auto"/>
        <w:tblLook w:val="04A0" w:firstRow="1" w:lastRow="0" w:firstColumn="1" w:lastColumn="0" w:noHBand="0" w:noVBand="1"/>
      </w:tblPr>
      <w:tblGrid>
        <w:gridCol w:w="5395"/>
        <w:gridCol w:w="5395"/>
      </w:tblGrid>
      <w:tr w:rsidR="00D30437" w14:paraId="48205DD6" w14:textId="77777777" w:rsidTr="00041F55">
        <w:trPr>
          <w:trHeight w:val="170"/>
        </w:trPr>
        <w:tc>
          <w:tcPr>
            <w:tcW w:w="5395" w:type="dxa"/>
            <w:shd w:val="clear" w:color="auto" w:fill="0072C6"/>
            <w:vAlign w:val="center"/>
          </w:tcPr>
          <w:p w14:paraId="1A02EB2F" w14:textId="77777777" w:rsidR="00D30437" w:rsidRPr="00485BEC" w:rsidRDefault="00D30437" w:rsidP="00485BEC">
            <w:pPr>
              <w:pStyle w:val="ProductList-OfferingBody"/>
              <w:jc w:val="center"/>
              <w:rPr>
                <w:rFonts w:cstheme="minorHAnsi"/>
                <w:color w:val="FFFFFF" w:themeColor="background1"/>
              </w:rPr>
            </w:pPr>
            <w:bookmarkStart w:id="243" w:name="_Toc178260863"/>
            <w:r w:rsidRPr="00485BEC">
              <w:rPr>
                <w:rFonts w:cstheme="minorHAnsi"/>
                <w:color w:val="FFFFFF" w:themeColor="background1"/>
              </w:rPr>
              <w:t>Percentagem de Período de Disponibilidade Mensal (por volume)</w:t>
            </w:r>
            <w:bookmarkEnd w:id="243"/>
          </w:p>
        </w:tc>
        <w:tc>
          <w:tcPr>
            <w:tcW w:w="5395" w:type="dxa"/>
            <w:shd w:val="clear" w:color="auto" w:fill="0072C6"/>
            <w:vAlign w:val="center"/>
          </w:tcPr>
          <w:p w14:paraId="7D051C6C" w14:textId="77777777" w:rsidR="00D30437" w:rsidRPr="00485BEC" w:rsidRDefault="00D30437" w:rsidP="00485BEC">
            <w:pPr>
              <w:pStyle w:val="ProductList-OfferingBody"/>
              <w:jc w:val="center"/>
              <w:rPr>
                <w:rFonts w:cstheme="minorHAnsi"/>
                <w:color w:val="FFFFFF" w:themeColor="background1"/>
              </w:rPr>
            </w:pPr>
            <w:bookmarkStart w:id="244" w:name="_Toc178260864"/>
            <w:r w:rsidRPr="00485BEC">
              <w:rPr>
                <w:rFonts w:cstheme="minorHAnsi"/>
                <w:color w:val="FFFFFF" w:themeColor="background1"/>
              </w:rPr>
              <w:t>Crédito de Serviço (baseado na utilização mensal do Elastic SAN)</w:t>
            </w:r>
            <w:bookmarkEnd w:id="244"/>
          </w:p>
        </w:tc>
      </w:tr>
      <w:tr w:rsidR="00D30437" w14:paraId="7B5EF52A" w14:textId="77777777" w:rsidTr="00041F55">
        <w:tc>
          <w:tcPr>
            <w:tcW w:w="5395" w:type="dxa"/>
            <w:vAlign w:val="center"/>
          </w:tcPr>
          <w:p w14:paraId="1CBCA54C" w14:textId="77777777" w:rsidR="00D30437" w:rsidRPr="00485BEC" w:rsidRDefault="00D30437" w:rsidP="00485BEC">
            <w:pPr>
              <w:pStyle w:val="ProductList-OfferingBody"/>
              <w:jc w:val="center"/>
              <w:rPr>
                <w:rFonts w:cstheme="minorHAnsi"/>
              </w:rPr>
            </w:pPr>
            <w:bookmarkStart w:id="245" w:name="_Toc178260865"/>
            <w:r w:rsidRPr="00485BEC">
              <w:rPr>
                <w:rFonts w:cstheme="minorHAnsi"/>
              </w:rPr>
              <w:t>&lt; 99,99%</w:t>
            </w:r>
            <w:bookmarkEnd w:id="245"/>
          </w:p>
        </w:tc>
        <w:tc>
          <w:tcPr>
            <w:tcW w:w="5395" w:type="dxa"/>
            <w:vAlign w:val="center"/>
          </w:tcPr>
          <w:p w14:paraId="0C1E2430" w14:textId="77777777" w:rsidR="00D30437" w:rsidRPr="00485BEC" w:rsidRDefault="00D30437" w:rsidP="00485BEC">
            <w:pPr>
              <w:pStyle w:val="ProductList-OfferingBody"/>
              <w:jc w:val="center"/>
              <w:rPr>
                <w:rFonts w:cstheme="minorHAnsi"/>
              </w:rPr>
            </w:pPr>
            <w:bookmarkStart w:id="246" w:name="_Toc178260866"/>
            <w:r w:rsidRPr="00485BEC">
              <w:rPr>
                <w:rFonts w:cstheme="minorHAnsi"/>
              </w:rPr>
              <w:t>5%</w:t>
            </w:r>
            <w:bookmarkEnd w:id="246"/>
          </w:p>
        </w:tc>
      </w:tr>
      <w:tr w:rsidR="00D30437" w14:paraId="6D753E08" w14:textId="77777777" w:rsidTr="00041F55">
        <w:tc>
          <w:tcPr>
            <w:tcW w:w="5395" w:type="dxa"/>
            <w:vAlign w:val="center"/>
          </w:tcPr>
          <w:p w14:paraId="04F04126" w14:textId="77777777" w:rsidR="00D30437" w:rsidRPr="00485BEC" w:rsidRDefault="00D30437" w:rsidP="00485BEC">
            <w:pPr>
              <w:pStyle w:val="ProductList-OfferingBody"/>
              <w:jc w:val="center"/>
              <w:rPr>
                <w:rFonts w:cstheme="minorHAnsi"/>
              </w:rPr>
            </w:pPr>
            <w:bookmarkStart w:id="247" w:name="_Toc178260867"/>
            <w:r w:rsidRPr="00485BEC">
              <w:rPr>
                <w:rFonts w:cstheme="minorHAnsi"/>
              </w:rPr>
              <w:t>&lt; 99%</w:t>
            </w:r>
            <w:bookmarkEnd w:id="247"/>
          </w:p>
        </w:tc>
        <w:tc>
          <w:tcPr>
            <w:tcW w:w="5395" w:type="dxa"/>
            <w:vAlign w:val="center"/>
          </w:tcPr>
          <w:p w14:paraId="10001012" w14:textId="77777777" w:rsidR="00D30437" w:rsidRPr="00485BEC" w:rsidRDefault="00D30437" w:rsidP="00485BEC">
            <w:pPr>
              <w:pStyle w:val="ProductList-OfferingBody"/>
              <w:jc w:val="center"/>
              <w:rPr>
                <w:rFonts w:cstheme="minorHAnsi"/>
              </w:rPr>
            </w:pPr>
            <w:bookmarkStart w:id="248" w:name="_Toc178260868"/>
            <w:r w:rsidRPr="00485BEC">
              <w:rPr>
                <w:rFonts w:cstheme="minorHAnsi"/>
              </w:rPr>
              <w:t>10%</w:t>
            </w:r>
            <w:bookmarkEnd w:id="248"/>
          </w:p>
        </w:tc>
      </w:tr>
    </w:tbl>
    <w:p w14:paraId="48272C64" w14:textId="77777777" w:rsidR="00D30437" w:rsidRDefault="00D30437" w:rsidP="00D7240E">
      <w:pPr>
        <w:pStyle w:val="ProductList-Body"/>
        <w:spacing w:before="120"/>
      </w:pPr>
      <w:r>
        <w:rPr>
          <w:b/>
          <w:color w:val="00188F"/>
        </w:rPr>
        <w:t>Crédito de Serviço:</w:t>
      </w:r>
      <w:r>
        <w:t xml:space="preserve"> Elastic SAN em LRS, ZRS (pedidos de leitura e escrita) em que a contagem total de volumes Elastic SAN &gt; 10 e &gt;30% dos volumes nesta implementação Elastic SAN não cumprem o meet SLA:</w:t>
      </w:r>
    </w:p>
    <w:tbl>
      <w:tblPr>
        <w:tblStyle w:val="TableGrid"/>
        <w:tblW w:w="0" w:type="auto"/>
        <w:tblLook w:val="04A0" w:firstRow="1" w:lastRow="0" w:firstColumn="1" w:lastColumn="0" w:noHBand="0" w:noVBand="1"/>
      </w:tblPr>
      <w:tblGrid>
        <w:gridCol w:w="5395"/>
        <w:gridCol w:w="5395"/>
      </w:tblGrid>
      <w:tr w:rsidR="00D30437" w:rsidRPr="00F072ED" w14:paraId="474C2DE6" w14:textId="77777777" w:rsidTr="00041F55">
        <w:trPr>
          <w:trHeight w:val="170"/>
        </w:trPr>
        <w:tc>
          <w:tcPr>
            <w:tcW w:w="5395" w:type="dxa"/>
            <w:shd w:val="clear" w:color="auto" w:fill="0072C6"/>
            <w:vAlign w:val="center"/>
          </w:tcPr>
          <w:p w14:paraId="21DECF3F" w14:textId="77777777" w:rsidR="00D30437" w:rsidRPr="00485BEC" w:rsidRDefault="00D30437" w:rsidP="00485BEC">
            <w:pPr>
              <w:pStyle w:val="ProductList-OfferingBody"/>
              <w:jc w:val="center"/>
              <w:rPr>
                <w:rFonts w:cstheme="minorHAnsi"/>
                <w:color w:val="FFFFFF" w:themeColor="background1"/>
              </w:rPr>
            </w:pPr>
            <w:bookmarkStart w:id="249" w:name="_Toc178260869"/>
            <w:r w:rsidRPr="00485BEC">
              <w:rPr>
                <w:rFonts w:cstheme="minorHAnsi"/>
                <w:color w:val="FFFFFF" w:themeColor="background1"/>
              </w:rPr>
              <w:t>Percentagem de Período de Disponibilidade Mensal (por volume)</w:t>
            </w:r>
            <w:bookmarkEnd w:id="249"/>
          </w:p>
        </w:tc>
        <w:tc>
          <w:tcPr>
            <w:tcW w:w="5395" w:type="dxa"/>
            <w:shd w:val="clear" w:color="auto" w:fill="0072C6"/>
            <w:vAlign w:val="center"/>
          </w:tcPr>
          <w:p w14:paraId="7BC17255" w14:textId="77777777" w:rsidR="00D30437" w:rsidRPr="00485BEC" w:rsidRDefault="00D30437" w:rsidP="00485BEC">
            <w:pPr>
              <w:pStyle w:val="ProductList-OfferingBody"/>
              <w:jc w:val="center"/>
              <w:rPr>
                <w:rFonts w:cstheme="minorHAnsi"/>
                <w:color w:val="FFFFFF" w:themeColor="background1"/>
              </w:rPr>
            </w:pPr>
            <w:bookmarkStart w:id="250" w:name="_Toc178260870"/>
            <w:r w:rsidRPr="00485BEC">
              <w:rPr>
                <w:rFonts w:cstheme="minorHAnsi"/>
                <w:color w:val="FFFFFF" w:themeColor="background1"/>
              </w:rPr>
              <w:t>Crédito de Serviço</w:t>
            </w:r>
            <w:bookmarkEnd w:id="250"/>
          </w:p>
        </w:tc>
      </w:tr>
      <w:tr w:rsidR="00D30437" w:rsidRPr="008A6F08" w14:paraId="742EBD3E" w14:textId="77777777" w:rsidTr="00041F55">
        <w:trPr>
          <w:trHeight w:val="70"/>
        </w:trPr>
        <w:tc>
          <w:tcPr>
            <w:tcW w:w="5395" w:type="dxa"/>
            <w:vAlign w:val="center"/>
          </w:tcPr>
          <w:p w14:paraId="5089B6AE" w14:textId="77777777" w:rsidR="00D30437" w:rsidRPr="00485BEC" w:rsidRDefault="00D30437" w:rsidP="00485BEC">
            <w:pPr>
              <w:pStyle w:val="ProductList-OfferingBody"/>
              <w:jc w:val="center"/>
              <w:rPr>
                <w:rFonts w:cstheme="minorHAnsi"/>
              </w:rPr>
            </w:pPr>
            <w:bookmarkStart w:id="251" w:name="_Toc178260871"/>
            <w:r w:rsidRPr="00485BEC">
              <w:rPr>
                <w:rFonts w:cstheme="minorHAnsi"/>
              </w:rPr>
              <w:t>&lt; 99,99%</w:t>
            </w:r>
            <w:bookmarkEnd w:id="251"/>
          </w:p>
        </w:tc>
        <w:tc>
          <w:tcPr>
            <w:tcW w:w="5395" w:type="dxa"/>
            <w:vAlign w:val="center"/>
          </w:tcPr>
          <w:p w14:paraId="4E322127" w14:textId="77777777" w:rsidR="00D30437" w:rsidRPr="00485BEC" w:rsidRDefault="00D30437" w:rsidP="00485BEC">
            <w:pPr>
              <w:pStyle w:val="ProductList-OfferingBody"/>
              <w:jc w:val="center"/>
              <w:rPr>
                <w:rFonts w:cstheme="minorHAnsi"/>
              </w:rPr>
            </w:pPr>
            <w:bookmarkStart w:id="252" w:name="_Toc178260872"/>
            <w:r w:rsidRPr="00485BEC">
              <w:rPr>
                <w:rFonts w:cstheme="minorHAnsi"/>
              </w:rPr>
              <w:t>10%</w:t>
            </w:r>
            <w:bookmarkEnd w:id="252"/>
          </w:p>
        </w:tc>
      </w:tr>
      <w:tr w:rsidR="00D30437" w:rsidRPr="008A6F08" w14:paraId="5D19BD2A" w14:textId="77777777" w:rsidTr="00041F55">
        <w:tc>
          <w:tcPr>
            <w:tcW w:w="5395" w:type="dxa"/>
            <w:vAlign w:val="center"/>
          </w:tcPr>
          <w:p w14:paraId="401ED8D4" w14:textId="77777777" w:rsidR="00D30437" w:rsidRPr="00485BEC" w:rsidRDefault="00D30437" w:rsidP="00485BEC">
            <w:pPr>
              <w:pStyle w:val="ProductList-OfferingBody"/>
              <w:jc w:val="center"/>
              <w:rPr>
                <w:rFonts w:cstheme="minorHAnsi"/>
              </w:rPr>
            </w:pPr>
            <w:bookmarkStart w:id="253" w:name="_Toc178260873"/>
            <w:r w:rsidRPr="00485BEC">
              <w:rPr>
                <w:rFonts w:cstheme="minorHAnsi"/>
              </w:rPr>
              <w:t>&lt; 99%</w:t>
            </w:r>
            <w:bookmarkEnd w:id="253"/>
          </w:p>
        </w:tc>
        <w:tc>
          <w:tcPr>
            <w:tcW w:w="5395" w:type="dxa"/>
            <w:vAlign w:val="center"/>
          </w:tcPr>
          <w:p w14:paraId="7A7106AB" w14:textId="77777777" w:rsidR="00D30437" w:rsidRPr="00485BEC" w:rsidRDefault="00D30437" w:rsidP="00485BEC">
            <w:pPr>
              <w:pStyle w:val="ProductList-OfferingBody"/>
              <w:jc w:val="center"/>
              <w:rPr>
                <w:rFonts w:cstheme="minorHAnsi"/>
              </w:rPr>
            </w:pPr>
            <w:bookmarkStart w:id="254" w:name="_Toc178260874"/>
            <w:r w:rsidRPr="00485BEC">
              <w:rPr>
                <w:rFonts w:cstheme="minorHAnsi"/>
              </w:rPr>
              <w:t>30%</w:t>
            </w:r>
            <w:bookmarkEnd w:id="254"/>
          </w:p>
        </w:tc>
      </w:tr>
    </w:tbl>
    <w:p w14:paraId="6660D9D2" w14:textId="77777777" w:rsidR="00D30437" w:rsidRDefault="00D30437" w:rsidP="00D7240E">
      <w:pPr>
        <w:pStyle w:val="ProductList-Body"/>
        <w:spacing w:before="120"/>
      </w:pPr>
      <w:r>
        <w:rPr>
          <w:b/>
          <w:color w:val="00188F"/>
        </w:rPr>
        <w:t>Crédito de Serviço:</w:t>
      </w:r>
      <w:r>
        <w:t xml:space="preserve"> Elastic SAN em LRS, ZRS (pedidos de leitura e escrita) em que a contagem total de volumes Elastic SAN &lt;= 10 e quaisquer volumes nesta implementação Elastic SAN não cumprem o meet SLA:</w:t>
      </w:r>
    </w:p>
    <w:tbl>
      <w:tblPr>
        <w:tblStyle w:val="TableGrid"/>
        <w:tblW w:w="0" w:type="auto"/>
        <w:tblLook w:val="04A0" w:firstRow="1" w:lastRow="0" w:firstColumn="1" w:lastColumn="0" w:noHBand="0" w:noVBand="1"/>
      </w:tblPr>
      <w:tblGrid>
        <w:gridCol w:w="5395"/>
        <w:gridCol w:w="5395"/>
      </w:tblGrid>
      <w:tr w:rsidR="00D30437" w:rsidRPr="00F072ED" w14:paraId="1AF6C103" w14:textId="77777777" w:rsidTr="00041F55">
        <w:trPr>
          <w:trHeight w:val="170"/>
        </w:trPr>
        <w:tc>
          <w:tcPr>
            <w:tcW w:w="5395" w:type="dxa"/>
            <w:shd w:val="clear" w:color="auto" w:fill="0072C6"/>
            <w:vAlign w:val="center"/>
          </w:tcPr>
          <w:p w14:paraId="2C913092" w14:textId="77777777" w:rsidR="00D30437" w:rsidRPr="00485BEC" w:rsidRDefault="00D30437" w:rsidP="00485BEC">
            <w:pPr>
              <w:pStyle w:val="ProductList-OfferingBody"/>
              <w:jc w:val="center"/>
              <w:rPr>
                <w:rFonts w:cstheme="minorHAnsi"/>
                <w:color w:val="FFFFFF" w:themeColor="background1"/>
              </w:rPr>
            </w:pPr>
            <w:bookmarkStart w:id="255" w:name="_Toc178260875"/>
            <w:r w:rsidRPr="00485BEC">
              <w:rPr>
                <w:rFonts w:cstheme="minorHAnsi"/>
                <w:color w:val="FFFFFF" w:themeColor="background1"/>
              </w:rPr>
              <w:t>Percentagem de Período de Disponibilidade Mensal (por volume)</w:t>
            </w:r>
            <w:bookmarkEnd w:id="255"/>
          </w:p>
        </w:tc>
        <w:tc>
          <w:tcPr>
            <w:tcW w:w="5395" w:type="dxa"/>
            <w:shd w:val="clear" w:color="auto" w:fill="0072C6"/>
            <w:vAlign w:val="center"/>
          </w:tcPr>
          <w:p w14:paraId="59011E5D" w14:textId="77777777" w:rsidR="00D30437" w:rsidRPr="00485BEC" w:rsidRDefault="00D30437" w:rsidP="00485BEC">
            <w:pPr>
              <w:pStyle w:val="ProductList-OfferingBody"/>
              <w:jc w:val="center"/>
              <w:rPr>
                <w:rFonts w:cstheme="minorHAnsi"/>
                <w:color w:val="FFFFFF" w:themeColor="background1"/>
              </w:rPr>
            </w:pPr>
            <w:bookmarkStart w:id="256" w:name="_Toc178260876"/>
            <w:r w:rsidRPr="00485BEC">
              <w:rPr>
                <w:rFonts w:cstheme="minorHAnsi"/>
                <w:color w:val="FFFFFF" w:themeColor="background1"/>
              </w:rPr>
              <w:t>Crédito de Serviço</w:t>
            </w:r>
            <w:bookmarkEnd w:id="256"/>
          </w:p>
        </w:tc>
      </w:tr>
      <w:tr w:rsidR="00D30437" w:rsidRPr="008A6F08" w14:paraId="543C58C4" w14:textId="77777777" w:rsidTr="00041F55">
        <w:tc>
          <w:tcPr>
            <w:tcW w:w="5395" w:type="dxa"/>
            <w:vAlign w:val="center"/>
          </w:tcPr>
          <w:p w14:paraId="075740CC" w14:textId="77777777" w:rsidR="00D30437" w:rsidRPr="00485BEC" w:rsidRDefault="00D30437" w:rsidP="00485BEC">
            <w:pPr>
              <w:pStyle w:val="ProductList-OfferingBody"/>
              <w:jc w:val="center"/>
              <w:rPr>
                <w:rFonts w:cstheme="minorHAnsi"/>
              </w:rPr>
            </w:pPr>
            <w:bookmarkStart w:id="257" w:name="_Toc178260877"/>
            <w:r w:rsidRPr="00485BEC">
              <w:rPr>
                <w:rFonts w:cstheme="minorHAnsi"/>
              </w:rPr>
              <w:t>&lt; 95%</w:t>
            </w:r>
            <w:bookmarkEnd w:id="257"/>
          </w:p>
        </w:tc>
        <w:tc>
          <w:tcPr>
            <w:tcW w:w="5395" w:type="dxa"/>
            <w:vAlign w:val="center"/>
          </w:tcPr>
          <w:p w14:paraId="395D8822" w14:textId="77777777" w:rsidR="00D30437" w:rsidRPr="00485BEC" w:rsidRDefault="00D30437" w:rsidP="00485BEC">
            <w:pPr>
              <w:pStyle w:val="ProductList-OfferingBody"/>
              <w:jc w:val="center"/>
              <w:rPr>
                <w:rFonts w:cstheme="minorHAnsi"/>
              </w:rPr>
            </w:pPr>
            <w:bookmarkStart w:id="258" w:name="_Toc178260878"/>
            <w:r w:rsidRPr="00485BEC">
              <w:rPr>
                <w:rFonts w:cstheme="minorHAnsi"/>
              </w:rPr>
              <w:t>10%</w:t>
            </w:r>
            <w:bookmarkEnd w:id="258"/>
          </w:p>
        </w:tc>
      </w:tr>
      <w:tr w:rsidR="00D30437" w:rsidRPr="008A6F08" w14:paraId="058A52B5" w14:textId="77777777" w:rsidTr="00041F55">
        <w:tc>
          <w:tcPr>
            <w:tcW w:w="5395" w:type="dxa"/>
            <w:vAlign w:val="center"/>
          </w:tcPr>
          <w:p w14:paraId="2A263DEE" w14:textId="77777777" w:rsidR="00D30437" w:rsidRPr="00485BEC" w:rsidRDefault="00D30437" w:rsidP="00485BEC">
            <w:pPr>
              <w:pStyle w:val="ProductList-OfferingBody"/>
              <w:jc w:val="center"/>
              <w:rPr>
                <w:rFonts w:cstheme="minorHAnsi"/>
              </w:rPr>
            </w:pPr>
            <w:bookmarkStart w:id="259" w:name="_Toc178260879"/>
            <w:r w:rsidRPr="00485BEC">
              <w:rPr>
                <w:rFonts w:cstheme="minorHAnsi"/>
              </w:rPr>
              <w:t>&lt; 90%</w:t>
            </w:r>
            <w:bookmarkEnd w:id="259"/>
          </w:p>
        </w:tc>
        <w:tc>
          <w:tcPr>
            <w:tcW w:w="5395" w:type="dxa"/>
            <w:vAlign w:val="center"/>
          </w:tcPr>
          <w:p w14:paraId="1822AE6D" w14:textId="77777777" w:rsidR="00D30437" w:rsidRPr="00485BEC" w:rsidRDefault="00D30437" w:rsidP="00485BEC">
            <w:pPr>
              <w:pStyle w:val="ProductList-OfferingBody"/>
              <w:jc w:val="center"/>
              <w:rPr>
                <w:rFonts w:cstheme="minorHAnsi"/>
              </w:rPr>
            </w:pPr>
            <w:bookmarkStart w:id="260" w:name="_Toc178260880"/>
            <w:r w:rsidRPr="00485BEC">
              <w:rPr>
                <w:rFonts w:cstheme="minorHAnsi"/>
              </w:rPr>
              <w:t>30%</w:t>
            </w:r>
            <w:bookmarkEnd w:id="260"/>
          </w:p>
        </w:tc>
      </w:tr>
    </w:tbl>
    <w:p w14:paraId="3A73CBCB" w14:textId="77777777" w:rsidR="00AB785C" w:rsidRPr="00EF7CF9" w:rsidRDefault="00AB785C" w:rsidP="00AB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77520E5" w14:textId="1ABFE816" w:rsidR="00CE29C1" w:rsidRPr="00042CC1" w:rsidRDefault="00CE29C1" w:rsidP="00F01ED6">
      <w:pPr>
        <w:pStyle w:val="ProductList-Offering2Heading"/>
        <w:keepNext/>
        <w:tabs>
          <w:tab w:val="clear" w:pos="360"/>
          <w:tab w:val="clear" w:pos="720"/>
          <w:tab w:val="clear" w:pos="1080"/>
        </w:tabs>
        <w:outlineLvl w:val="2"/>
      </w:pPr>
      <w:bookmarkStart w:id="261" w:name="_Toc239176470"/>
      <w:r>
        <w:t>Grelha de Eventos</w:t>
      </w:r>
      <w:bookmarkEnd w:id="235"/>
      <w:bookmarkEnd w:id="236"/>
      <w:bookmarkEnd w:id="261"/>
    </w:p>
    <w:p w14:paraId="437BE5B4" w14:textId="77777777" w:rsidR="00CE29C1" w:rsidRPr="00042CC1" w:rsidRDefault="00CE29C1" w:rsidP="00F01ED6">
      <w:pPr>
        <w:pStyle w:val="ProductList-Body"/>
      </w:pPr>
      <w:r>
        <w:rPr>
          <w:b/>
          <w:color w:val="00188F"/>
        </w:rPr>
        <w:t>Definições Adicionais</w:t>
      </w:r>
      <w:r w:rsidRPr="00473DD3">
        <w:rPr>
          <w:b/>
          <w:color w:val="00188F"/>
        </w:rPr>
        <w:t>:</w:t>
      </w:r>
    </w:p>
    <w:p w14:paraId="0328158B" w14:textId="36950EC4" w:rsidR="00CE29C1" w:rsidRPr="00AD4F4D" w:rsidRDefault="00380305" w:rsidP="00F01ED6">
      <w:pPr>
        <w:spacing w:after="0" w:line="240" w:lineRule="auto"/>
        <w:rPr>
          <w:rFonts w:eastAsiaTheme="minorEastAsia"/>
          <w:sz w:val="18"/>
          <w:szCs w:val="18"/>
          <w:lang w:eastAsia="zh-TW"/>
        </w:rPr>
      </w:pPr>
      <w:r>
        <w:rPr>
          <w:rFonts w:eastAsiaTheme="minorEastAsia"/>
          <w:sz w:val="18"/>
          <w:szCs w:val="18"/>
        </w:rPr>
        <w:t>“</w:t>
      </w:r>
      <w:r w:rsidR="00CE29C1">
        <w:rPr>
          <w:rFonts w:eastAsiaTheme="minorEastAsia"/>
          <w:b/>
          <w:color w:val="00188F"/>
          <w:sz w:val="18"/>
          <w:szCs w:val="18"/>
        </w:rPr>
        <w:t>Máximo de Minutos Disponíveis</w:t>
      </w:r>
      <w:r>
        <w:rPr>
          <w:rFonts w:eastAsiaTheme="minorEastAsia"/>
          <w:sz w:val="18"/>
          <w:szCs w:val="18"/>
        </w:rPr>
        <w:t>”</w:t>
      </w:r>
      <w:r w:rsidR="00CE29C1">
        <w:rPr>
          <w:rFonts w:eastAsiaTheme="minorEastAsia"/>
          <w:sz w:val="18"/>
          <w:szCs w:val="18"/>
        </w:rPr>
        <w:t xml:space="preserve"> é o número total de minutos durante os quais uma Grelha de Eventos foi implementada pelo Cliente numa subscrição do Microsoft Azure durante um Período Aplicável.</w:t>
      </w:r>
    </w:p>
    <w:p w14:paraId="33CF1F3B" w14:textId="01077019" w:rsidR="00CE29C1" w:rsidRPr="00D730E5" w:rsidRDefault="00380305" w:rsidP="00F01ED6">
      <w:pPr>
        <w:spacing w:after="0" w:line="240" w:lineRule="auto"/>
        <w:rPr>
          <w:rFonts w:eastAsiaTheme="minorEastAsia"/>
          <w:sz w:val="18"/>
          <w:szCs w:val="18"/>
          <w:lang w:eastAsia="zh-TW"/>
        </w:rPr>
      </w:pPr>
      <w:r>
        <w:rPr>
          <w:rFonts w:eastAsiaTheme="minorEastAsia"/>
          <w:sz w:val="18"/>
          <w:szCs w:val="18"/>
        </w:rPr>
        <w:lastRenderedPageBreak/>
        <w:t>“</w:t>
      </w:r>
      <w:r w:rsidR="00CE29C1">
        <w:rPr>
          <w:rFonts w:eastAsiaTheme="minorEastAsia"/>
          <w:b/>
          <w:color w:val="00188F"/>
          <w:sz w:val="18"/>
          <w:szCs w:val="18"/>
        </w:rPr>
        <w:t>Período de Indisponibilidade</w:t>
      </w:r>
      <w:r>
        <w:rPr>
          <w:rFonts w:eastAsiaTheme="minorEastAsia"/>
          <w:sz w:val="18"/>
          <w:szCs w:val="18"/>
        </w:rPr>
        <w:t>”</w:t>
      </w:r>
      <w:r w:rsidR="00CE29C1">
        <w:rPr>
          <w:rFonts w:eastAsiaTheme="minorEastAsia"/>
          <w:sz w:val="18"/>
          <w:szCs w:val="18"/>
        </w:rPr>
        <w:t xml:space="preserve"> designa o número total de minutos durante o Máximo de Minutos Disponíveis em todas Grelhas de Eventos implementadas pelo Cliente numa determinada subscrição do Microsoft Azure durante a qual a Grelha de Eventos está indisponível. Um minuto é</w:t>
      </w:r>
      <w:r w:rsidR="00D041BB">
        <w:rPr>
          <w:rFonts w:eastAsiaTheme="minorEastAsia"/>
          <w:sz w:val="18"/>
          <w:szCs w:val="18"/>
        </w:rPr>
        <w:t> </w:t>
      </w:r>
      <w:r w:rsidR="00CE29C1">
        <w:rPr>
          <w:rFonts w:eastAsiaTheme="minorEastAsia"/>
          <w:sz w:val="18"/>
          <w:szCs w:val="18"/>
        </w:rPr>
        <w:t>considerado indisponível para uma determinada Grelha de Eventos se todos os pedidos de publicação de uma mensagem devolverem um Código</w:t>
      </w:r>
      <w:r w:rsidR="00D041BB">
        <w:rPr>
          <w:rFonts w:eastAsiaTheme="minorEastAsia"/>
          <w:sz w:val="18"/>
          <w:szCs w:val="18"/>
        </w:rPr>
        <w:t> </w:t>
      </w:r>
      <w:r w:rsidR="00CE29C1">
        <w:rPr>
          <w:rFonts w:eastAsiaTheme="minorEastAsia"/>
          <w:sz w:val="18"/>
          <w:szCs w:val="18"/>
        </w:rPr>
        <w:t>de Erro ou não resultarem num Código de Êxito no prazo de um minuto.</w:t>
      </w:r>
    </w:p>
    <w:p w14:paraId="2BEDFAF2" w14:textId="75DA3EEA" w:rsidR="00CE29C1" w:rsidRDefault="00380305" w:rsidP="00F01ED6">
      <w:pPr>
        <w:pStyle w:val="ProductList-Body"/>
      </w:pPr>
      <w:r>
        <w:t>“</w:t>
      </w:r>
      <w:r w:rsidR="00CE29C1">
        <w:rPr>
          <w:b/>
          <w:color w:val="00188F"/>
        </w:rPr>
        <w:t>Percentagem de Período de Disponibilidade</w:t>
      </w:r>
      <w:r>
        <w:t>”</w:t>
      </w:r>
      <w:r w:rsidR="00CE29C1">
        <w:t>: A Percentagem de Período de Disponibilidade é calculada através da seguinte fórmula:</w:t>
      </w:r>
    </w:p>
    <w:p w14:paraId="79284E66" w14:textId="77968965" w:rsidR="00CE29C1" w:rsidRPr="00D730E5" w:rsidRDefault="00000000" w:rsidP="009F16F1">
      <w:pPr>
        <w:spacing w:before="120" w:after="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A548F73" w14:textId="77777777" w:rsidR="00CE29C1" w:rsidRPr="00042CC1" w:rsidRDefault="00CE29C1"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40E0AC4" w14:textId="77777777" w:rsidR="00CE29C1" w:rsidRPr="00042CC1" w:rsidRDefault="00CE29C1" w:rsidP="00F01ED6">
            <w:pPr>
              <w:pStyle w:val="ProductList-OfferingBody"/>
              <w:jc w:val="center"/>
              <w:rPr>
                <w:color w:val="FFFFFF" w:themeColor="background1"/>
              </w:rPr>
            </w:pPr>
            <w:r>
              <w:rPr>
                <w:color w:val="FFFFFF" w:themeColor="background1"/>
              </w:rPr>
              <w:t>Crédito de Serviço</w:t>
            </w:r>
          </w:p>
        </w:tc>
      </w:tr>
      <w:tr w:rsidR="00CE29C1" w:rsidRPr="00B44CF9" w14:paraId="62ABD52C" w14:textId="77777777" w:rsidTr="00277097">
        <w:trPr>
          <w:trHeight w:val="175"/>
        </w:trPr>
        <w:tc>
          <w:tcPr>
            <w:tcW w:w="5400" w:type="dxa"/>
          </w:tcPr>
          <w:p w14:paraId="6E2C5EB8" w14:textId="77777777" w:rsidR="00CE29C1" w:rsidRPr="00D730E5" w:rsidRDefault="00CE29C1" w:rsidP="00F01ED6">
            <w:pPr>
              <w:pStyle w:val="ProductList-OfferingBody"/>
              <w:jc w:val="center"/>
            </w:pPr>
            <w:r>
              <w:t>&lt; 99,99%</w:t>
            </w:r>
          </w:p>
        </w:tc>
        <w:tc>
          <w:tcPr>
            <w:tcW w:w="5400" w:type="dxa"/>
          </w:tcPr>
          <w:p w14:paraId="373AB7D9" w14:textId="77777777" w:rsidR="00CE29C1" w:rsidRPr="00D730E5" w:rsidRDefault="00CE29C1" w:rsidP="00F01ED6">
            <w:pPr>
              <w:pStyle w:val="ProductList-OfferingBody"/>
              <w:tabs>
                <w:tab w:val="left" w:pos="905"/>
                <w:tab w:val="center" w:pos="2635"/>
              </w:tabs>
              <w:jc w:val="center"/>
            </w:pPr>
            <w:r>
              <w:t>10%</w:t>
            </w:r>
          </w:p>
        </w:tc>
      </w:tr>
      <w:tr w:rsidR="00CE29C1" w:rsidRPr="00B44CF9" w14:paraId="38780FDF" w14:textId="77777777" w:rsidTr="00277097">
        <w:trPr>
          <w:trHeight w:val="174"/>
        </w:trPr>
        <w:tc>
          <w:tcPr>
            <w:tcW w:w="5400" w:type="dxa"/>
          </w:tcPr>
          <w:p w14:paraId="751DF4EA" w14:textId="77777777" w:rsidR="00CE29C1" w:rsidRPr="00D730E5" w:rsidRDefault="00CE29C1" w:rsidP="00F01ED6">
            <w:pPr>
              <w:pStyle w:val="ProductList-OfferingBody"/>
              <w:jc w:val="center"/>
            </w:pPr>
            <w:r>
              <w:t>&lt; 99%</w:t>
            </w:r>
          </w:p>
        </w:tc>
        <w:tc>
          <w:tcPr>
            <w:tcW w:w="5400" w:type="dxa"/>
          </w:tcPr>
          <w:p w14:paraId="19499F7C" w14:textId="77777777" w:rsidR="00CE29C1" w:rsidRPr="00D730E5" w:rsidRDefault="00CE29C1" w:rsidP="00F01ED6">
            <w:pPr>
              <w:pStyle w:val="ProductList-OfferingBody"/>
              <w:jc w:val="center"/>
            </w:pPr>
            <w:r>
              <w:t>25%</w:t>
            </w:r>
          </w:p>
        </w:tc>
      </w:tr>
    </w:tbl>
    <w:bookmarkStart w:id="262" w:name="_Toc457821571"/>
    <w:bookmarkStart w:id="263" w:name="_Toc52348981"/>
    <w:p w14:paraId="3C9BC4E6"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0F2A668" w14:textId="43DFF0CE" w:rsidR="00A0487C" w:rsidRPr="00A7707E" w:rsidRDefault="00A0487C" w:rsidP="00A7707E">
      <w:pPr>
        <w:pStyle w:val="ProductList-Offering2Heading"/>
        <w:keepNext/>
        <w:keepLines/>
        <w:tabs>
          <w:tab w:val="clear" w:pos="360"/>
          <w:tab w:val="clear" w:pos="720"/>
          <w:tab w:val="clear" w:pos="1080"/>
        </w:tabs>
        <w:outlineLvl w:val="2"/>
      </w:pPr>
      <w:bookmarkStart w:id="264" w:name="_Toc239176471"/>
      <w:r w:rsidRPr="00A7707E">
        <w:t>Armazenamento Georredundante (GRS) – Replicação com Prioridade</w:t>
      </w:r>
      <w:bookmarkEnd w:id="264"/>
    </w:p>
    <w:p w14:paraId="27E6CF4E"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Este SLA aplica-se a todas as contas de Armazenamento Georredundante ou Armazenamento Geográfico Com Redundância entre Zonas em que a Replicação com Prioridade Geográfica está Ativada.</w:t>
      </w:r>
    </w:p>
    <w:p w14:paraId="5CABAFFC" w14:textId="77777777" w:rsidR="00A0487C" w:rsidRDefault="00A0487C" w:rsidP="00A0487C">
      <w:pPr>
        <w:spacing w:after="0" w:line="240" w:lineRule="auto"/>
        <w:rPr>
          <w:rFonts w:ascii="Calibri" w:eastAsia="Calibri" w:hAnsi="Calibri" w:cs="Calibri"/>
          <w:b/>
          <w:bCs/>
          <w:color w:val="00188F"/>
          <w:sz w:val="18"/>
          <w:szCs w:val="18"/>
        </w:rPr>
      </w:pPr>
    </w:p>
    <w:p w14:paraId="418B4FC8" w14:textId="77777777" w:rsidR="00A0487C" w:rsidRPr="00A15C3C" w:rsidRDefault="00A0487C" w:rsidP="00A0487C">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Definições Adicionais:</w:t>
      </w:r>
    </w:p>
    <w:p w14:paraId="18808174"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Minuto da Hora da Última Sincronização (LST) Excedido</w:t>
      </w:r>
      <w:r>
        <w:rPr>
          <w:rFonts w:ascii="Calibri" w:eastAsia="Times New Roman" w:hAnsi="Calibri" w:cs="Calibri"/>
          <w:sz w:val="18"/>
          <w:szCs w:val="18"/>
        </w:rPr>
        <w:t>” é cada minuto, num mês de faturação, em que a Hora da Última Sincronização da Conta de Armazenamento Georredundante ou da Conta de Armazenamento Geográfico com Redundância Entre Zonas supera os 15 minutos para os dados do Blob de Blocos. </w:t>
      </w:r>
    </w:p>
    <w:p w14:paraId="14F2F1CC"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Geograficamente Redundante (GRS)</w:t>
      </w:r>
      <w:r>
        <w:rPr>
          <w:rFonts w:ascii="Calibri" w:eastAsia="Times New Roman" w:hAnsi="Calibri" w:cs="Calibri"/>
          <w:sz w:val="18"/>
          <w:szCs w:val="18"/>
        </w:rPr>
        <w:t>” é uma conta de armazenamento para a qual os dados são replicados numa Região Primária e, em seguida, replicados de forma assíncrona para uma Região Secundária. O Cliente não pode ler nem escrever dados diretamente na Região Secundária associada às Contas GRS. </w:t>
      </w:r>
    </w:p>
    <w:p w14:paraId="4732CA7E"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Geográfico com Redundância entre Zonas (GZRS)</w:t>
      </w:r>
      <w:r>
        <w:rPr>
          <w:rFonts w:ascii="Calibri" w:eastAsia="Times New Roman" w:hAnsi="Calibri" w:cs="Calibri"/>
          <w:sz w:val="18"/>
          <w:szCs w:val="18"/>
        </w:rPr>
        <w:t>” é uma conta de armazenamento para a qual os dados são replicados em várias instalações através do Armazenamento com Redundância entre Zonas numa Região Primária e, em seguida, replicados de forma assíncrona para uma Região Secundária através do Armazenamento Localmente Redundante. O Cliente não pode ler nem escrever dados diretamente na Região Secundária associada às Contas GZRS. </w:t>
      </w:r>
    </w:p>
    <w:p w14:paraId="028F2423"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Hora da Última Sincronização</w:t>
      </w:r>
      <w:r>
        <w:rPr>
          <w:rFonts w:ascii="Calibri" w:eastAsia="Times New Roman" w:hAnsi="Calibri" w:cs="Calibri"/>
          <w:sz w:val="18"/>
          <w:szCs w:val="18"/>
        </w:rPr>
        <w:t>” indica a última vez que uma sincronização de dados completa da Região Primária foi replicada com êxito para a Região Secundária. Todas as escritas feitas na Região Primária antes da Hora da Última Sincronização estão disponíveis para leitura a partir da Região Secundária. . </w:t>
      </w:r>
    </w:p>
    <w:p w14:paraId="4869F675"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Localmente Redundante (LRS)</w:t>
      </w:r>
      <w:r>
        <w:rPr>
          <w:rFonts w:ascii="Calibri" w:eastAsia="Times New Roman" w:hAnsi="Calibri" w:cs="Calibri"/>
          <w:sz w:val="18"/>
          <w:szCs w:val="18"/>
        </w:rPr>
        <w:t>” designa uma conta de armazenamento para a qual os dados são replicados apenas numa Região Primária. </w:t>
      </w:r>
    </w:p>
    <w:p w14:paraId="2420B2A3"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Máximo de Minutos Disponíveis</w:t>
      </w:r>
      <w:r>
        <w:rPr>
          <w:rFonts w:ascii="Calibri" w:eastAsia="Times New Roman" w:hAnsi="Calibri" w:cs="Calibri"/>
          <w:sz w:val="18"/>
          <w:szCs w:val="18"/>
        </w:rPr>
        <w:t>” é o número total de minutos que uma Conta de Armazenamento Georredundante ou uma Conta de Armazenamento Geográfico com Redundância Entre Zonas com Replicação com Prioridade Geográfica ativada foi implementada pelo Cliente numa subscrição do Microsoft Azure durante um mês de faturação. </w:t>
      </w:r>
    </w:p>
    <w:p w14:paraId="1571D050"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Região Primária</w:t>
      </w:r>
      <w:r>
        <w:rPr>
          <w:rFonts w:ascii="Calibri" w:eastAsia="Times New Roman" w:hAnsi="Calibri" w:cs="Calibri"/>
          <w:sz w:val="18"/>
          <w:szCs w:val="18"/>
        </w:rPr>
        <w:t>” designa uma região geográfica onde os dados numa conta de armazenamento estão localizados, tal como selecionado pelo Cliente durante a criação da conta de armazenamento. O Cliente só pode executar pedidos de escrita em dados armazenados na Região Primária associada às contas de armazenamento. </w:t>
      </w:r>
    </w:p>
    <w:p w14:paraId="4A515046"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Geograficamente Redundante com Acesso de Leitura (RA-GRS)</w:t>
      </w:r>
      <w:r>
        <w:rPr>
          <w:rFonts w:ascii="Calibri" w:eastAsia="Times New Roman" w:hAnsi="Calibri" w:cs="Calibri"/>
          <w:sz w:val="18"/>
          <w:szCs w:val="18"/>
        </w:rPr>
        <w:t>” designa uma conta de armazenamento para a qual os dados são replicados numa Região Primária e, em seguida, replicados de forma assíncrona para uma Região Secundária. O Cliente pode ler diretamente dados mas não pode escrever dados na Região Secundária associada às Contas RA-GRS. </w:t>
      </w:r>
    </w:p>
    <w:p w14:paraId="2C8164A6"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Geográfico com Redundância entre Zonas e Acesso de Leitura (RA-GZRS)</w:t>
      </w:r>
      <w:r>
        <w:rPr>
          <w:rFonts w:ascii="Calibri" w:eastAsia="Times New Roman" w:hAnsi="Calibri" w:cs="Calibri"/>
          <w:sz w:val="18"/>
          <w:szCs w:val="18"/>
        </w:rPr>
        <w:t>” é uma conta de armazenamento para a qual os dados são replicados em várias instalações através do Armazenamento com Redundância entre Zonas numa Região Primária e, em seguida, replicados de forma assíncrona para uma Região Secundária através do Armazenamento Localmente Redundante. O Cliente pode ler diretamente dados mas não pode escrever dados na Região Secundária associada às Contas RA-GZRS. </w:t>
      </w:r>
    </w:p>
    <w:p w14:paraId="7AFEF843"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Região Secundária</w:t>
      </w:r>
      <w:r>
        <w:rPr>
          <w:rFonts w:ascii="Calibri" w:eastAsia="Times New Roman" w:hAnsi="Calibri" w:cs="Calibri"/>
          <w:sz w:val="18"/>
          <w:szCs w:val="18"/>
        </w:rPr>
        <w:t>” é uma região geográfica onde os dados numa Conta GRS ou GZRS são replicados e armazenados, tal como atribuído pelo Microsoft Azure com base na Região Primária associada à conta de armazenamento. O Cliente não pode especificar a Região Secundária associada às contas de armazenamento. </w:t>
      </w:r>
    </w:p>
    <w:p w14:paraId="228718E1" w14:textId="77777777" w:rsidR="00A0487C" w:rsidRPr="00926E76" w:rsidRDefault="00A0487C" w:rsidP="00A0487C">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Redundante por Zona (ZRS)</w:t>
      </w:r>
      <w:r>
        <w:rPr>
          <w:rFonts w:ascii="Calibri" w:eastAsia="Times New Roman" w:hAnsi="Calibri" w:cs="Calibri"/>
          <w:sz w:val="18"/>
          <w:szCs w:val="18"/>
        </w:rPr>
        <w:t>” designa uma conta de armazenamento para a qual os dados são replicados em múltiplas instalações. Estas instalações podem estar na mesma região geográfica ou em duas regiões geográficas. </w:t>
      </w:r>
    </w:p>
    <w:p w14:paraId="33D23100" w14:textId="77777777" w:rsidR="00A0487C" w:rsidRDefault="00A0487C" w:rsidP="00A0487C">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“Percentagem Mensal de Conformidade”: A Percentagem Mensal de Conformidade é calculada através da seguinte fórmula: </w:t>
      </w:r>
    </w:p>
    <w:p w14:paraId="21AEAEDC" w14:textId="77777777" w:rsidR="00A0487C" w:rsidRPr="00EF7CF9" w:rsidRDefault="00000000" w:rsidP="00A7707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Minuto da Hora da Última sincronização Excedido</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576E9F0" w14:textId="77777777" w:rsidR="00A0487C" w:rsidRPr="0036053F" w:rsidRDefault="00A0487C" w:rsidP="00A0487C">
      <w:pPr>
        <w:pStyle w:val="ProductList-Body"/>
        <w:rPr>
          <w:rFonts w:ascii="Calibri" w:hAnsi="Calibri" w:cs="Calibri"/>
        </w:rPr>
      </w:pPr>
      <w:r>
        <w:rPr>
          <w:rFonts w:ascii="Calibri" w:hAnsi="Calibri" w:cs="Calibri"/>
          <w:b/>
          <w:color w:val="00188F"/>
        </w:rPr>
        <w:t>Crédito de Serviço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0487C" w:rsidRPr="00B44CF9" w14:paraId="18A509C9" w14:textId="77777777" w:rsidTr="00954FA1">
        <w:trPr>
          <w:trHeight w:val="245"/>
          <w:tblHeader/>
        </w:trPr>
        <w:tc>
          <w:tcPr>
            <w:tcW w:w="5400" w:type="dxa"/>
            <w:shd w:val="clear" w:color="auto" w:fill="0072C6"/>
          </w:tcPr>
          <w:p w14:paraId="7DF988FB" w14:textId="77777777" w:rsidR="00A0487C" w:rsidRPr="0084755E" w:rsidRDefault="00A0487C"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Percentagem Mensal de Conformidade</w:t>
            </w:r>
          </w:p>
        </w:tc>
        <w:tc>
          <w:tcPr>
            <w:tcW w:w="5400" w:type="dxa"/>
            <w:shd w:val="clear" w:color="auto" w:fill="0072C6"/>
          </w:tcPr>
          <w:p w14:paraId="6908FB7E" w14:textId="77777777" w:rsidR="00A0487C" w:rsidRPr="0084755E" w:rsidRDefault="00A0487C"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A0487C" w:rsidRPr="00B44CF9" w14:paraId="4019CD05" w14:textId="77777777" w:rsidTr="00954FA1">
        <w:trPr>
          <w:trHeight w:val="245"/>
        </w:trPr>
        <w:tc>
          <w:tcPr>
            <w:tcW w:w="5400" w:type="dxa"/>
          </w:tcPr>
          <w:p w14:paraId="0E7524E9" w14:textId="77777777" w:rsidR="00A0487C" w:rsidRPr="0084755E" w:rsidRDefault="00A0487C" w:rsidP="00954FA1">
            <w:pPr>
              <w:pStyle w:val="ProductList-OfferingBody"/>
              <w:jc w:val="center"/>
              <w:rPr>
                <w:rFonts w:ascii="Calibri" w:hAnsi="Calibri" w:cs="Calibri"/>
                <w:szCs w:val="16"/>
              </w:rPr>
            </w:pPr>
            <w:r>
              <w:rPr>
                <w:rFonts w:ascii="Calibri" w:eastAsia="Times New Roman" w:hAnsi="Calibri" w:cs="Calibri"/>
                <w:szCs w:val="16"/>
              </w:rPr>
              <w:t>Menos de 99% e superior ou igual a 95% </w:t>
            </w:r>
          </w:p>
        </w:tc>
        <w:tc>
          <w:tcPr>
            <w:tcW w:w="5400" w:type="dxa"/>
          </w:tcPr>
          <w:p w14:paraId="3F15BDA9" w14:textId="77777777" w:rsidR="00A0487C" w:rsidRPr="0084755E" w:rsidRDefault="00A0487C" w:rsidP="00954FA1">
            <w:pPr>
              <w:pStyle w:val="ProductList-OfferingBody"/>
              <w:jc w:val="center"/>
              <w:rPr>
                <w:rFonts w:ascii="Calibri" w:hAnsi="Calibri" w:cs="Calibri"/>
                <w:szCs w:val="16"/>
              </w:rPr>
            </w:pPr>
            <w:r>
              <w:rPr>
                <w:rFonts w:ascii="Calibri" w:hAnsi="Calibri" w:cs="Calibri"/>
                <w:szCs w:val="16"/>
              </w:rPr>
              <w:t>10%</w:t>
            </w:r>
          </w:p>
        </w:tc>
      </w:tr>
      <w:tr w:rsidR="00A0487C" w:rsidRPr="00B44CF9" w14:paraId="13D6C1D6" w14:textId="77777777" w:rsidTr="00954FA1">
        <w:trPr>
          <w:trHeight w:val="245"/>
        </w:trPr>
        <w:tc>
          <w:tcPr>
            <w:tcW w:w="5400" w:type="dxa"/>
          </w:tcPr>
          <w:p w14:paraId="38DAFD60" w14:textId="77777777" w:rsidR="00A0487C" w:rsidRPr="0084755E" w:rsidRDefault="00A0487C" w:rsidP="00954FA1">
            <w:pPr>
              <w:pStyle w:val="ProductList-OfferingBody"/>
              <w:jc w:val="center"/>
              <w:rPr>
                <w:rFonts w:ascii="Calibri" w:hAnsi="Calibri" w:cs="Calibri"/>
                <w:szCs w:val="16"/>
              </w:rPr>
            </w:pPr>
            <w:r>
              <w:rPr>
                <w:rFonts w:ascii="Calibri" w:eastAsia="Times New Roman" w:hAnsi="Calibri" w:cs="Calibri"/>
                <w:szCs w:val="16"/>
              </w:rPr>
              <w:t>Menos de 95% e superior ou igual a 90% </w:t>
            </w:r>
          </w:p>
        </w:tc>
        <w:tc>
          <w:tcPr>
            <w:tcW w:w="5400" w:type="dxa"/>
          </w:tcPr>
          <w:p w14:paraId="44372D6F" w14:textId="77777777" w:rsidR="00A0487C" w:rsidRPr="0084755E" w:rsidRDefault="00A0487C" w:rsidP="00954FA1">
            <w:pPr>
              <w:pStyle w:val="ProductList-OfferingBody"/>
              <w:jc w:val="center"/>
              <w:rPr>
                <w:rFonts w:ascii="Calibri" w:hAnsi="Calibri" w:cs="Calibri"/>
                <w:szCs w:val="16"/>
              </w:rPr>
            </w:pPr>
            <w:r>
              <w:rPr>
                <w:rFonts w:ascii="Calibri" w:hAnsi="Calibri" w:cs="Calibri"/>
                <w:szCs w:val="16"/>
              </w:rPr>
              <w:t>25%</w:t>
            </w:r>
          </w:p>
        </w:tc>
      </w:tr>
      <w:tr w:rsidR="00A0487C" w:rsidRPr="00B44CF9" w14:paraId="669D611B" w14:textId="77777777" w:rsidTr="00954FA1">
        <w:trPr>
          <w:trHeight w:val="245"/>
        </w:trPr>
        <w:tc>
          <w:tcPr>
            <w:tcW w:w="5400" w:type="dxa"/>
          </w:tcPr>
          <w:p w14:paraId="30D6DF4C" w14:textId="77777777" w:rsidR="00A0487C" w:rsidRPr="0084755E" w:rsidRDefault="00A0487C" w:rsidP="00954FA1">
            <w:pPr>
              <w:pStyle w:val="ProductList-OfferingBody"/>
              <w:jc w:val="center"/>
              <w:rPr>
                <w:rFonts w:ascii="Calibri" w:hAnsi="Calibri" w:cs="Calibri"/>
                <w:szCs w:val="16"/>
              </w:rPr>
            </w:pPr>
            <w:r>
              <w:rPr>
                <w:rFonts w:ascii="Calibri" w:eastAsia="Times New Roman" w:hAnsi="Calibri" w:cs="Calibri"/>
                <w:szCs w:val="16"/>
              </w:rPr>
              <w:t>&lt;90% </w:t>
            </w:r>
          </w:p>
        </w:tc>
        <w:tc>
          <w:tcPr>
            <w:tcW w:w="5400" w:type="dxa"/>
          </w:tcPr>
          <w:p w14:paraId="3E41350F" w14:textId="77777777" w:rsidR="00A0487C" w:rsidRPr="0084755E" w:rsidRDefault="00A0487C" w:rsidP="00954FA1">
            <w:pPr>
              <w:pStyle w:val="ProductList-OfferingBody"/>
              <w:jc w:val="center"/>
              <w:rPr>
                <w:rFonts w:ascii="Calibri" w:hAnsi="Calibri" w:cs="Calibri"/>
                <w:szCs w:val="16"/>
              </w:rPr>
            </w:pPr>
            <w:r>
              <w:rPr>
                <w:rFonts w:ascii="Calibri" w:hAnsi="Calibri" w:cs="Calibri"/>
                <w:szCs w:val="16"/>
              </w:rPr>
              <w:t>100%</w:t>
            </w:r>
          </w:p>
        </w:tc>
      </w:tr>
    </w:tbl>
    <w:p w14:paraId="3EA32EC9" w14:textId="77777777" w:rsidR="00A0487C" w:rsidRDefault="00A0487C" w:rsidP="00A0487C">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Exceções de Nível de Serviço:</w:t>
      </w:r>
      <w:r>
        <w:rPr>
          <w:rFonts w:ascii="Calibri" w:eastAsia="Times New Roman" w:hAnsi="Calibri" w:cs="Calibri"/>
          <w:color w:val="000000"/>
          <w:sz w:val="18"/>
          <w:szCs w:val="18"/>
        </w:rPr>
        <w:t xml:space="preserve"> Este SLA não se aplica a (i) contas de Armazenamento que não tenham a Replicação com Prioridade Geográfica ativada, (ii) contas de Armazenamento em que tenham sido feitas chamadas à API de blobs de acréscimo ou de páginas nos últimos 30 dias, (iii) contas de Armazenamento com uma Hora da Última Sincronização superior a 15 minutos de atraso ao ativar a Replicação com Prioridade Geográfica não serão elegíveis até a Hora da Última Sincronização da conta ser inferior ou igual a 15 minutos de atraso ou (iv) durante períodos de tempo em que (a) a taxa de transferência de dados do Cliente exceda 1 gigabit por segundo (Gbps) e o registo de tarefas pendentes resultante esteja a ser replicada ou (b) o pedido de blobs de cópia do Cliente exceda 100 pedidos de CopyBlob por segundo e o registo de tarefas pendentes resultante de escritas esteja a ser replicado.</w:t>
      </w:r>
    </w:p>
    <w:p w14:paraId="43268AA5" w14:textId="77777777" w:rsidR="00A7707E" w:rsidRPr="00EF7CF9" w:rsidRDefault="00A7707E" w:rsidP="00A770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E361F15" w14:textId="34443528" w:rsidR="00795604" w:rsidRPr="00EF7CF9" w:rsidRDefault="00795604" w:rsidP="00DB5453">
      <w:pPr>
        <w:pStyle w:val="ProductList-Offering2Heading"/>
        <w:keepNext/>
        <w:keepLines/>
        <w:tabs>
          <w:tab w:val="clear" w:pos="360"/>
          <w:tab w:val="clear" w:pos="720"/>
          <w:tab w:val="clear" w:pos="1080"/>
        </w:tabs>
        <w:outlineLvl w:val="2"/>
      </w:pPr>
      <w:bookmarkStart w:id="265" w:name="_Toc239176472"/>
      <w:r>
        <w:t>Hubs de Eventos</w:t>
      </w:r>
      <w:bookmarkEnd w:id="262"/>
      <w:bookmarkEnd w:id="263"/>
      <w:bookmarkEnd w:id="265"/>
    </w:p>
    <w:p w14:paraId="0D535102" w14:textId="77777777" w:rsidR="00795604" w:rsidRPr="00EF7CF9" w:rsidRDefault="00795604" w:rsidP="00DB5453">
      <w:pPr>
        <w:pStyle w:val="ProductList-Body"/>
        <w:keepNext/>
        <w:keepLines/>
      </w:pPr>
      <w:r>
        <w:rPr>
          <w:b/>
          <w:color w:val="00188F"/>
        </w:rPr>
        <w:t>Definições Adicionais</w:t>
      </w:r>
      <w:r w:rsidRPr="00473DD3">
        <w:rPr>
          <w:b/>
          <w:color w:val="00188F"/>
        </w:rPr>
        <w:t>:</w:t>
      </w:r>
    </w:p>
    <w:p w14:paraId="50576E2D" w14:textId="2AEC763C" w:rsidR="00795604" w:rsidRPr="00EF7CF9" w:rsidRDefault="00380305" w:rsidP="00F01ED6">
      <w:pPr>
        <w:pStyle w:val="ProductList-Body"/>
      </w:pPr>
      <w:r>
        <w:t>“</w:t>
      </w:r>
      <w:r w:rsidR="00795604">
        <w:rPr>
          <w:b/>
          <w:color w:val="00188F"/>
        </w:rPr>
        <w:t>Mensagem</w:t>
      </w:r>
      <w:r>
        <w:t>”</w:t>
      </w:r>
      <w:r w:rsidR="00795604">
        <w:t xml:space="preserve"> designa qualquer conteúdo definido pelo utilizador que seja enviado ou recebido através de Reencaminhamentos de Barramento de</w:t>
      </w:r>
      <w:r w:rsidR="00592D0C">
        <w:t> </w:t>
      </w:r>
      <w:r w:rsidR="00795604">
        <w:t>Serviço, Filas, Tópicos ou Hubs de Notificação e que utilize qualquer protocolo suportado pelo Service Bus.</w:t>
      </w:r>
    </w:p>
    <w:p w14:paraId="452A93E2" w14:textId="2F3870B2" w:rsidR="00795604" w:rsidRPr="00ED4527" w:rsidRDefault="00EE6E3C" w:rsidP="00F01ED6">
      <w:pPr>
        <w:pStyle w:val="ProductList-Body"/>
        <w:spacing w:before="120"/>
        <w:rPr>
          <w:b/>
          <w:bCs/>
          <w:color w:val="00188F"/>
        </w:rPr>
      </w:pPr>
      <w:r>
        <w:rPr>
          <w:b/>
          <w:bCs/>
          <w:color w:val="00188F"/>
        </w:rPr>
        <w:t>Cálculo do Período de Disponibilidade e Níveis de Serviço para Hubs de Eventos nas camadas Basic e Standard</w:t>
      </w:r>
    </w:p>
    <w:p w14:paraId="0D780F49" w14:textId="4829F4AD" w:rsidR="00795604" w:rsidRPr="00EF7CF9" w:rsidRDefault="00380305" w:rsidP="00F01ED6">
      <w:pPr>
        <w:pStyle w:val="ProductList-Body"/>
      </w:pPr>
      <w:r>
        <w:t>“</w:t>
      </w:r>
      <w:r w:rsidR="00795604">
        <w:rPr>
          <w:b/>
          <w:color w:val="00188F"/>
        </w:rPr>
        <w:t>Minutos de Implementação</w:t>
      </w:r>
      <w:r>
        <w:t>”</w:t>
      </w:r>
      <w:r w:rsidR="00795604">
        <w:t xml:space="preserve"> designa o número total de minutos durante os quais um determinado Hub de Eventos foi implementado no Microsoft Azure durante um Período Aplicável.</w:t>
      </w:r>
    </w:p>
    <w:p w14:paraId="5B4F51F2" w14:textId="378F34B5" w:rsidR="00795604" w:rsidRPr="00EF7CF9" w:rsidRDefault="00380305" w:rsidP="00F01ED6">
      <w:pPr>
        <w:pStyle w:val="ProductList-Body"/>
      </w:pPr>
      <w:r>
        <w:t>“</w:t>
      </w:r>
      <w:r w:rsidR="00795604">
        <w:rPr>
          <w:b/>
          <w:color w:val="00188F"/>
        </w:rPr>
        <w:t>Máximo de Minutos Disponíveis</w:t>
      </w:r>
      <w:r>
        <w:t>”</w:t>
      </w:r>
      <w:r w:rsidR="00795604">
        <w:t xml:space="preserve"> designa a soma de todos os Minutos de Implementação em todos os Hubs de Eventos implementados pelo Cliente numa determinada subscrição do Microsoft Azure nas camadas Basic ou Standard dos Hubs de Eventos durante um Período Aplicável.</w:t>
      </w:r>
    </w:p>
    <w:p w14:paraId="0D07A3EF" w14:textId="77777777" w:rsidR="00795604" w:rsidRPr="00E80B8A" w:rsidRDefault="00795604" w:rsidP="00F01ED6">
      <w:pPr>
        <w:pStyle w:val="ProductList-Body"/>
        <w:rPr>
          <w:spacing w:val="-3"/>
        </w:rPr>
      </w:pPr>
      <w:r w:rsidRPr="00E80B8A">
        <w:rPr>
          <w:b/>
          <w:color w:val="00188F"/>
          <w:spacing w:val="-3"/>
        </w:rPr>
        <w:t>Período de Indisponibilidade</w:t>
      </w:r>
      <w:r w:rsidRPr="00473DD3">
        <w:rPr>
          <w:b/>
          <w:color w:val="00188F"/>
          <w:spacing w:val="-3"/>
        </w:rPr>
        <w:t>:</w:t>
      </w:r>
      <w:r w:rsidRPr="00E80B8A">
        <w:rPr>
          <w:spacing w:val="-3"/>
        </w:rPr>
        <w:t xml:space="preserve"> O total de Minutos de Implementação acumulados, em todos os Hubs de Eventos implementados pelo Cliente numa determinada subscrição do Microsoft Azure nas camadas Basic ou Standard dos Hubs de Eventos, no qual o Hub de Eventos está indisponível. Um minuto é considerado indisponível para um determinado Hub de Eventos se todas as tentativas contínuas para enviar ou receber Mensagens ou executar outras operações no </w:t>
      </w:r>
      <w:r w:rsidRPr="00E80B8A">
        <w:rPr>
          <w:rFonts w:cs="Segoe UI"/>
          <w:spacing w:val="-3"/>
        </w:rPr>
        <w:t xml:space="preserve">Hub de </w:t>
      </w:r>
      <w:r w:rsidRPr="00E80B8A">
        <w:rPr>
          <w:spacing w:val="-3"/>
        </w:rPr>
        <w:t>Eventos nesse minuto devolverem um Código de Erro ou não resultarem num Código de Êxito num prazo de cinco minutos.</w:t>
      </w:r>
    </w:p>
    <w:p w14:paraId="7928B454" w14:textId="1BC237BC" w:rsidR="00795604"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8F5FD93" w14:textId="0731BE94" w:rsidR="00795604" w:rsidRPr="00EF7CF9" w:rsidRDefault="00000000" w:rsidP="00FB5D1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500DC91E" w14:textId="77777777" w:rsidR="00795604" w:rsidRPr="00E80B8A" w:rsidRDefault="00795604" w:rsidP="00F01ED6">
      <w:pPr>
        <w:pStyle w:val="ProductList-Body"/>
        <w:rPr>
          <w:spacing w:val="-2"/>
        </w:rPr>
      </w:pPr>
      <w:r w:rsidRPr="00E80B8A">
        <w:rPr>
          <w:b/>
          <w:color w:val="00188F"/>
          <w:spacing w:val="-2"/>
        </w:rPr>
        <w:t>Os seguintes Níveis de Serviço e Créditos de Serviço são aplicáveis à utilização que o Cliente faz das camadas Basic e Standard dos Hubs de Eventos</w:t>
      </w:r>
      <w:r w:rsidRPr="00473DD3">
        <w:rPr>
          <w:b/>
          <w:color w:val="00188F"/>
          <w:spacing w:val="-2"/>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319E933" w14:textId="77777777" w:rsidR="00795604" w:rsidRPr="00EF7CF9" w:rsidRDefault="00795604" w:rsidP="00F01ED6">
            <w:pPr>
              <w:pStyle w:val="ProductList-OfferingBody"/>
              <w:jc w:val="center"/>
              <w:rPr>
                <w:color w:val="FFFFFF" w:themeColor="background1"/>
              </w:rPr>
            </w:pPr>
            <w:r>
              <w:rPr>
                <w:color w:val="FFFFFF" w:themeColor="background1"/>
              </w:rPr>
              <w:t>Crédito de Serviço</w:t>
            </w:r>
          </w:p>
        </w:tc>
      </w:tr>
      <w:tr w:rsidR="00795604" w:rsidRPr="00B44CF9" w14:paraId="78EF5E47" w14:textId="77777777" w:rsidTr="00277097">
        <w:tc>
          <w:tcPr>
            <w:tcW w:w="5400" w:type="dxa"/>
          </w:tcPr>
          <w:p w14:paraId="5B48BEC8" w14:textId="77777777" w:rsidR="00795604" w:rsidRPr="00EF7CF9" w:rsidRDefault="00795604" w:rsidP="00F01ED6">
            <w:pPr>
              <w:pStyle w:val="ProductList-OfferingBody"/>
              <w:jc w:val="center"/>
            </w:pPr>
            <w:r>
              <w:t>&lt; 99,95%</w:t>
            </w:r>
          </w:p>
        </w:tc>
        <w:tc>
          <w:tcPr>
            <w:tcW w:w="5400" w:type="dxa"/>
          </w:tcPr>
          <w:p w14:paraId="10CBE3D0" w14:textId="77777777" w:rsidR="00795604" w:rsidRPr="00EF7CF9" w:rsidRDefault="00795604" w:rsidP="00F01ED6">
            <w:pPr>
              <w:pStyle w:val="ProductList-OfferingBody"/>
              <w:jc w:val="center"/>
            </w:pPr>
            <w:r>
              <w:t>10%</w:t>
            </w:r>
          </w:p>
        </w:tc>
      </w:tr>
      <w:tr w:rsidR="00795604" w:rsidRPr="00B44CF9" w14:paraId="7B1A3019" w14:textId="77777777" w:rsidTr="00277097">
        <w:tc>
          <w:tcPr>
            <w:tcW w:w="5400" w:type="dxa"/>
          </w:tcPr>
          <w:p w14:paraId="1200C115" w14:textId="77777777" w:rsidR="00795604" w:rsidRPr="00EF7CF9" w:rsidRDefault="00795604" w:rsidP="00F01ED6">
            <w:pPr>
              <w:pStyle w:val="ProductList-OfferingBody"/>
              <w:jc w:val="center"/>
            </w:pPr>
            <w:r>
              <w:t>&lt; 99%</w:t>
            </w:r>
          </w:p>
        </w:tc>
        <w:tc>
          <w:tcPr>
            <w:tcW w:w="5400" w:type="dxa"/>
          </w:tcPr>
          <w:p w14:paraId="41FBFCB3" w14:textId="77777777" w:rsidR="00795604" w:rsidRPr="00EF7CF9" w:rsidRDefault="00795604" w:rsidP="00F01ED6">
            <w:pPr>
              <w:pStyle w:val="ProductList-OfferingBody"/>
              <w:jc w:val="center"/>
            </w:pPr>
            <w:r>
              <w:t>25%</w:t>
            </w:r>
          </w:p>
        </w:tc>
      </w:tr>
    </w:tbl>
    <w:p w14:paraId="36DAB40C" w14:textId="17D51539" w:rsidR="00795604" w:rsidRPr="00ED4527" w:rsidRDefault="00EE6E3C" w:rsidP="00F01ED6">
      <w:pPr>
        <w:pStyle w:val="ProductList-Body"/>
        <w:spacing w:before="240"/>
        <w:rPr>
          <w:b/>
          <w:bCs/>
          <w:color w:val="00188F"/>
        </w:rPr>
      </w:pPr>
      <w:r>
        <w:rPr>
          <w:b/>
          <w:bCs/>
          <w:color w:val="00188F"/>
        </w:rPr>
        <w:t>Cálculo do Período de Disponibilidade e Níveis de Serviço para Hubs de Eventos nas camadas Premium e Dedicada</w:t>
      </w:r>
    </w:p>
    <w:p w14:paraId="7F3A0014" w14:textId="20A1C363" w:rsidR="00795604" w:rsidRPr="00ED4527" w:rsidRDefault="00380305" w:rsidP="00F01ED6">
      <w:pPr>
        <w:pStyle w:val="ProductList-Body"/>
        <w:rPr>
          <w:color w:val="000000" w:themeColor="text1"/>
        </w:rPr>
      </w:pPr>
      <w:r>
        <w:rPr>
          <w:color w:val="000000" w:themeColor="text1"/>
        </w:rPr>
        <w:t>“</w:t>
      </w:r>
      <w:r w:rsidR="00795604">
        <w:rPr>
          <w:b/>
          <w:bCs/>
          <w:color w:val="00188F"/>
        </w:rPr>
        <w:t>Minutos de Implementação</w:t>
      </w:r>
      <w:r>
        <w:rPr>
          <w:color w:val="000000" w:themeColor="text1"/>
        </w:rPr>
        <w:t>”</w:t>
      </w:r>
      <w:r w:rsidR="00795604">
        <w:rPr>
          <w:color w:val="000000" w:themeColor="text1"/>
        </w:rPr>
        <w:t xml:space="preserve"> designa o número total de minutos durante os quais um determinado Hub de Eventos foi implementado no Microsoft Azure durante um Período Aplicável.</w:t>
      </w:r>
    </w:p>
    <w:p w14:paraId="6F2209A8" w14:textId="25AD3E70" w:rsidR="00795604" w:rsidRPr="00ED4527" w:rsidRDefault="00380305" w:rsidP="00F01ED6">
      <w:pPr>
        <w:pStyle w:val="ProductList-Body"/>
        <w:rPr>
          <w:color w:val="000000" w:themeColor="text1"/>
        </w:rPr>
      </w:pPr>
      <w:r>
        <w:rPr>
          <w:color w:val="000000" w:themeColor="text1"/>
        </w:rPr>
        <w:t>“</w:t>
      </w:r>
      <w:r w:rsidR="00795604">
        <w:rPr>
          <w:b/>
          <w:bCs/>
          <w:color w:val="00188F"/>
        </w:rPr>
        <w:t>Máximo de Minutos Disponíveis</w:t>
      </w:r>
      <w:r>
        <w:rPr>
          <w:color w:val="000000" w:themeColor="text1"/>
        </w:rPr>
        <w:t>”</w:t>
      </w:r>
      <w:r w:rsidR="00795604">
        <w:rPr>
          <w:color w:val="000000" w:themeColor="text1"/>
        </w:rPr>
        <w:t xml:space="preserve"> designa a soma de todos os Minutos de Implementação em todos os Hubs de Eventos implementados pelo Cliente numa determinada subscrição do Microsoft Azure nas camadas Premium ou Dedicada dos Hubs de Eventos durante um Período Aplicável.</w:t>
      </w:r>
    </w:p>
    <w:p w14:paraId="07D95EC2" w14:textId="69151520" w:rsidR="00795604" w:rsidRPr="00ED4527" w:rsidRDefault="00380305" w:rsidP="00F01ED6">
      <w:pPr>
        <w:pStyle w:val="ProductList-Body"/>
        <w:rPr>
          <w:color w:val="000000" w:themeColor="text1"/>
        </w:rPr>
      </w:pPr>
      <w:r>
        <w:rPr>
          <w:color w:val="000000" w:themeColor="text1"/>
        </w:rPr>
        <w:t>“</w:t>
      </w:r>
      <w:r w:rsidR="00795604">
        <w:rPr>
          <w:b/>
          <w:bCs/>
          <w:color w:val="00188F"/>
        </w:rPr>
        <w:t>Período de Indisponibilidade</w:t>
      </w:r>
      <w:r>
        <w:rPr>
          <w:color w:val="000000" w:themeColor="text1"/>
        </w:rPr>
        <w:t>”</w:t>
      </w:r>
      <w:r w:rsidR="00795604">
        <w:rPr>
          <w:color w:val="000000" w:themeColor="text1"/>
        </w:rPr>
        <w:t xml:space="preserve"> designa o total de Minutos de Implementação acumulados, em todos os Hubs de Eventos implementados pelo Cliente numa determinada subscrição do Microsoft Azure nas camadas Premium ou Dedicada dos Hubs de Eventos, no qual o Hub de Eventos está indisponível. Um minuto é considerado indisponível para um determinado Hub de Eventos se todas as tentativas contínuas para enviar ou receber Mensagens ou executar outras operações no Hub de Eventos nesse minuto devolverem um Código de Erro ou não resultarem num Código de Êxito num prazo de cinco minutos.</w:t>
      </w:r>
    </w:p>
    <w:p w14:paraId="3914DB2B" w14:textId="66AB1FDC" w:rsidR="00795604" w:rsidRDefault="00380305" w:rsidP="00F01ED6">
      <w:pPr>
        <w:pStyle w:val="ProductList-Body"/>
        <w:rPr>
          <w:color w:val="000000" w:themeColor="text1"/>
        </w:rPr>
      </w:pPr>
      <w:r>
        <w:rPr>
          <w:color w:val="000000" w:themeColor="text1"/>
        </w:rPr>
        <w:t>“</w:t>
      </w:r>
      <w:r w:rsidR="00795604">
        <w:rPr>
          <w:b/>
          <w:bCs/>
          <w:color w:val="00188F"/>
        </w:rPr>
        <w:t>Percentagem de Período de Disponibilidade</w:t>
      </w:r>
      <w:r>
        <w:rPr>
          <w:color w:val="000000" w:themeColor="text1"/>
        </w:rPr>
        <w:t>”</w:t>
      </w:r>
      <w:r w:rsidR="00795604">
        <w:rPr>
          <w:color w:val="000000" w:themeColor="text1"/>
        </w:rPr>
        <w:t xml:space="preserve"> para os Hubs de Eventos é calculada como o Máximo de Minutos Disponíveis menos o Período de</w:t>
      </w:r>
      <w:r w:rsidR="00796379">
        <w:rPr>
          <w:color w:val="000000" w:themeColor="text1"/>
        </w:rPr>
        <w:t> </w:t>
      </w:r>
      <w:r w:rsidR="00795604">
        <w:rPr>
          <w:color w:val="000000" w:themeColor="text1"/>
        </w:rPr>
        <w:t>Indisponibilidade a dividir pelo Máximo de Minutos Disponíveis num Período Aplicável para uma determinada subscrição do Microsoft Azure.</w:t>
      </w:r>
    </w:p>
    <w:p w14:paraId="7028DE47" w14:textId="7414BE93" w:rsidR="00795604" w:rsidRDefault="00AC48A7" w:rsidP="00F01ED6">
      <w:pPr>
        <w:pStyle w:val="ProductList-Body"/>
        <w:rPr>
          <w:color w:val="000000" w:themeColor="text1"/>
        </w:rPr>
      </w:pPr>
      <w:r>
        <w:rPr>
          <w:color w:val="000000" w:themeColor="text1"/>
        </w:rPr>
        <w:t>A Percentagem de Período de Disponibilidade é representada pela seguinte fórmula:</w:t>
      </w:r>
    </w:p>
    <w:p w14:paraId="53424A05" w14:textId="37D157AE" w:rsidR="00795604" w:rsidRPr="00EF7CF9" w:rsidRDefault="00000000" w:rsidP="00FB5D1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11E8A31" w14:textId="77777777" w:rsidR="00795604" w:rsidRDefault="00795604" w:rsidP="00F01ED6">
      <w:pPr>
        <w:pStyle w:val="ProductList-Body"/>
        <w:rPr>
          <w:b/>
          <w:color w:val="00188F"/>
        </w:rPr>
      </w:pPr>
      <w:r>
        <w:rPr>
          <w:b/>
          <w:color w:val="00188F"/>
        </w:rPr>
        <w:t>Os seguintes Níveis de Serviço e Créditos de Serviço são aplicáveis à utilização que o Cliente faz das camadas Premium ou Dedicada</w:t>
      </w:r>
      <w:r w:rsidRPr="00473DD3">
        <w:rPr>
          <w:b/>
          <w:color w:val="00188F"/>
        </w:rPr>
        <w:t>:</w:t>
      </w:r>
    </w:p>
    <w:p w14:paraId="40BF7F55" w14:textId="77777777" w:rsidR="008F2AC6" w:rsidRPr="00EF7CF9" w:rsidRDefault="008F2AC6" w:rsidP="00F01ED6">
      <w:pPr>
        <w:pStyle w:val="ProductList-Body"/>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F01ED6">
            <w:pPr>
              <w:pStyle w:val="ProductList-OfferingBody"/>
              <w:jc w:val="center"/>
              <w:rPr>
                <w:color w:val="FFFFFF" w:themeColor="background1"/>
              </w:rPr>
            </w:pPr>
            <w:r>
              <w:rPr>
                <w:color w:val="FFFFFF" w:themeColor="background1"/>
              </w:rPr>
              <w:lastRenderedPageBreak/>
              <w:t>Percentagem de Período de Disponibilidade</w:t>
            </w:r>
          </w:p>
        </w:tc>
        <w:tc>
          <w:tcPr>
            <w:tcW w:w="5400" w:type="dxa"/>
            <w:shd w:val="clear" w:color="auto" w:fill="0072C6"/>
          </w:tcPr>
          <w:p w14:paraId="03C2EA93" w14:textId="77777777" w:rsidR="00795604" w:rsidRPr="00EF7CF9" w:rsidRDefault="00795604" w:rsidP="00F01ED6">
            <w:pPr>
              <w:pStyle w:val="ProductList-OfferingBody"/>
              <w:jc w:val="center"/>
              <w:rPr>
                <w:color w:val="FFFFFF" w:themeColor="background1"/>
              </w:rPr>
            </w:pPr>
            <w:r>
              <w:rPr>
                <w:color w:val="FFFFFF" w:themeColor="background1"/>
              </w:rPr>
              <w:t>Crédito de Serviço</w:t>
            </w:r>
          </w:p>
        </w:tc>
      </w:tr>
      <w:tr w:rsidR="00795604" w:rsidRPr="00B44CF9" w14:paraId="239389D2" w14:textId="77777777" w:rsidTr="00277097">
        <w:tc>
          <w:tcPr>
            <w:tcW w:w="5400" w:type="dxa"/>
          </w:tcPr>
          <w:p w14:paraId="0CDDF050" w14:textId="77777777" w:rsidR="00795604" w:rsidRPr="00EF7CF9" w:rsidRDefault="00795604" w:rsidP="00F01ED6">
            <w:pPr>
              <w:pStyle w:val="ProductList-OfferingBody"/>
              <w:jc w:val="center"/>
            </w:pPr>
            <w:r>
              <w:t>&lt; 99,99%</w:t>
            </w:r>
          </w:p>
        </w:tc>
        <w:tc>
          <w:tcPr>
            <w:tcW w:w="5400" w:type="dxa"/>
          </w:tcPr>
          <w:p w14:paraId="3958ED47" w14:textId="77777777" w:rsidR="00795604" w:rsidRPr="00EF7CF9" w:rsidRDefault="00795604" w:rsidP="00F01ED6">
            <w:pPr>
              <w:pStyle w:val="ProductList-OfferingBody"/>
              <w:jc w:val="center"/>
            </w:pPr>
            <w:r>
              <w:t>10%</w:t>
            </w:r>
          </w:p>
        </w:tc>
      </w:tr>
      <w:tr w:rsidR="00795604" w:rsidRPr="00B44CF9" w14:paraId="614A2A3D" w14:textId="77777777" w:rsidTr="00277097">
        <w:tc>
          <w:tcPr>
            <w:tcW w:w="5400" w:type="dxa"/>
          </w:tcPr>
          <w:p w14:paraId="6E1B0CA3" w14:textId="77777777" w:rsidR="00795604" w:rsidRPr="00EF7CF9" w:rsidRDefault="00795604" w:rsidP="00F01ED6">
            <w:pPr>
              <w:pStyle w:val="ProductList-OfferingBody"/>
              <w:jc w:val="center"/>
            </w:pPr>
            <w:r>
              <w:t>&lt; 99%</w:t>
            </w:r>
          </w:p>
        </w:tc>
        <w:tc>
          <w:tcPr>
            <w:tcW w:w="5400" w:type="dxa"/>
          </w:tcPr>
          <w:p w14:paraId="1EC0B0C5" w14:textId="77777777" w:rsidR="00795604" w:rsidRPr="00EF7CF9" w:rsidRDefault="00795604" w:rsidP="00F01ED6">
            <w:pPr>
              <w:pStyle w:val="ProductList-OfferingBody"/>
              <w:jc w:val="center"/>
            </w:pPr>
            <w:r>
              <w:t>25%</w:t>
            </w:r>
          </w:p>
        </w:tc>
      </w:tr>
    </w:tbl>
    <w:bookmarkStart w:id="266" w:name="_Toc457821550"/>
    <w:bookmarkStart w:id="267" w:name="_Toc52348954"/>
    <w:p w14:paraId="6F94C331"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1F899C39" w14:textId="77777777" w:rsidR="000D47D0" w:rsidRPr="00EF7CF9" w:rsidRDefault="000D47D0" w:rsidP="00F01ED6">
      <w:pPr>
        <w:pStyle w:val="ProductList-Offering2Heading"/>
        <w:tabs>
          <w:tab w:val="clear" w:pos="360"/>
          <w:tab w:val="clear" w:pos="720"/>
          <w:tab w:val="clear" w:pos="1080"/>
        </w:tabs>
        <w:outlineLvl w:val="2"/>
      </w:pPr>
      <w:bookmarkStart w:id="268" w:name="_Toc239176473"/>
      <w:r>
        <w:t xml:space="preserve">Azure </w:t>
      </w:r>
      <w:bookmarkStart w:id="269" w:name="_Hlk119927884"/>
      <w:r>
        <w:t>ExpressRoute</w:t>
      </w:r>
      <w:bookmarkEnd w:id="266"/>
      <w:bookmarkEnd w:id="267"/>
      <w:bookmarkEnd w:id="268"/>
      <w:bookmarkEnd w:id="269"/>
    </w:p>
    <w:p w14:paraId="7D3B0AEC" w14:textId="77777777" w:rsidR="000D47D0" w:rsidRPr="00EF7CF9" w:rsidRDefault="000D47D0" w:rsidP="00F01ED6">
      <w:pPr>
        <w:pStyle w:val="ProductList-Body"/>
        <w:rPr>
          <w:b/>
          <w:color w:val="00188F"/>
        </w:rPr>
      </w:pPr>
      <w:r>
        <w:rPr>
          <w:b/>
          <w:color w:val="00188F"/>
        </w:rPr>
        <w:t>Definições Adicionais</w:t>
      </w:r>
      <w:r w:rsidRPr="00473DD3">
        <w:rPr>
          <w:b/>
          <w:color w:val="00188F"/>
        </w:rPr>
        <w:t>:</w:t>
      </w:r>
    </w:p>
    <w:p w14:paraId="40F4595E" w14:textId="77777777" w:rsidR="003D5599" w:rsidRPr="00C730A5" w:rsidRDefault="003D5599" w:rsidP="003D5599">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Ligação</w:t>
      </w:r>
      <w:r w:rsidRPr="00C730A5">
        <w:rPr>
          <w:rFonts w:ascii="Calibri" w:eastAsia="Calibri" w:hAnsi="Calibri" w:cs="Arial"/>
          <w:sz w:val="18"/>
        </w:rPr>
        <w:t>” é o objeto do Azure que associa o Gateway do ExpressRoute a um Circuito Dedicado. Para este SLA, um Gateway do ExpressRoute pode ter Ligações a vários Circuitos Dedicados.</w:t>
      </w:r>
    </w:p>
    <w:p w14:paraId="7915437C" w14:textId="77777777" w:rsidR="003D5599" w:rsidRPr="00C730A5" w:rsidRDefault="003D5599" w:rsidP="003D5599">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Circuito Dedicado</w:t>
      </w:r>
      <w:r w:rsidRPr="00C730A5">
        <w:rPr>
          <w:rFonts w:ascii="Calibri" w:eastAsia="Calibri" w:hAnsi="Calibri" w:cs="Arial"/>
          <w:sz w:val="18"/>
        </w:rPr>
        <w:t>” designa uma representação lógica da conectividade oferecida através do Serviço ExpressRoute entre as instalações do Cliente e o Microsoft Azure através de um fornecedor de conectividade ExpressRoute ou diretamente através de uma Porta Direta do ExpressRoute, onde esta conectividade não passa pela Internet pública.</w:t>
      </w:r>
    </w:p>
    <w:p w14:paraId="3FCAF22B" w14:textId="77777777" w:rsidR="003D5599" w:rsidRPr="00C730A5" w:rsidRDefault="003D5599" w:rsidP="003D5599">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Período de Indisponibilidade</w:t>
      </w:r>
      <w:r w:rsidRPr="00C730A5">
        <w:rPr>
          <w:rFonts w:ascii="Calibri" w:eastAsia="Calibri" w:hAnsi="Calibri" w:cs="Arial"/>
          <w:sz w:val="18"/>
        </w:rPr>
        <w:t>” é o total de minutos acumulados durante um Período Aplicável para uma determinada subscrição do Microsoft Azure, no qual o Circuito Dedicado está indisponível. Um minuto é considerado indisponível para um determinado Circuito Dedicado se todas as tentativas levadas a cabo pelo Cliente nesse minuto para estabelecer conectividade ao nível de IP ao Gateway do Express Route associado à Rede Virtual falharem durante mais de trinta segundos. O tráfego que flui através de um Circuito Dedicado alternativo numa Configuração de 2 ou Mais Sites não seria considerado período de indisponibilidade para o Circuito Dedicado inativo nesta configuração.</w:t>
      </w:r>
    </w:p>
    <w:p w14:paraId="67B93ADA" w14:textId="77777777" w:rsidR="003D5599" w:rsidRPr="00C730A5" w:rsidRDefault="003D5599" w:rsidP="003D5599">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Gateway ER</w:t>
      </w:r>
      <w:r w:rsidRPr="00C730A5">
        <w:rPr>
          <w:rFonts w:ascii="Calibri" w:eastAsia="Calibri" w:hAnsi="Calibri" w:cs="Arial"/>
          <w:sz w:val="18"/>
        </w:rPr>
        <w:t>” designa um Gateway de Rede Virtual que facilita a conectividade em vários sites entre uma Rede Virtual e um Circuito Dedicado.</w:t>
      </w:r>
    </w:p>
    <w:p w14:paraId="4813B83A" w14:textId="77777777" w:rsidR="003D5599" w:rsidRPr="00C730A5" w:rsidRDefault="003D5599" w:rsidP="003D5599">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Localização de Peering Metropolitano</w:t>
      </w:r>
      <w:r w:rsidRPr="00C730A5">
        <w:rPr>
          <w:rFonts w:ascii="Calibri" w:eastAsia="Calibri" w:hAnsi="Calibri" w:cs="Arial"/>
          <w:sz w:val="18"/>
        </w:rPr>
        <w:t>” é o nome da localidade, incluindo a etiqueta “Metropolitano” que indica que um Circuito Dedicado com esta Localização de Peering Metropolitano chega a duas localizações de peering nessa cidade. Por exemplo, Washington DC Metro, Sydney Metro teriam ligações a dois sites de peering não Metropolitanas nessas cidades.</w:t>
      </w:r>
    </w:p>
    <w:p w14:paraId="378F6CA7" w14:textId="77777777" w:rsidR="003D5599" w:rsidRPr="00C730A5" w:rsidRDefault="003D5599" w:rsidP="003D5599">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Máximo de Minutos Disponíveis</w:t>
      </w:r>
      <w:r w:rsidRPr="00C730A5">
        <w:rPr>
          <w:rFonts w:ascii="Calibri" w:eastAsia="Calibri" w:hAnsi="Calibri" w:cs="Arial"/>
          <w:sz w:val="18"/>
        </w:rPr>
        <w:t>” é o número total de minutos que um determinado Circuito Dedicado está ligado a uma ou mais Redes Virtuais no Microsoft Azure durante um Período Aplicável numa determinada subscrição do Microsoft Azure.</w:t>
      </w:r>
    </w:p>
    <w:p w14:paraId="14480582" w14:textId="77777777" w:rsidR="003D5599" w:rsidRPr="00C730A5" w:rsidRDefault="003D5599" w:rsidP="003D5599">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Rede Virtual</w:t>
      </w:r>
      <w:r w:rsidRPr="00C730A5">
        <w:rPr>
          <w:rFonts w:ascii="Calibri" w:eastAsia="Calibri" w:hAnsi="Calibri" w:cs="Arial"/>
          <w:sz w:val="18"/>
        </w:rPr>
        <w:t>” designa uma rede privada virtual que inclui uma coleção de endereços IP definidos pelo utilizador e sub-redes que formam um limite da rede no Microsoft Azure.</w:t>
      </w:r>
    </w:p>
    <w:p w14:paraId="2A08009A" w14:textId="77777777" w:rsidR="003D5599" w:rsidRPr="00C730A5" w:rsidDel="00AA2D86" w:rsidRDefault="003D5599" w:rsidP="003D5599">
      <w:pPr>
        <w:tabs>
          <w:tab w:val="left" w:pos="360"/>
          <w:tab w:val="left" w:pos="720"/>
          <w:tab w:val="left" w:pos="1080"/>
        </w:tabs>
        <w:spacing w:after="0" w:line="240" w:lineRule="auto"/>
        <w:rPr>
          <w:rFonts w:ascii="Calibri" w:eastAsia="Calibri" w:hAnsi="Calibri" w:cs="Arial"/>
          <w:sz w:val="18"/>
        </w:rPr>
      </w:pPr>
    </w:p>
    <w:p w14:paraId="100BEC84" w14:textId="77777777" w:rsidR="003D5599" w:rsidRPr="00C730A5" w:rsidDel="00B90AF1" w:rsidRDefault="003D5599" w:rsidP="003D5599">
      <w:pPr>
        <w:tabs>
          <w:tab w:val="left" w:pos="360"/>
          <w:tab w:val="left" w:pos="720"/>
          <w:tab w:val="left" w:pos="1080"/>
        </w:tabs>
        <w:spacing w:after="0" w:line="240" w:lineRule="auto"/>
        <w:rPr>
          <w:rFonts w:ascii="Calibri" w:eastAsia="Calibri" w:hAnsi="Calibri" w:cs="Arial"/>
          <w:sz w:val="18"/>
        </w:rPr>
      </w:pPr>
      <w:r w:rsidRPr="00C730A5">
        <w:rPr>
          <w:rFonts w:ascii="Calibri" w:eastAsia="Calibri" w:hAnsi="Calibri" w:cs="Arial"/>
          <w:sz w:val="18"/>
        </w:rPr>
        <w:t>O SLA do ExpressRoute tem três categorias:</w:t>
      </w:r>
    </w:p>
    <w:p w14:paraId="347D2BE4" w14:textId="77777777" w:rsidR="003D5599" w:rsidRPr="00C730A5" w:rsidRDefault="003D5599">
      <w:pPr>
        <w:numPr>
          <w:ilvl w:val="0"/>
          <w:numId w:val="28"/>
        </w:numPr>
        <w:tabs>
          <w:tab w:val="left" w:pos="360"/>
          <w:tab w:val="left" w:pos="720"/>
          <w:tab w:val="left" w:pos="1080"/>
        </w:tabs>
        <w:spacing w:after="0" w:line="240" w:lineRule="auto"/>
        <w:contextualSpacing/>
        <w:rPr>
          <w:rFonts w:ascii="Calibri" w:eastAsia="Calibri" w:hAnsi="Calibri" w:cs="Arial"/>
          <w:sz w:val="18"/>
          <w:szCs w:val="18"/>
        </w:rPr>
      </w:pPr>
      <w:r w:rsidRPr="00C730A5">
        <w:rPr>
          <w:rFonts w:ascii="Calibri" w:eastAsia="Calibri" w:hAnsi="Calibri" w:cs="Arial"/>
          <w:sz w:val="18"/>
          <w:szCs w:val="18"/>
        </w:rPr>
        <w:t>“</w:t>
      </w:r>
      <w:r w:rsidRPr="00C730A5">
        <w:rPr>
          <w:rFonts w:ascii="Calibri" w:eastAsia="Calibri" w:hAnsi="Calibri" w:cs="Arial"/>
          <w:b/>
          <w:bCs/>
          <w:color w:val="00188F"/>
          <w:sz w:val="18"/>
          <w:szCs w:val="18"/>
        </w:rPr>
        <w:t>Configuração de 2 ou Mais Locais</w:t>
      </w:r>
      <w:r w:rsidRPr="00C730A5">
        <w:rPr>
          <w:rFonts w:ascii="Calibri" w:eastAsia="Calibri" w:hAnsi="Calibri" w:cs="Arial"/>
          <w:sz w:val="18"/>
          <w:szCs w:val="18"/>
        </w:rPr>
        <w:t>”</w:t>
      </w:r>
      <w:r w:rsidRPr="00C730A5">
        <w:rPr>
          <w:rFonts w:ascii="Calibri" w:eastAsia="Calibri" w:hAnsi="Calibri" w:cs="Arial"/>
          <w:b/>
          <w:bCs/>
          <w:sz w:val="18"/>
          <w:szCs w:val="18"/>
        </w:rPr>
        <w:t>:</w:t>
      </w:r>
      <w:r w:rsidRPr="00C730A5">
        <w:rPr>
          <w:rFonts w:ascii="Calibri" w:eastAsia="Calibri" w:hAnsi="Calibri" w:cs="Arial"/>
          <w:sz w:val="18"/>
          <w:szCs w:val="18"/>
        </w:rPr>
        <w:t xml:space="preserve"> ligações que chegam a dois ou mais sites de peering diferentes com Circuitos Dedicados não-Metropolitanos. Um exemplo de ligações a sites que se qualificariam para as configurações de 2 ou mais sites seria Washington DC2 e Chicago, ou Chicago e Chicago 2, etc. Adicionar um terceiro site diferente é elegível para esta configuração. As ligações a uma localização não metropolitana e metropolitana seriam consideradas uma configuração de </w:t>
      </w:r>
      <w:r>
        <w:rPr>
          <w:rFonts w:ascii="Calibri" w:eastAsia="Calibri" w:hAnsi="Calibri" w:cs="Arial"/>
          <w:sz w:val="18"/>
          <w:szCs w:val="18"/>
        </w:rPr>
        <w:t>“</w:t>
      </w:r>
      <w:r w:rsidRPr="00C730A5">
        <w:rPr>
          <w:rFonts w:ascii="Calibri" w:eastAsia="Calibri" w:hAnsi="Calibri" w:cs="Arial"/>
          <w:sz w:val="18"/>
          <w:szCs w:val="18"/>
        </w:rPr>
        <w:t>Site metropolitano</w:t>
      </w:r>
      <w:r>
        <w:rPr>
          <w:rFonts w:ascii="Calibri" w:eastAsia="Calibri" w:hAnsi="Calibri" w:cs="Arial"/>
          <w:sz w:val="18"/>
          <w:szCs w:val="18"/>
        </w:rPr>
        <w:t>”</w:t>
      </w:r>
      <w:r w:rsidRPr="00C730A5">
        <w:rPr>
          <w:rFonts w:ascii="Calibri" w:eastAsia="Calibri" w:hAnsi="Calibri" w:cs="Arial"/>
          <w:sz w:val="18"/>
          <w:szCs w:val="18"/>
        </w:rPr>
        <w:t xml:space="preserve"> e não uma Configuração de 2 ou Mais Sites.</w:t>
      </w:r>
    </w:p>
    <w:p w14:paraId="41099C8D" w14:textId="77777777" w:rsidR="003D5599" w:rsidRPr="00C730A5" w:rsidRDefault="003D5599">
      <w:pPr>
        <w:numPr>
          <w:ilvl w:val="0"/>
          <w:numId w:val="28"/>
        </w:numPr>
        <w:tabs>
          <w:tab w:val="left" w:pos="360"/>
          <w:tab w:val="left" w:pos="720"/>
          <w:tab w:val="left" w:pos="1080"/>
        </w:tabs>
        <w:spacing w:after="0" w:line="240" w:lineRule="auto"/>
        <w:contextualSpacing/>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Configuração do Site Metropolitano</w:t>
      </w:r>
      <w:r w:rsidRPr="00C730A5">
        <w:rPr>
          <w:rFonts w:ascii="Calibri" w:eastAsia="Calibri" w:hAnsi="Calibri" w:cs="Arial"/>
          <w:sz w:val="18"/>
        </w:rPr>
        <w:t>”</w:t>
      </w:r>
      <w:r w:rsidRPr="00C730A5">
        <w:rPr>
          <w:rFonts w:ascii="Calibri" w:eastAsia="Calibri" w:hAnsi="Calibri" w:cs="Arial"/>
          <w:b/>
          <w:bCs/>
          <w:sz w:val="18"/>
        </w:rPr>
        <w:t>:</w:t>
      </w:r>
      <w:r w:rsidRPr="00C730A5">
        <w:rPr>
          <w:rFonts w:ascii="Calibri" w:eastAsia="Calibri" w:hAnsi="Calibri" w:cs="Arial"/>
          <w:sz w:val="18"/>
        </w:rPr>
        <w:t xml:space="preserve"> uma ligação (ou mais) entre um Gateway ER e um ou mais circuitos ExpressRoute numa única Localização de Peering Metropolitano.</w:t>
      </w:r>
    </w:p>
    <w:p w14:paraId="28C79515" w14:textId="77777777" w:rsidR="003D5599" w:rsidRPr="00C730A5" w:rsidRDefault="003D5599">
      <w:pPr>
        <w:numPr>
          <w:ilvl w:val="0"/>
          <w:numId w:val="28"/>
        </w:numPr>
        <w:tabs>
          <w:tab w:val="left" w:pos="360"/>
          <w:tab w:val="left" w:pos="720"/>
          <w:tab w:val="left" w:pos="1080"/>
        </w:tabs>
        <w:spacing w:after="0" w:line="240" w:lineRule="auto"/>
        <w:contextualSpacing/>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Configuração de Site Único</w:t>
      </w:r>
      <w:r w:rsidRPr="00C730A5">
        <w:rPr>
          <w:rFonts w:ascii="Calibri" w:eastAsia="Calibri" w:hAnsi="Calibri" w:cs="Arial"/>
          <w:sz w:val="18"/>
        </w:rPr>
        <w:t>”</w:t>
      </w:r>
      <w:r w:rsidRPr="00C730A5">
        <w:rPr>
          <w:rFonts w:ascii="Calibri" w:eastAsia="Calibri" w:hAnsi="Calibri" w:cs="Arial"/>
          <w:b/>
          <w:bCs/>
          <w:sz w:val="18"/>
        </w:rPr>
        <w:t>:</w:t>
      </w:r>
      <w:r w:rsidRPr="00C730A5">
        <w:rPr>
          <w:rFonts w:ascii="Calibri" w:eastAsia="Calibri" w:hAnsi="Calibri" w:cs="Arial"/>
          <w:sz w:val="18"/>
        </w:rPr>
        <w:t xml:space="preserve"> uma ligação (ou mais) entre um Gateway ER e um ou mais circuitos ExpressRoute chegam a uma e só uma Localização de Peering (não Metropolitana).</w:t>
      </w:r>
    </w:p>
    <w:p w14:paraId="53DA42AD" w14:textId="77777777" w:rsidR="003D5599" w:rsidRPr="00C730A5" w:rsidRDefault="003D5599" w:rsidP="003D5599">
      <w:pPr>
        <w:tabs>
          <w:tab w:val="left" w:pos="360"/>
          <w:tab w:val="left" w:pos="720"/>
          <w:tab w:val="left" w:pos="1080"/>
        </w:tabs>
        <w:spacing w:after="0" w:line="240" w:lineRule="auto"/>
        <w:rPr>
          <w:rFonts w:ascii="Calibri" w:eastAsia="Calibri" w:hAnsi="Calibri" w:cs="Arial"/>
          <w:sz w:val="18"/>
        </w:rPr>
      </w:pPr>
      <w:r w:rsidRPr="00C730A5">
        <w:rPr>
          <w:rFonts w:ascii="Calibri" w:eastAsia="Calibri" w:hAnsi="Calibri" w:cs="Arial"/>
          <w:b/>
          <w:color w:val="00188F"/>
          <w:sz w:val="18"/>
        </w:rPr>
        <w:t>Crédito de Serviço</w:t>
      </w:r>
      <w:r w:rsidRPr="00C730A5">
        <w:rPr>
          <w:rFonts w:ascii="Calibri" w:eastAsia="Calibri" w:hAnsi="Calibri" w:cs="Arial"/>
          <w:sz w:val="18"/>
        </w:rPr>
        <w:t xml:space="preserve"> Os seguintes Níveis de Serviço e Créditos de Serviço são aplicáveis à utilização que o Cliente faz de cada Circuito Dedicado no Serviço consoante a configuração do site. Os Créditos de Serviço só se aplicam numa arquitetura de múltiplos circuitos ou de site se os circuitos e/ou os sites estiverem inativos em simultâneo, o que resulta na perda total de conectividade com o gateway ligado.</w:t>
      </w:r>
    </w:p>
    <w:p w14:paraId="773CCE3F" w14:textId="77777777" w:rsidR="003D5599" w:rsidRPr="00C730A5" w:rsidRDefault="003D5599" w:rsidP="003D5599">
      <w:pPr>
        <w:tabs>
          <w:tab w:val="left" w:pos="360"/>
          <w:tab w:val="left" w:pos="720"/>
          <w:tab w:val="left" w:pos="1080"/>
        </w:tabs>
        <w:spacing w:after="0" w:line="240" w:lineRule="auto"/>
        <w:rPr>
          <w:rFonts w:ascii="Calibri" w:eastAsia="Calibri" w:hAnsi="Calibri" w:cs="Arial"/>
          <w:sz w:val="18"/>
        </w:rPr>
      </w:pPr>
    </w:p>
    <w:p w14:paraId="72C13A33" w14:textId="77777777" w:rsidR="003D5599" w:rsidRPr="00C730A5" w:rsidRDefault="003D5599" w:rsidP="003D5599">
      <w:pPr>
        <w:tabs>
          <w:tab w:val="left" w:pos="360"/>
          <w:tab w:val="left" w:pos="720"/>
          <w:tab w:val="left" w:pos="1080"/>
        </w:tabs>
        <w:spacing w:after="0" w:line="240" w:lineRule="auto"/>
        <w:rPr>
          <w:rFonts w:ascii="Calibri" w:eastAsia="Calibri" w:hAnsi="Calibri" w:cs="Arial"/>
          <w:sz w:val="18"/>
          <w:szCs w:val="18"/>
        </w:rPr>
      </w:pPr>
      <w:r w:rsidRPr="00C730A5">
        <w:rPr>
          <w:rFonts w:ascii="Calibri" w:eastAsia="Calibri" w:hAnsi="Calibri" w:cs="Arial"/>
          <w:b/>
          <w:bCs/>
          <w:color w:val="00188F"/>
          <w:sz w:val="18"/>
          <w:szCs w:val="18"/>
        </w:rPr>
        <w:t>Pelo menos dois Circuitos Dedicados numa Configuração de 2 ou Mais Sites para um Gateway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5599" w:rsidRPr="00C730A5" w14:paraId="7675FE02" w14:textId="77777777" w:rsidTr="00BD07C5">
        <w:trPr>
          <w:tblHeader/>
        </w:trPr>
        <w:tc>
          <w:tcPr>
            <w:tcW w:w="5400" w:type="dxa"/>
            <w:shd w:val="clear" w:color="auto" w:fill="0072C6"/>
          </w:tcPr>
          <w:p w14:paraId="79E2A558"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C730A5">
              <w:rPr>
                <w:rFonts w:ascii="Calibri" w:eastAsia="Calibri" w:hAnsi="Calibri" w:cs="Arial"/>
                <w:color w:val="FFFFFF"/>
                <w:sz w:val="16"/>
              </w:rPr>
              <w:t>Percentagem de Período de Disponibilidade</w:t>
            </w:r>
          </w:p>
        </w:tc>
        <w:tc>
          <w:tcPr>
            <w:tcW w:w="5400" w:type="dxa"/>
            <w:shd w:val="clear" w:color="auto" w:fill="0072C6"/>
          </w:tcPr>
          <w:p w14:paraId="06EE13B0"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C730A5">
              <w:rPr>
                <w:rFonts w:ascii="Calibri" w:eastAsia="Calibri" w:hAnsi="Calibri" w:cs="Arial"/>
                <w:color w:val="FFFFFF"/>
                <w:sz w:val="16"/>
              </w:rPr>
              <w:t>Crédito de Serviço</w:t>
            </w:r>
          </w:p>
        </w:tc>
      </w:tr>
      <w:tr w:rsidR="003D5599" w:rsidRPr="00C730A5" w14:paraId="4DD0B925" w14:textId="77777777" w:rsidTr="00BD07C5">
        <w:tc>
          <w:tcPr>
            <w:tcW w:w="5400" w:type="dxa"/>
          </w:tcPr>
          <w:p w14:paraId="279E7FF9"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&lt; 99,95%</w:t>
            </w:r>
          </w:p>
        </w:tc>
        <w:tc>
          <w:tcPr>
            <w:tcW w:w="5400" w:type="dxa"/>
          </w:tcPr>
          <w:p w14:paraId="06A04702"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10%</w:t>
            </w:r>
          </w:p>
        </w:tc>
      </w:tr>
      <w:tr w:rsidR="003D5599" w:rsidRPr="00C730A5" w14:paraId="4B0652C0" w14:textId="77777777" w:rsidTr="00BD07C5">
        <w:tc>
          <w:tcPr>
            <w:tcW w:w="5400" w:type="dxa"/>
          </w:tcPr>
          <w:p w14:paraId="5B5B9ABB"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&lt; 99,9%</w:t>
            </w:r>
          </w:p>
        </w:tc>
        <w:tc>
          <w:tcPr>
            <w:tcW w:w="5400" w:type="dxa"/>
          </w:tcPr>
          <w:p w14:paraId="644BCD0D"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25%</w:t>
            </w:r>
          </w:p>
        </w:tc>
      </w:tr>
    </w:tbl>
    <w:p w14:paraId="65F547B1" w14:textId="77777777" w:rsidR="003D5599" w:rsidRPr="00C730A5" w:rsidRDefault="003D5599" w:rsidP="005D1414">
      <w:pPr>
        <w:tabs>
          <w:tab w:val="left" w:pos="360"/>
          <w:tab w:val="left" w:pos="720"/>
          <w:tab w:val="left" w:pos="1080"/>
        </w:tabs>
        <w:spacing w:before="120" w:after="0" w:line="240" w:lineRule="auto"/>
        <w:rPr>
          <w:rFonts w:ascii="Calibri" w:eastAsia="Calibri" w:hAnsi="Calibri" w:cs="Arial"/>
          <w:sz w:val="18"/>
        </w:rPr>
      </w:pPr>
      <w:r w:rsidRPr="00C730A5">
        <w:rPr>
          <w:rFonts w:ascii="Calibri" w:eastAsia="Calibri" w:hAnsi="Calibri" w:cs="Arial"/>
          <w:b/>
          <w:color w:val="00188F"/>
          <w:sz w:val="18"/>
        </w:rPr>
        <w:t>Circuito Dedicado numa Configuração de Site Metropolitano para um Gateway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5599" w:rsidRPr="00C730A5" w14:paraId="0B6E1ADB" w14:textId="77777777" w:rsidTr="00BD07C5">
        <w:trPr>
          <w:tblHeader/>
        </w:trPr>
        <w:tc>
          <w:tcPr>
            <w:tcW w:w="5400" w:type="dxa"/>
            <w:shd w:val="clear" w:color="auto" w:fill="0072C6"/>
          </w:tcPr>
          <w:p w14:paraId="0DCC3B1A"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C730A5">
              <w:rPr>
                <w:rFonts w:ascii="Calibri" w:eastAsia="Calibri" w:hAnsi="Calibri" w:cs="Arial"/>
                <w:color w:val="FFFFFF"/>
                <w:sz w:val="16"/>
              </w:rPr>
              <w:t>Percentagem de Período de Disponibilidade</w:t>
            </w:r>
          </w:p>
        </w:tc>
        <w:tc>
          <w:tcPr>
            <w:tcW w:w="5400" w:type="dxa"/>
            <w:shd w:val="clear" w:color="auto" w:fill="0072C6"/>
          </w:tcPr>
          <w:p w14:paraId="6F041A33"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C730A5">
              <w:rPr>
                <w:rFonts w:ascii="Calibri" w:eastAsia="Calibri" w:hAnsi="Calibri" w:cs="Arial"/>
                <w:color w:val="FFFFFF"/>
                <w:sz w:val="16"/>
              </w:rPr>
              <w:t>Crédito de Serviço</w:t>
            </w:r>
          </w:p>
        </w:tc>
      </w:tr>
      <w:tr w:rsidR="003D5599" w:rsidRPr="00C730A5" w14:paraId="2328D430" w14:textId="77777777" w:rsidTr="00BD07C5">
        <w:tc>
          <w:tcPr>
            <w:tcW w:w="5400" w:type="dxa"/>
          </w:tcPr>
          <w:p w14:paraId="1A08EEA5"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&lt; 99,9%</w:t>
            </w:r>
          </w:p>
        </w:tc>
        <w:tc>
          <w:tcPr>
            <w:tcW w:w="5400" w:type="dxa"/>
          </w:tcPr>
          <w:p w14:paraId="63B7F46D"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10%</w:t>
            </w:r>
          </w:p>
        </w:tc>
      </w:tr>
      <w:tr w:rsidR="003D5599" w:rsidRPr="00C730A5" w14:paraId="1173FEE5" w14:textId="77777777" w:rsidTr="00BD07C5">
        <w:tc>
          <w:tcPr>
            <w:tcW w:w="5400" w:type="dxa"/>
          </w:tcPr>
          <w:p w14:paraId="70610010"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&lt; 99%</w:t>
            </w:r>
          </w:p>
        </w:tc>
        <w:tc>
          <w:tcPr>
            <w:tcW w:w="5400" w:type="dxa"/>
          </w:tcPr>
          <w:p w14:paraId="544C62B8"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25%</w:t>
            </w:r>
          </w:p>
        </w:tc>
      </w:tr>
    </w:tbl>
    <w:p w14:paraId="4DD2FAA6" w14:textId="77777777" w:rsidR="003D5599" w:rsidRPr="00C730A5" w:rsidRDefault="003D5599" w:rsidP="005D1414">
      <w:pPr>
        <w:tabs>
          <w:tab w:val="left" w:pos="360"/>
          <w:tab w:val="left" w:pos="720"/>
          <w:tab w:val="left" w:pos="1080"/>
        </w:tabs>
        <w:spacing w:before="120" w:after="0" w:line="240" w:lineRule="auto"/>
        <w:rPr>
          <w:rFonts w:ascii="Calibri" w:eastAsia="Calibri" w:hAnsi="Calibri" w:cs="Arial"/>
          <w:sz w:val="18"/>
        </w:rPr>
      </w:pPr>
      <w:r w:rsidRPr="00C730A5">
        <w:rPr>
          <w:rFonts w:ascii="Calibri" w:eastAsia="Calibri" w:hAnsi="Calibri" w:cs="Arial"/>
          <w:b/>
          <w:color w:val="00188F"/>
          <w:sz w:val="18"/>
        </w:rPr>
        <w:t>Circuito Dedicado numa Configuração de Site Único para um Gateway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5599" w:rsidRPr="00C730A5" w14:paraId="4B157ABF" w14:textId="77777777" w:rsidTr="00BD07C5">
        <w:trPr>
          <w:tblHeader/>
        </w:trPr>
        <w:tc>
          <w:tcPr>
            <w:tcW w:w="5400" w:type="dxa"/>
            <w:shd w:val="clear" w:color="auto" w:fill="0072C6"/>
          </w:tcPr>
          <w:p w14:paraId="31E67FEE"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C730A5">
              <w:rPr>
                <w:rFonts w:ascii="Calibri" w:eastAsia="Calibri" w:hAnsi="Calibri" w:cs="Arial"/>
                <w:color w:val="FFFFFF"/>
                <w:sz w:val="16"/>
              </w:rPr>
              <w:t>Percentagem de Período de Disponibilidade</w:t>
            </w:r>
          </w:p>
        </w:tc>
        <w:tc>
          <w:tcPr>
            <w:tcW w:w="5400" w:type="dxa"/>
            <w:shd w:val="clear" w:color="auto" w:fill="0072C6"/>
          </w:tcPr>
          <w:p w14:paraId="72C6AE31"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C730A5">
              <w:rPr>
                <w:rFonts w:ascii="Calibri" w:eastAsia="Calibri" w:hAnsi="Calibri" w:cs="Arial"/>
                <w:color w:val="FFFFFF"/>
                <w:sz w:val="16"/>
              </w:rPr>
              <w:t>Crédito de Serviço</w:t>
            </w:r>
          </w:p>
        </w:tc>
      </w:tr>
      <w:tr w:rsidR="003D5599" w:rsidRPr="00C730A5" w14:paraId="484D194A" w14:textId="77777777" w:rsidTr="00BD07C5">
        <w:tc>
          <w:tcPr>
            <w:tcW w:w="5400" w:type="dxa"/>
          </w:tcPr>
          <w:p w14:paraId="1212CF6D"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&lt; 99%</w:t>
            </w:r>
          </w:p>
        </w:tc>
        <w:tc>
          <w:tcPr>
            <w:tcW w:w="5400" w:type="dxa"/>
          </w:tcPr>
          <w:p w14:paraId="76AC3A7F"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10%</w:t>
            </w:r>
          </w:p>
        </w:tc>
      </w:tr>
      <w:tr w:rsidR="003D5599" w:rsidRPr="00C730A5" w14:paraId="0611BE5B" w14:textId="77777777" w:rsidTr="00BD07C5">
        <w:tc>
          <w:tcPr>
            <w:tcW w:w="5400" w:type="dxa"/>
          </w:tcPr>
          <w:p w14:paraId="50D00F29"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&lt; 95%</w:t>
            </w:r>
          </w:p>
        </w:tc>
        <w:tc>
          <w:tcPr>
            <w:tcW w:w="5400" w:type="dxa"/>
          </w:tcPr>
          <w:p w14:paraId="58E28B95" w14:textId="77777777" w:rsidR="003D5599" w:rsidRPr="00C730A5" w:rsidRDefault="003D5599" w:rsidP="00BD07C5">
            <w:pPr>
              <w:tabs>
                <w:tab w:val="left" w:pos="360"/>
                <w:tab w:val="left" w:pos="720"/>
                <w:tab w:val="left" w:pos="1080"/>
              </w:tabs>
              <w:spacing w:before="20" w:after="20" w:line="240" w:lineRule="auto"/>
              <w:ind w:left="-14" w:right="-101"/>
              <w:jc w:val="center"/>
              <w:rPr>
                <w:rFonts w:ascii="Calibri" w:eastAsia="Calibri" w:hAnsi="Calibri" w:cs="Arial"/>
                <w:sz w:val="16"/>
              </w:rPr>
            </w:pPr>
            <w:r w:rsidRPr="00C730A5">
              <w:rPr>
                <w:rFonts w:ascii="Calibri" w:eastAsia="Calibri" w:hAnsi="Calibri" w:cs="Arial"/>
                <w:sz w:val="16"/>
              </w:rPr>
              <w:t>25%</w:t>
            </w:r>
          </w:p>
        </w:tc>
      </w:tr>
    </w:tbl>
    <w:p w14:paraId="74DD4DB9"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EC6BAE8" w14:textId="73F1C715" w:rsidR="002B2E32" w:rsidRDefault="002B2E32" w:rsidP="002B2E32">
      <w:pPr>
        <w:pStyle w:val="ProductList-Offering2Heading"/>
        <w:tabs>
          <w:tab w:val="clear" w:pos="360"/>
          <w:tab w:val="clear" w:pos="720"/>
          <w:tab w:val="clear" w:pos="1080"/>
        </w:tabs>
        <w:outlineLvl w:val="2"/>
      </w:pPr>
      <w:bookmarkStart w:id="270" w:name="_Toc239176474"/>
      <w:r>
        <w:t>Azure ExpressRoute</w:t>
      </w:r>
      <w:r w:rsidR="002F249A">
        <w:t xml:space="preserve"> Traffic Collector</w:t>
      </w:r>
      <w:bookmarkEnd w:id="270"/>
    </w:p>
    <w:p w14:paraId="5E627272" w14:textId="77777777" w:rsidR="003F7175" w:rsidRPr="005C673D" w:rsidRDefault="003F7175" w:rsidP="003F7175">
      <w:pPr>
        <w:pStyle w:val="ProductList-Body"/>
        <w:rPr>
          <w:rFonts w:ascii="Calibri" w:hAnsi="Calibri" w:cs="Calibri"/>
          <w:b/>
          <w:color w:val="00188F"/>
        </w:rPr>
      </w:pPr>
      <w:r>
        <w:rPr>
          <w:rFonts w:ascii="Calibri" w:hAnsi="Calibri" w:cs="Calibri"/>
          <w:b/>
          <w:color w:val="00188F"/>
        </w:rPr>
        <w:t>Definições Adicionais</w:t>
      </w:r>
      <w:r>
        <w:rPr>
          <w:rFonts w:ascii="Calibri" w:hAnsi="Calibri" w:cs="Calibri"/>
        </w:rPr>
        <w:t>:</w:t>
      </w:r>
    </w:p>
    <w:p w14:paraId="01CD76EE" w14:textId="77777777" w:rsidR="003F7175" w:rsidRPr="005C673D" w:rsidRDefault="003F7175" w:rsidP="002B779A">
      <w:pPr>
        <w:pStyle w:val="ProductList-Body"/>
        <w:rPr>
          <w:rFonts w:ascii="Calibri" w:hAnsi="Calibri" w:cs="Calibri"/>
        </w:rPr>
      </w:pPr>
      <w:r>
        <w:rPr>
          <w:rFonts w:ascii="Calibri" w:hAnsi="Calibri" w:cs="Calibri"/>
        </w:rPr>
        <w:t>“</w:t>
      </w:r>
      <w:r>
        <w:rPr>
          <w:rFonts w:ascii="Calibri" w:hAnsi="Calibri" w:cs="Calibri"/>
          <w:b/>
          <w:color w:val="00188F"/>
        </w:rPr>
        <w:t>Circuito Dedicado</w:t>
      </w:r>
      <w:r>
        <w:rPr>
          <w:rFonts w:ascii="Calibri" w:hAnsi="Calibri" w:cs="Calibri"/>
        </w:rPr>
        <w:t>” designa uma representação lógica da conectividade oferecida através do Serviço ExpressRoute entre as instalações do Cliente e o Microsoft Azure através da conectividade ExpressRoute Direct, onde esta conectividade não interfere com a Internet pública.</w:t>
      </w:r>
    </w:p>
    <w:p w14:paraId="42583112" w14:textId="77777777" w:rsidR="003F7175" w:rsidRPr="005C673D" w:rsidRDefault="003F7175" w:rsidP="002B779A">
      <w:pPr>
        <w:pStyle w:val="ProductList-ClauseHeading"/>
        <w:rPr>
          <w:rFonts w:ascii="Calibri" w:hAnsi="Calibri" w:cs="Calibri"/>
          <w:b w:val="0"/>
          <w:bCs/>
          <w:color w:val="auto"/>
        </w:rPr>
      </w:pPr>
      <w:r w:rsidRPr="00CC151B">
        <w:rPr>
          <w:rFonts w:ascii="Calibri" w:hAnsi="Calibri" w:cs="Calibri"/>
          <w:b w:val="0"/>
          <w:bCs/>
        </w:rPr>
        <w:t>“</w:t>
      </w:r>
      <w:r>
        <w:rPr>
          <w:rFonts w:ascii="Calibri" w:hAnsi="Calibri" w:cs="Calibri"/>
        </w:rPr>
        <w:t>ExpressRoute Traffic Collector</w:t>
      </w:r>
      <w:r w:rsidRPr="00CC151B">
        <w:rPr>
          <w:rFonts w:ascii="Calibri" w:hAnsi="Calibri" w:cs="Calibri"/>
          <w:b w:val="0"/>
          <w:bCs/>
        </w:rPr>
        <w:t>”</w:t>
      </w:r>
      <w:r>
        <w:rPr>
          <w:rFonts w:ascii="Calibri" w:hAnsi="Calibri" w:cs="Calibri"/>
        </w:rPr>
        <w:t xml:space="preserve"> </w:t>
      </w:r>
      <w:r>
        <w:rPr>
          <w:rFonts w:ascii="Calibri" w:hAnsi="Calibri" w:cs="Calibri"/>
          <w:b w:val="0"/>
          <w:bCs/>
          <w:color w:val="auto"/>
        </w:rPr>
        <w:t>designa um coletor de tráfego que facilita a recolha de registos de fluxos sobre o tráfego IP que atravessa o circuito dedicado.</w:t>
      </w:r>
    </w:p>
    <w:p w14:paraId="4C5F6A9D" w14:textId="77777777" w:rsidR="003F7175" w:rsidRPr="005C673D" w:rsidRDefault="003F7175" w:rsidP="002B779A">
      <w:pPr>
        <w:pStyle w:val="ProductList-Body"/>
        <w:rPr>
          <w:rFonts w:ascii="Calibri" w:hAnsi="Calibri" w:cs="Calibri"/>
        </w:rPr>
      </w:pPr>
      <w:r>
        <w:rPr>
          <w:rFonts w:ascii="Calibri" w:hAnsi="Calibri" w:cs="Calibri"/>
        </w:rPr>
        <w:t>“</w:t>
      </w:r>
      <w:r>
        <w:rPr>
          <w:rFonts w:ascii="Calibri" w:hAnsi="Calibri" w:cs="Calibri"/>
          <w:b/>
          <w:color w:val="00188F"/>
        </w:rPr>
        <w:t>Máximo de Minutos Disponíveis</w:t>
      </w:r>
      <w:r>
        <w:rPr>
          <w:rFonts w:ascii="Calibri" w:hAnsi="Calibri" w:cs="Calibri"/>
        </w:rPr>
        <w:t>” é o número total de minutos que um determinado Circuito ExpressRoute Traffic Controller está ligado a um ou mais Circuitos Dedicados no Microsoft Azure durante um Período Aplicável numa determinada subscrição do Microsoft Azure.</w:t>
      </w:r>
    </w:p>
    <w:p w14:paraId="0389E92C" w14:textId="77777777" w:rsidR="003F7175" w:rsidRPr="005C673D" w:rsidRDefault="003F7175" w:rsidP="002B779A">
      <w:pPr>
        <w:pStyle w:val="ProductList-Body"/>
        <w:rPr>
          <w:rFonts w:ascii="Calibri" w:hAnsi="Calibri" w:cs="Calibri"/>
        </w:rPr>
      </w:pPr>
      <w:r>
        <w:rPr>
          <w:rFonts w:ascii="Calibri" w:hAnsi="Calibri" w:cs="Calibri"/>
        </w:rPr>
        <w:t>“</w:t>
      </w:r>
      <w:r>
        <w:rPr>
          <w:rFonts w:ascii="Calibri" w:hAnsi="Calibri" w:cs="Calibri"/>
          <w:b/>
          <w:color w:val="00188F"/>
        </w:rPr>
        <w:t>Período de Indisponibilidade</w:t>
      </w:r>
      <w:r>
        <w:rPr>
          <w:rFonts w:ascii="Calibri" w:hAnsi="Calibri" w:cs="Calibri"/>
        </w:rPr>
        <w:t>” designa o número total de minutos durante o Máximo de Minutos Disponíveis em que os dados no ExpressRoute Traffic Collector estão indisponíveis durante os quais não são entregues registos de fluxos recolhidos durante mais de 5 minutos.</w:t>
      </w:r>
    </w:p>
    <w:p w14:paraId="5CC2F22F" w14:textId="77777777" w:rsidR="003F7175" w:rsidRPr="005C673D" w:rsidRDefault="003F7175" w:rsidP="002B779A">
      <w:pPr>
        <w:pStyle w:val="ProductList-Body"/>
        <w:rPr>
          <w:rFonts w:ascii="Calibri" w:hAnsi="Calibri" w:cs="Calibri"/>
        </w:rPr>
      </w:pPr>
      <w:r w:rsidRPr="00CC151B">
        <w:rPr>
          <w:rFonts w:ascii="Calibri" w:hAnsi="Calibri" w:cs="Calibri"/>
        </w:rPr>
        <w:t xml:space="preserve">A </w:t>
      </w:r>
      <w:r>
        <w:rPr>
          <w:rFonts w:ascii="Calibri" w:hAnsi="Calibri" w:cs="Calibri"/>
        </w:rPr>
        <w:t>“</w:t>
      </w:r>
      <w:r>
        <w:rPr>
          <w:rFonts w:ascii="Calibri" w:hAnsi="Calibri" w:cs="Calibri"/>
          <w:b/>
          <w:color w:val="00188F"/>
        </w:rPr>
        <w:t>Percentagem de Disponibilidade</w:t>
      </w:r>
      <w:r>
        <w:rPr>
          <w:rFonts w:ascii="Calibri" w:hAnsi="Calibri" w:cs="Calibri"/>
        </w:rPr>
        <w:t>” é calculada através da seguinte fórmula:</w:t>
      </w:r>
    </w:p>
    <w:p w14:paraId="34C7FB02" w14:textId="77777777" w:rsidR="003F7175" w:rsidRPr="00EF7CF9" w:rsidRDefault="00000000" w:rsidP="002B77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6F55291" w14:textId="77777777" w:rsidR="003F7175" w:rsidRPr="005C673D" w:rsidRDefault="003F7175" w:rsidP="003F7175">
      <w:pPr>
        <w:pStyle w:val="ProductList-Body"/>
        <w:rPr>
          <w:rFonts w:ascii="Calibri" w:hAnsi="Calibri" w:cs="Calibri"/>
        </w:rPr>
      </w:pPr>
      <w:r>
        <w:rPr>
          <w:rFonts w:ascii="Calibri" w:hAnsi="Calibri" w:cs="Calibri"/>
          <w:b/>
          <w:color w:val="00188F"/>
        </w:rPr>
        <w:t>Crédito de Serviço</w:t>
      </w:r>
      <w:r>
        <w:rPr>
          <w:rFonts w:ascii="Calibri" w:hAnsi="Calibri" w:cs="Calibri"/>
        </w:rPr>
        <w:t xml:space="preserve"> Os seguintes Níveis de Serviço e Créditos de Serviço são aplicáveis à utilização que o Cliente faz do Azure ExpressRoute Traffic Collector: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63B8" w:rsidRPr="00B44CF9" w14:paraId="119775B1" w14:textId="77777777" w:rsidTr="00307613">
        <w:trPr>
          <w:tblHeader/>
        </w:trPr>
        <w:tc>
          <w:tcPr>
            <w:tcW w:w="5400" w:type="dxa"/>
            <w:shd w:val="clear" w:color="auto" w:fill="0072C6"/>
          </w:tcPr>
          <w:p w14:paraId="63D0A4F3" w14:textId="77777777" w:rsidR="00E163B8" w:rsidRPr="00EF7CF9" w:rsidRDefault="00E163B8" w:rsidP="00307613">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654E30E" w14:textId="77777777" w:rsidR="00E163B8" w:rsidRPr="00EF7CF9" w:rsidRDefault="00E163B8" w:rsidP="00307613">
            <w:pPr>
              <w:pStyle w:val="ProductList-OfferingBody"/>
              <w:jc w:val="center"/>
              <w:rPr>
                <w:color w:val="FFFFFF" w:themeColor="background1"/>
              </w:rPr>
            </w:pPr>
            <w:r>
              <w:rPr>
                <w:color w:val="FFFFFF" w:themeColor="background1"/>
              </w:rPr>
              <w:t>Crédito de Serviço</w:t>
            </w:r>
          </w:p>
        </w:tc>
      </w:tr>
      <w:tr w:rsidR="00E163B8" w:rsidRPr="00B44CF9" w14:paraId="6907A536" w14:textId="77777777" w:rsidTr="00307613">
        <w:tc>
          <w:tcPr>
            <w:tcW w:w="5400" w:type="dxa"/>
          </w:tcPr>
          <w:p w14:paraId="7A8AC676" w14:textId="5CD24D8E" w:rsidR="00E163B8" w:rsidRPr="00EF7CF9" w:rsidRDefault="00E163B8" w:rsidP="00307613">
            <w:pPr>
              <w:pStyle w:val="ProductList-OfferingBody"/>
              <w:jc w:val="center"/>
            </w:pPr>
            <w:r>
              <w:t>&lt; 99,9%</w:t>
            </w:r>
          </w:p>
        </w:tc>
        <w:tc>
          <w:tcPr>
            <w:tcW w:w="5400" w:type="dxa"/>
          </w:tcPr>
          <w:p w14:paraId="38ECA1CA" w14:textId="77777777" w:rsidR="00E163B8" w:rsidRPr="00EF7CF9" w:rsidRDefault="00E163B8" w:rsidP="00307613">
            <w:pPr>
              <w:pStyle w:val="ProductList-OfferingBody"/>
              <w:jc w:val="center"/>
            </w:pPr>
            <w:r>
              <w:t>10%</w:t>
            </w:r>
          </w:p>
        </w:tc>
      </w:tr>
      <w:tr w:rsidR="00E163B8" w:rsidRPr="00B44CF9" w14:paraId="5020690B" w14:textId="77777777" w:rsidTr="00307613">
        <w:tc>
          <w:tcPr>
            <w:tcW w:w="5400" w:type="dxa"/>
          </w:tcPr>
          <w:p w14:paraId="6559F8DC" w14:textId="77777777" w:rsidR="00E163B8" w:rsidRPr="00EF7CF9" w:rsidRDefault="00E163B8" w:rsidP="00307613">
            <w:pPr>
              <w:pStyle w:val="ProductList-OfferingBody"/>
              <w:jc w:val="center"/>
            </w:pPr>
            <w:r>
              <w:t>&lt; 99%</w:t>
            </w:r>
          </w:p>
        </w:tc>
        <w:tc>
          <w:tcPr>
            <w:tcW w:w="5400" w:type="dxa"/>
          </w:tcPr>
          <w:p w14:paraId="47ACED82" w14:textId="77777777" w:rsidR="00E163B8" w:rsidRPr="00EF7CF9" w:rsidRDefault="00E163B8" w:rsidP="00307613">
            <w:pPr>
              <w:pStyle w:val="ProductList-OfferingBody"/>
              <w:jc w:val="center"/>
            </w:pPr>
            <w:r>
              <w:t>25%</w:t>
            </w:r>
          </w:p>
        </w:tc>
      </w:tr>
    </w:tbl>
    <w:p w14:paraId="066ABC84" w14:textId="77777777" w:rsidR="00E163B8" w:rsidRPr="00EF7CF9" w:rsidRDefault="00E163B8" w:rsidP="00E163B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7A61AC2" w14:textId="393EAEF1" w:rsidR="00B74B20" w:rsidRDefault="00B74B20" w:rsidP="00F01ED6">
      <w:pPr>
        <w:pStyle w:val="ProductList-Offering2Heading"/>
        <w:tabs>
          <w:tab w:val="clear" w:pos="360"/>
          <w:tab w:val="clear" w:pos="720"/>
          <w:tab w:val="clear" w:pos="1080"/>
        </w:tabs>
        <w:outlineLvl w:val="2"/>
        <w:rPr>
          <w:bdr w:val="none" w:sz="0" w:space="0" w:color="auto" w:frame="1"/>
        </w:rPr>
      </w:pPr>
      <w:bookmarkStart w:id="271" w:name="_Toc239176475"/>
      <w:r>
        <w:t xml:space="preserve">Camada Premium dos </w:t>
      </w:r>
      <w:r>
        <w:rPr>
          <w:bdr w:val="none" w:sz="0" w:space="0" w:color="auto" w:frame="1"/>
        </w:rPr>
        <w:t>Ficheiros do Azure</w:t>
      </w:r>
      <w:bookmarkEnd w:id="271"/>
    </w:p>
    <w:p w14:paraId="0359C8CD" w14:textId="77777777" w:rsidR="00B74B20" w:rsidRDefault="00B74B20" w:rsidP="00B74B2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Definições Adicionais</w:t>
      </w:r>
    </w:p>
    <w:p w14:paraId="0CC0114F" w14:textId="7BE457C3" w:rsidR="00B74B20" w:rsidRDefault="00B74B20" w:rsidP="00B74B2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w:t>
      </w:r>
      <w:r w:rsidRPr="00380305">
        <w:rPr>
          <w:sz w:val="18"/>
        </w:rPr>
        <w:t>“</w:t>
      </w:r>
      <w:r>
        <w:rPr>
          <w:rFonts w:ascii="Calibri" w:eastAsia="Times New Roman" w:hAnsi="Calibri" w:cs="Calibri"/>
          <w:b/>
          <w:bCs/>
          <w:color w:val="00188F"/>
          <w:sz w:val="18"/>
          <w:szCs w:val="18"/>
          <w:bdr w:val="none" w:sz="0" w:space="0" w:color="auto" w:frame="1"/>
        </w:rPr>
        <w:t>Partilha de Ficheiros</w:t>
      </w:r>
      <w:r w:rsidRPr="00380305">
        <w:rPr>
          <w:sz w:val="18"/>
        </w:rPr>
        <w:t>”</w:t>
      </w:r>
      <w:r>
        <w:rPr>
          <w:rFonts w:ascii="Calibri" w:eastAsia="Times New Roman" w:hAnsi="Calibri" w:cs="Calibri"/>
          <w:color w:val="242424"/>
          <w:sz w:val="18"/>
          <w:szCs w:val="18"/>
        </w:rPr>
        <w:t> é um recurso de armazenamento lógico nos Ficheiros do Azure que contém um sistema de ficheiros e é utilizado para armazenar dados.</w:t>
      </w:r>
    </w:p>
    <w:p w14:paraId="3F64B3CE" w14:textId="77777777" w:rsidR="00B74B20" w:rsidRDefault="00B74B20" w:rsidP="00B74B2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Armazenamento Localmente Redundante (LRS)</w:t>
      </w:r>
      <w:r>
        <w:rPr>
          <w:rFonts w:ascii="Calibri" w:eastAsia="Times New Roman" w:hAnsi="Calibri" w:cs="Calibri"/>
          <w:color w:val="242424"/>
          <w:sz w:val="18"/>
          <w:szCs w:val="18"/>
        </w:rPr>
        <w:t>” é uma definição que indica que os dados são replicados de forma síncrona apenas numa Região Primária.</w:t>
      </w:r>
    </w:p>
    <w:p w14:paraId="1552B0D8" w14:textId="77777777" w:rsidR="00B74B20" w:rsidRDefault="00B74B20" w:rsidP="00B74B2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Armazenamento Com Redundância Entre Zonas (ZRS)</w:t>
      </w:r>
      <w:r w:rsidRPr="00380305">
        <w:rPr>
          <w:sz w:val="18"/>
        </w:rPr>
        <w:t>”</w:t>
      </w:r>
      <w:r>
        <w:rPr>
          <w:rFonts w:ascii="Calibri" w:eastAsia="Times New Roman" w:hAnsi="Calibri" w:cs="Calibri"/>
          <w:color w:val="242424"/>
          <w:sz w:val="18"/>
          <w:szCs w:val="18"/>
        </w:rPr>
        <w:t> é uma definição que indica que os dados são replicados em múltiplas instalações. Estas instalações podem estar na mesma região geográfica ou em duas regiões geográficas.</w:t>
      </w:r>
    </w:p>
    <w:p w14:paraId="2056FB21" w14:textId="77777777" w:rsidR="00B74B20" w:rsidRDefault="00B74B20" w:rsidP="00B74B20">
      <w:pPr>
        <w:shd w:val="clear" w:color="auto" w:fill="FFFFFF"/>
        <w:spacing w:after="0" w:line="240" w:lineRule="auto"/>
        <w:rPr>
          <w:rFonts w:ascii="Calibri" w:eastAsia="Times New Roman" w:hAnsi="Calibri" w:cs="Calibri"/>
          <w:color w:val="242424"/>
          <w:sz w:val="18"/>
          <w:szCs w:val="18"/>
        </w:rPr>
      </w:pPr>
      <w:r w:rsidRPr="00380305">
        <w:rPr>
          <w:sz w:val="18"/>
        </w:rPr>
        <w:t>“</w:t>
      </w:r>
      <w:r>
        <w:rPr>
          <w:rFonts w:ascii="Calibri" w:eastAsia="Times New Roman" w:hAnsi="Calibri" w:cs="Calibri"/>
          <w:b/>
          <w:bCs/>
          <w:color w:val="00188F"/>
          <w:sz w:val="18"/>
          <w:szCs w:val="18"/>
          <w:bdr w:val="none" w:sz="0" w:space="0" w:color="auto" w:frame="1"/>
        </w:rPr>
        <w:t>Máximo de Minutos Disponíveis</w:t>
      </w:r>
      <w:r w:rsidRPr="00380305">
        <w:rPr>
          <w:sz w:val="18"/>
        </w:rPr>
        <w:t>”</w:t>
      </w:r>
      <w:r>
        <w:rPr>
          <w:rFonts w:ascii="Calibri" w:eastAsia="Times New Roman" w:hAnsi="Calibri" w:cs="Calibri"/>
          <w:color w:val="242424"/>
          <w:sz w:val="18"/>
          <w:szCs w:val="18"/>
        </w:rPr>
        <w:t> é o número total de minutos durante os quais uma determinada Partilha de Ficheiros é implementada pelo Cliente numa determinada subscrição do Microsoft Azure durante um Período Aplicável.</w:t>
      </w:r>
    </w:p>
    <w:p w14:paraId="43ECDE5B" w14:textId="77777777" w:rsidR="00B74B20" w:rsidRDefault="00B74B20" w:rsidP="00B74B2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xml:space="preserve">O </w:t>
      </w:r>
      <w:r w:rsidRPr="00380305">
        <w:rPr>
          <w:sz w:val="18"/>
        </w:rPr>
        <w:t>“</w:t>
      </w:r>
      <w:bookmarkStart w:id="272" w:name="x__Hlk87495761"/>
      <w:r>
        <w:rPr>
          <w:rFonts w:ascii="Calibri" w:eastAsia="Times New Roman" w:hAnsi="Calibri" w:cs="Calibri"/>
          <w:b/>
          <w:bCs/>
          <w:color w:val="00188F"/>
          <w:sz w:val="18"/>
          <w:szCs w:val="18"/>
          <w:bdr w:val="none" w:sz="0" w:space="0" w:color="auto" w:frame="1"/>
        </w:rPr>
        <w:t>Problema do Lado do </w:t>
      </w:r>
      <w:bookmarkEnd w:id="272"/>
      <w:r>
        <w:rPr>
          <w:rFonts w:ascii="Calibri" w:eastAsia="Times New Roman" w:hAnsi="Calibri" w:cs="Calibri"/>
          <w:b/>
          <w:bCs/>
          <w:color w:val="00188F"/>
          <w:sz w:val="18"/>
          <w:szCs w:val="18"/>
          <w:bdr w:val="none" w:sz="0" w:space="0" w:color="auto" w:frame="1"/>
        </w:rPr>
        <w:t>Serviço</w:t>
      </w:r>
      <w:r w:rsidRPr="00380305">
        <w:rPr>
          <w:sz w:val="18"/>
        </w:rPr>
        <w:t>”</w:t>
      </w:r>
      <w:r>
        <w:rPr>
          <w:rFonts w:ascii="Calibri" w:eastAsia="Times New Roman" w:hAnsi="Calibri" w:cs="Calibri"/>
          <w:color w:val="242424"/>
          <w:sz w:val="18"/>
          <w:szCs w:val="18"/>
        </w:rPr>
        <w:t> é comunicado quando um pedido falha com o tipo de resposta ServerOtherError, ServerBusyError ou ServerTimeoutError.</w:t>
      </w:r>
    </w:p>
    <w:p w14:paraId="711B19D4" w14:textId="77777777" w:rsidR="00B74B20" w:rsidRDefault="00B74B20" w:rsidP="00B74B20">
      <w:pPr>
        <w:shd w:val="clear" w:color="auto" w:fill="FFFFFF"/>
        <w:spacing w:after="0" w:line="240" w:lineRule="auto"/>
        <w:rPr>
          <w:rFonts w:ascii="Calibri" w:eastAsia="Times New Roman" w:hAnsi="Calibri" w:cs="Calibri"/>
          <w:color w:val="242424"/>
          <w:sz w:val="18"/>
          <w:szCs w:val="18"/>
        </w:rPr>
      </w:pPr>
      <w:r w:rsidRPr="00380305">
        <w:rPr>
          <w:sz w:val="18"/>
        </w:rPr>
        <w:t>“</w:t>
      </w:r>
      <w:r>
        <w:rPr>
          <w:rFonts w:ascii="Calibri" w:eastAsia="Times New Roman" w:hAnsi="Calibri" w:cs="Calibri"/>
          <w:b/>
          <w:bCs/>
          <w:color w:val="00188F"/>
          <w:sz w:val="18"/>
          <w:szCs w:val="18"/>
          <w:bdr w:val="none" w:sz="0" w:space="0" w:color="auto" w:frame="1"/>
        </w:rPr>
        <w:t>Período de Indisponibilidade</w:t>
      </w:r>
      <w:r w:rsidRPr="00380305">
        <w:rPr>
          <w:sz w:val="18"/>
        </w:rPr>
        <w:t>”</w:t>
      </w:r>
      <w:r>
        <w:rPr>
          <w:rFonts w:ascii="Calibri" w:eastAsia="Times New Roman" w:hAnsi="Calibri" w:cs="Calibri"/>
          <w:color w:val="242424"/>
          <w:sz w:val="18"/>
          <w:szCs w:val="18"/>
        </w:rPr>
        <w:t> é o número total de minutos no Período Aplicável durante o qual todos os pedidos com base na Partilha de Ficheiros falharam devido a um Problema do Lado do Servidor.</w:t>
      </w:r>
    </w:p>
    <w:p w14:paraId="37BAD2E0" w14:textId="77777777" w:rsidR="00B74B20" w:rsidRDefault="00B74B20" w:rsidP="00B74B20">
      <w:pPr>
        <w:shd w:val="clear" w:color="auto" w:fill="FFFFFF"/>
        <w:spacing w:after="0" w:line="240" w:lineRule="auto"/>
        <w:rPr>
          <w:rFonts w:ascii="Calibri" w:eastAsia="Times New Roman" w:hAnsi="Calibri" w:cs="Calibri"/>
          <w:color w:val="242424"/>
          <w:sz w:val="18"/>
          <w:szCs w:val="18"/>
        </w:rPr>
      </w:pPr>
      <w:r w:rsidRPr="00380305">
        <w:rPr>
          <w:sz w:val="18"/>
        </w:rPr>
        <w:t>“</w:t>
      </w:r>
      <w:r>
        <w:rPr>
          <w:rFonts w:ascii="Calibri" w:eastAsia="Times New Roman" w:hAnsi="Calibri" w:cs="Calibri"/>
          <w:b/>
          <w:bCs/>
          <w:color w:val="00188F"/>
          <w:sz w:val="18"/>
          <w:szCs w:val="18"/>
          <w:bdr w:val="none" w:sz="0" w:space="0" w:color="auto" w:frame="1"/>
        </w:rPr>
        <w:t>Percentagem de Período de Disponibilidade</w:t>
      </w:r>
      <w:r w:rsidRPr="00380305">
        <w:rPr>
          <w:sz w:val="18"/>
        </w:rPr>
        <w:t>”</w:t>
      </w:r>
      <w:r w:rsidRPr="00473DD3">
        <w:rPr>
          <w:sz w:val="18"/>
        </w:rPr>
        <w:t>:</w:t>
      </w:r>
      <w:r>
        <w:rPr>
          <w:rFonts w:ascii="Calibri" w:eastAsia="Times New Roman" w:hAnsi="Calibri" w:cs="Calibri"/>
          <w:color w:val="242424"/>
          <w:sz w:val="18"/>
          <w:szCs w:val="18"/>
        </w:rPr>
        <w:t xml:space="preserve"> A Percentagem de Período de Disponibilidade é calculada utilizando a seguinte fórmula:</w:t>
      </w:r>
    </w:p>
    <w:p w14:paraId="1538B4C4" w14:textId="77777777" w:rsidR="00B74B20" w:rsidRDefault="00000000" w:rsidP="00B74B20">
      <w:pPr>
        <w:shd w:val="clear" w:color="auto" w:fill="FFFFFF"/>
        <w:spacing w:before="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5A05E83B" w14:textId="77777777" w:rsidR="00C83165" w:rsidRDefault="00C83165" w:rsidP="00C83165">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Aplicam-se os seguintes Níveis de Serviço e Créditos de Serviço à utilização, por parte do Cliente, da Partilha de Ficheiros com a Camada Premium ao utilizar o Armazenamento Redundante por Zona (ZRS) ou o Armazenamento Localmente Redundante (LRS), e aplicam-se às partilhas de ficheiros faturadas tanto ao abrigo do modelo de faturação Provisioned v1 como do modelo Provisioned v2.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B74B20" w14:paraId="17EC8B7D" w14:textId="77777777" w:rsidTr="00995E56">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6A66DC75" w14:textId="6FE7BB76" w:rsidR="00B74B20" w:rsidRDefault="00B74B20" w:rsidP="00995E56">
            <w:pPr>
              <w:spacing w:after="0" w:line="240" w:lineRule="auto"/>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Percentagem de Período de Disponibilidade</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07245564" w14:textId="77777777" w:rsidR="00B74B20" w:rsidRDefault="00B74B20" w:rsidP="00995E56">
            <w:pPr>
              <w:spacing w:after="0" w:line="240" w:lineRule="auto"/>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Crédito de Serviço</w:t>
            </w:r>
          </w:p>
        </w:tc>
      </w:tr>
      <w:tr w:rsidR="00B74B20" w14:paraId="368CC13A"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AFE9B0" w14:textId="77777777" w:rsidR="00B74B20" w:rsidRDefault="00B74B20" w:rsidP="00995E56">
            <w:pPr>
              <w:spacing w:before="20" w:after="20" w:line="240" w:lineRule="auto"/>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A4F661" w14:textId="77777777" w:rsidR="00B74B20" w:rsidRDefault="00B74B20" w:rsidP="00995E56">
            <w:pPr>
              <w:spacing w:before="20" w:after="20" w:line="240" w:lineRule="auto"/>
              <w:jc w:val="center"/>
              <w:rPr>
                <w:rFonts w:ascii="Calibri" w:eastAsia="Times New Roman" w:hAnsi="Calibri" w:cs="Calibri"/>
                <w:color w:val="242424"/>
                <w:sz w:val="16"/>
                <w:szCs w:val="16"/>
              </w:rPr>
            </w:pPr>
            <w:r>
              <w:rPr>
                <w:rFonts w:ascii="Calibri" w:eastAsia="Times New Roman" w:hAnsi="Calibri" w:cs="Calibri"/>
                <w:color w:val="242424"/>
                <w:sz w:val="16"/>
                <w:szCs w:val="16"/>
              </w:rPr>
              <w:t>10%</w:t>
            </w:r>
          </w:p>
        </w:tc>
      </w:tr>
      <w:tr w:rsidR="00B74B20" w14:paraId="77D94165"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DDADAE" w14:textId="77777777" w:rsidR="00B74B20" w:rsidRDefault="00B74B20" w:rsidP="00995E56">
            <w:pPr>
              <w:spacing w:before="20" w:after="20" w:line="240" w:lineRule="auto"/>
              <w:jc w:val="center"/>
              <w:rPr>
                <w:rFonts w:ascii="Calibri" w:eastAsia="Times New Roman" w:hAnsi="Calibri" w:cs="Calibri"/>
                <w:color w:val="242424"/>
                <w:sz w:val="16"/>
                <w:szCs w:val="16"/>
              </w:rPr>
            </w:pPr>
            <w:r>
              <w:rPr>
                <w:rFonts w:ascii="Calibri" w:eastAsia="Times New Roman" w:hAnsi="Calibri" w:cs="Calibri"/>
                <w:color w:val="242424"/>
                <w:sz w:val="16"/>
                <w:szCs w:val="16"/>
              </w:rPr>
              <w:t>&lt; 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5CBD5B" w14:textId="77777777" w:rsidR="00B74B20" w:rsidRDefault="00B74B20" w:rsidP="00995E56">
            <w:pPr>
              <w:spacing w:before="20" w:after="20" w:line="240" w:lineRule="auto"/>
              <w:jc w:val="center"/>
              <w:rPr>
                <w:rFonts w:ascii="Calibri" w:eastAsia="Times New Roman" w:hAnsi="Calibri" w:cs="Calibri"/>
                <w:color w:val="242424"/>
                <w:sz w:val="16"/>
                <w:szCs w:val="16"/>
              </w:rPr>
            </w:pPr>
            <w:r>
              <w:rPr>
                <w:rFonts w:ascii="Calibri" w:eastAsia="Times New Roman" w:hAnsi="Calibri" w:cs="Calibri"/>
                <w:color w:val="242424"/>
                <w:sz w:val="16"/>
                <w:szCs w:val="16"/>
              </w:rPr>
              <w:t>25%</w:t>
            </w:r>
          </w:p>
        </w:tc>
      </w:tr>
    </w:tbl>
    <w:p w14:paraId="64AEAAC3" w14:textId="77777777" w:rsidR="00B74B20" w:rsidRPr="00EF7CF9" w:rsidRDefault="00B74B20" w:rsidP="00B74B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DC2AD44" w14:textId="44D55837" w:rsidR="004005AF" w:rsidRPr="00EF7CF9" w:rsidRDefault="004005AF" w:rsidP="00F01ED6">
      <w:pPr>
        <w:pStyle w:val="ProductList-Offering2Heading"/>
        <w:tabs>
          <w:tab w:val="clear" w:pos="360"/>
          <w:tab w:val="clear" w:pos="720"/>
          <w:tab w:val="clear" w:pos="1080"/>
        </w:tabs>
        <w:outlineLvl w:val="2"/>
      </w:pPr>
      <w:bookmarkStart w:id="273" w:name="_Toc239176476"/>
      <w:r>
        <w:t>Azure Firewall</w:t>
      </w:r>
      <w:bookmarkEnd w:id="237"/>
      <w:bookmarkEnd w:id="238"/>
      <w:bookmarkEnd w:id="273"/>
    </w:p>
    <w:p w14:paraId="107DEEB6" w14:textId="77777777" w:rsidR="004005AF" w:rsidRPr="00EF7CF9" w:rsidRDefault="004005AF" w:rsidP="00F01ED6">
      <w:pPr>
        <w:pStyle w:val="ProductList-Body"/>
      </w:pPr>
      <w:r>
        <w:rPr>
          <w:b/>
          <w:color w:val="00188F"/>
        </w:rPr>
        <w:t>Definições Adicionais</w:t>
      </w:r>
      <w:r w:rsidRPr="00473DD3">
        <w:rPr>
          <w:b/>
          <w:color w:val="00188F"/>
        </w:rPr>
        <w:t>:</w:t>
      </w:r>
    </w:p>
    <w:p w14:paraId="4A3B69E6" w14:textId="66296A94" w:rsidR="004005AF" w:rsidRPr="00E9584A" w:rsidRDefault="00380305" w:rsidP="00F01ED6">
      <w:pPr>
        <w:pStyle w:val="ProductList-Body"/>
      </w:pPr>
      <w:r>
        <w:t>“</w:t>
      </w:r>
      <w:r w:rsidR="004005AF">
        <w:rPr>
          <w:b/>
          <w:color w:val="00188F"/>
        </w:rPr>
        <w:t>Serviço Azure Firewall</w:t>
      </w:r>
      <w:r>
        <w:t>”</w:t>
      </w:r>
      <w:r w:rsidR="004005AF">
        <w:rPr>
          <w:b/>
          <w:color w:val="00188F"/>
        </w:rPr>
        <w:t xml:space="preserve"> </w:t>
      </w:r>
      <w:r w:rsidR="004005AF">
        <w:t>designa uma instância da firewall lógica implementada numa Rede Virtual do cliente.</w:t>
      </w:r>
    </w:p>
    <w:p w14:paraId="7D62F386" w14:textId="07808C7F" w:rsidR="004005AF" w:rsidRPr="00ED4527" w:rsidRDefault="00EE6E3C" w:rsidP="00F01ED6">
      <w:pPr>
        <w:pStyle w:val="ProductList-Body"/>
        <w:rPr>
          <w:b/>
          <w:bCs/>
          <w:color w:val="00188F"/>
        </w:rPr>
      </w:pPr>
      <w:r>
        <w:rPr>
          <w:b/>
          <w:bCs/>
          <w:color w:val="00188F"/>
        </w:rPr>
        <w:t>Cálculo do Período de Disponibilidade e Níveis de Serviço para o Serviço Azure Firewall implementado numa única Zona de Disponibilidade</w:t>
      </w:r>
    </w:p>
    <w:p w14:paraId="58255A28" w14:textId="60E88F0E" w:rsidR="004005AF" w:rsidRPr="00A2017D" w:rsidRDefault="00380305" w:rsidP="00F01ED6">
      <w:pPr>
        <w:pStyle w:val="ProductList-Body"/>
      </w:pPr>
      <w:r>
        <w:lastRenderedPageBreak/>
        <w:t>“</w:t>
      </w:r>
      <w:r w:rsidR="004005AF">
        <w:rPr>
          <w:b/>
          <w:color w:val="00188F"/>
        </w:rPr>
        <w:t>Máximo de Minutos Disponíveis</w:t>
      </w:r>
      <w:r>
        <w:t>”</w:t>
      </w:r>
      <w:r w:rsidR="004005AF">
        <w:rPr>
          <w:b/>
          <w:color w:val="00188F"/>
        </w:rPr>
        <w:t xml:space="preserve"> </w:t>
      </w:r>
      <w:r w:rsidR="004005AF">
        <w:t>designa o total de minutos acumulados num Período Aplicável, durante o qual o Serviço Azure Firewall foi implementado numa subscrição do Microsoft Azure.</w:t>
      </w:r>
    </w:p>
    <w:p w14:paraId="2C00A1C0" w14:textId="21EB9384" w:rsidR="004005AF" w:rsidRDefault="00380305" w:rsidP="00F01ED6">
      <w:pPr>
        <w:pStyle w:val="ProductList-Body"/>
      </w:pPr>
      <w:r>
        <w:t>“</w:t>
      </w:r>
      <w:r w:rsidR="004005AF">
        <w:rPr>
          <w:b/>
          <w:color w:val="00188F"/>
        </w:rPr>
        <w:t>Período de Indisponibilidade</w:t>
      </w:r>
      <w:r>
        <w:t>”</w:t>
      </w:r>
      <w:r w:rsidR="004005AF">
        <w:rPr>
          <w:b/>
          <w:color w:val="00188F"/>
        </w:rPr>
        <w:t xml:space="preserve"> </w:t>
      </w:r>
      <w:r w:rsidR="004005AF">
        <w:t>designa o total acumulado de Máximo de Minutos Disponíveis num Período Aplicável para um determinado Serviço do Azure Firewall</w:t>
      </w:r>
      <w:r w:rsidR="004005AF">
        <w:rPr>
          <w:b/>
          <w:color w:val="00188F"/>
        </w:rPr>
        <w:t xml:space="preserve"> </w:t>
      </w:r>
      <w:r w:rsidR="004005AF">
        <w:t>durante o qual o Serviço do Azure Firewall está indisponível. Um determinado minuto é considerado indisponível se todas as tentativas de ligação ao Serviço Azure Firewall durante esse minuto falharem.</w:t>
      </w:r>
    </w:p>
    <w:p w14:paraId="2F4A07D6" w14:textId="12D0664A" w:rsidR="004005AF"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2398E6B9" w14:textId="2072E27F" w:rsidR="004005AF" w:rsidRPr="00EF7CF9" w:rsidRDefault="00000000" w:rsidP="002B779A">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BD7FA62" w14:textId="77777777" w:rsidR="004005AF" w:rsidRPr="00ED4527" w:rsidRDefault="004005AF" w:rsidP="00F01ED6">
      <w:pPr>
        <w:pStyle w:val="ProductList-Body"/>
        <w:keepNext/>
        <w:rPr>
          <w:b/>
          <w:color w:val="00188F"/>
        </w:rPr>
      </w:pPr>
      <w:r>
        <w:rPr>
          <w:b/>
          <w:color w:val="00188F"/>
        </w:rPr>
        <w:t>Os Níveis de serviço e Créditos de serviço seguintes são aplicáveis à utilização do Serviço Azure Firewall por parte do Cliente, quando implementado numa única Zona de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0F2EBB8" w14:textId="77777777" w:rsidR="004005AF" w:rsidRPr="005A3C16"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45E9D7E7" w14:textId="77777777" w:rsidTr="00277097">
        <w:tc>
          <w:tcPr>
            <w:tcW w:w="5400" w:type="dxa"/>
          </w:tcPr>
          <w:p w14:paraId="5C610318" w14:textId="77777777" w:rsidR="004005AF" w:rsidRPr="005A3C16" w:rsidRDefault="004005AF" w:rsidP="00F01ED6">
            <w:pPr>
              <w:pStyle w:val="ProductList-OfferingBody"/>
              <w:jc w:val="center"/>
            </w:pPr>
            <w:r>
              <w:t>&lt; 99,95%</w:t>
            </w:r>
          </w:p>
        </w:tc>
        <w:tc>
          <w:tcPr>
            <w:tcW w:w="5400" w:type="dxa"/>
          </w:tcPr>
          <w:p w14:paraId="10C08CE5" w14:textId="77777777" w:rsidR="004005AF" w:rsidRPr="005A3C16" w:rsidRDefault="004005AF" w:rsidP="00F01ED6">
            <w:pPr>
              <w:pStyle w:val="ProductList-OfferingBody"/>
              <w:jc w:val="center"/>
            </w:pPr>
            <w:r>
              <w:t>10%</w:t>
            </w:r>
          </w:p>
        </w:tc>
      </w:tr>
      <w:tr w:rsidR="004005AF" w:rsidRPr="00B44CF9" w14:paraId="1A548F38" w14:textId="77777777" w:rsidTr="00277097">
        <w:tc>
          <w:tcPr>
            <w:tcW w:w="5400" w:type="dxa"/>
          </w:tcPr>
          <w:p w14:paraId="370C80ED" w14:textId="77777777" w:rsidR="004005AF" w:rsidRPr="005A3C16" w:rsidRDefault="004005AF" w:rsidP="00F01ED6">
            <w:pPr>
              <w:pStyle w:val="ProductList-OfferingBody"/>
              <w:jc w:val="center"/>
            </w:pPr>
            <w:r>
              <w:t>&lt; 99%</w:t>
            </w:r>
          </w:p>
        </w:tc>
        <w:tc>
          <w:tcPr>
            <w:tcW w:w="5400" w:type="dxa"/>
          </w:tcPr>
          <w:p w14:paraId="75BACCED" w14:textId="77777777" w:rsidR="004005AF" w:rsidRPr="005A3C16" w:rsidRDefault="004005AF" w:rsidP="00F01ED6">
            <w:pPr>
              <w:pStyle w:val="ProductList-OfferingBody"/>
              <w:jc w:val="center"/>
            </w:pPr>
            <w:r>
              <w:t>25%</w:t>
            </w:r>
          </w:p>
        </w:tc>
      </w:tr>
    </w:tbl>
    <w:p w14:paraId="605ED321" w14:textId="36894902" w:rsidR="004005AF" w:rsidRPr="00E80B8A" w:rsidRDefault="00EE6E3C" w:rsidP="008809A5">
      <w:pPr>
        <w:pStyle w:val="ProductList-Body"/>
        <w:keepNext/>
        <w:keepLines/>
        <w:spacing w:before="120"/>
        <w:rPr>
          <w:b/>
          <w:bCs/>
          <w:color w:val="00188F"/>
          <w:spacing w:val="-3"/>
        </w:rPr>
      </w:pPr>
      <w:r w:rsidRPr="00E80B8A">
        <w:rPr>
          <w:b/>
          <w:bCs/>
          <w:color w:val="00188F"/>
          <w:spacing w:val="-3"/>
        </w:rPr>
        <w:t>Cálculo do Período de Disponibilidade e Níveis de Serviço para o Serviço Azure Firewall implementado em duas ou mais Zonas de Disponibilidade</w:t>
      </w:r>
    </w:p>
    <w:p w14:paraId="30D680C4" w14:textId="7CF19D0C" w:rsidR="004005AF" w:rsidRPr="00ED4527" w:rsidRDefault="00380305" w:rsidP="00F01ED6">
      <w:pPr>
        <w:pStyle w:val="ProductList-Body"/>
        <w:rPr>
          <w:color w:val="000000" w:themeColor="text1"/>
        </w:rPr>
      </w:pPr>
      <w:r w:rsidRPr="00380305">
        <w:t>“</w:t>
      </w:r>
      <w:r w:rsidR="004005AF">
        <w:rPr>
          <w:b/>
          <w:bCs/>
          <w:color w:val="00188F"/>
        </w:rPr>
        <w:t>Máximo de Minutos Disponíveis</w:t>
      </w:r>
      <w:r w:rsidRPr="00380305">
        <w:t>”</w:t>
      </w:r>
      <w:r w:rsidR="004005AF">
        <w:rPr>
          <w:color w:val="000000" w:themeColor="text1"/>
        </w:rPr>
        <w:t xml:space="preserve"> designa o total de minutos acumulados num Período Aplicável durante o qual o Serviço Azure Firewall foi</w:t>
      </w:r>
      <w:r w:rsidR="00494A45">
        <w:rPr>
          <w:color w:val="000000" w:themeColor="text1"/>
        </w:rPr>
        <w:t> </w:t>
      </w:r>
      <w:r w:rsidR="004005AF">
        <w:rPr>
          <w:color w:val="000000" w:themeColor="text1"/>
        </w:rPr>
        <w:t>implementado em duas ou mais Zonas de Disponibilidade de uma mesma região da subscrição do Microsoft Azure.</w:t>
      </w:r>
    </w:p>
    <w:p w14:paraId="3016A8A2" w14:textId="58185CF8" w:rsidR="004005AF" w:rsidRPr="00ED4527" w:rsidRDefault="00380305" w:rsidP="00F01ED6">
      <w:pPr>
        <w:pStyle w:val="ProductList-Body"/>
        <w:rPr>
          <w:color w:val="000000" w:themeColor="text1"/>
        </w:rPr>
      </w:pPr>
      <w:r w:rsidRPr="00380305">
        <w:t>“</w:t>
      </w:r>
      <w:r w:rsidR="004005AF">
        <w:rPr>
          <w:b/>
          <w:bCs/>
          <w:color w:val="00188F"/>
        </w:rPr>
        <w:t>Período de Indisponibilidade</w:t>
      </w:r>
      <w:r w:rsidRPr="00380305">
        <w:t>”</w:t>
      </w:r>
      <w:r w:rsidR="004005AF">
        <w:rPr>
          <w:color w:val="000000" w:themeColor="text1"/>
        </w:rPr>
        <w:t xml:space="preserve"> é total acumulado de Máximo de Minutos Disponíveis, num Período Aplicável, para um determinado Serviço Azure</w:t>
      </w:r>
      <w:r w:rsidR="00ED1331">
        <w:rPr>
          <w:color w:val="000000" w:themeColor="text1"/>
        </w:rPr>
        <w:t> </w:t>
      </w:r>
      <w:r w:rsidR="004005AF">
        <w:rPr>
          <w:color w:val="000000" w:themeColor="text1"/>
        </w:rPr>
        <w:t>Firewall implementado em duas ou mais Zonas de Disponibilidade durante o qual este Serviço permanece indisponível. Um determinado minuto é</w:t>
      </w:r>
      <w:r w:rsidR="00C55C00">
        <w:rPr>
          <w:color w:val="000000" w:themeColor="text1"/>
        </w:rPr>
        <w:t> </w:t>
      </w:r>
      <w:r w:rsidR="004005AF">
        <w:rPr>
          <w:color w:val="000000" w:themeColor="text1"/>
        </w:rPr>
        <w:t>considerado indisponível se todas as tentativas de ligação ao Serviço Azure Firewall durante esse minuto falharem.</w:t>
      </w:r>
    </w:p>
    <w:p w14:paraId="705028FD" w14:textId="1564E01F" w:rsidR="004005AF" w:rsidRPr="00ED4527" w:rsidRDefault="004005AF" w:rsidP="00F01ED6">
      <w:pPr>
        <w:pStyle w:val="ProductList-Body"/>
        <w:tabs>
          <w:tab w:val="clear" w:pos="360"/>
          <w:tab w:val="clear" w:pos="720"/>
          <w:tab w:val="clear" w:pos="1080"/>
        </w:tabs>
        <w:rPr>
          <w:color w:val="000000" w:themeColor="text1"/>
        </w:rPr>
      </w:pPr>
      <w:r>
        <w:t xml:space="preserve">A </w:t>
      </w:r>
      <w:r w:rsidR="00380305" w:rsidRPr="00380305">
        <w:t>“</w:t>
      </w:r>
      <w:r>
        <w:rPr>
          <w:b/>
          <w:bCs/>
          <w:color w:val="00188F"/>
        </w:rPr>
        <w:t>Percentagem de Período de Disponibilidade</w:t>
      </w:r>
      <w:r w:rsidR="00380305" w:rsidRPr="00380305">
        <w:t>”</w:t>
      </w:r>
      <w:r>
        <w:rPr>
          <w:color w:val="00188F"/>
        </w:rPr>
        <w:t xml:space="preserve"> </w:t>
      </w:r>
      <w:r>
        <w:rPr>
          <w:color w:val="000000" w:themeColor="text1"/>
        </w:rPr>
        <w:t>para firewalls do Azure implementadas em duas ou mais Zonas de Disponibilidade é calculada utilizando a seguinte fórmula:</w:t>
      </w:r>
    </w:p>
    <w:p w14:paraId="3CF7D48F" w14:textId="14307496" w:rsidR="004005AF" w:rsidRPr="00EF7CF9" w:rsidRDefault="00000000" w:rsidP="00F01ED6">
      <w:pPr>
        <w:spacing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AA24F9D" w14:textId="77777777" w:rsidR="004005AF" w:rsidRPr="008D2319" w:rsidRDefault="004005AF" w:rsidP="00F01ED6">
      <w:pPr>
        <w:pStyle w:val="ProductList-Body"/>
        <w:keepNext/>
        <w:rPr>
          <w:b/>
          <w:color w:val="00188F"/>
        </w:rPr>
      </w:pPr>
      <w:r>
        <w:rPr>
          <w:b/>
          <w:color w:val="00188F"/>
        </w:rPr>
        <w:t>Os Níveis de serviço e Créditos de serviço seguintes são aplicáveis à utilização do Serviço Azure Firewall por parte do Cliente, quando implementado em duas ou mais Zonas de disponibilidade numa mesma região: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6F348E5" w14:textId="77777777" w:rsidR="004005AF" w:rsidRPr="005A3C16"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5E9E209C" w14:textId="77777777" w:rsidTr="00277097">
        <w:tc>
          <w:tcPr>
            <w:tcW w:w="5400" w:type="dxa"/>
          </w:tcPr>
          <w:p w14:paraId="3B9D5C82" w14:textId="77777777" w:rsidR="004005AF" w:rsidRPr="005A3C16" w:rsidRDefault="004005AF" w:rsidP="00F01ED6">
            <w:pPr>
              <w:pStyle w:val="ProductList-OfferingBody"/>
              <w:jc w:val="center"/>
            </w:pPr>
            <w:r>
              <w:t>&lt; 99,99%</w:t>
            </w:r>
          </w:p>
        </w:tc>
        <w:tc>
          <w:tcPr>
            <w:tcW w:w="5400" w:type="dxa"/>
          </w:tcPr>
          <w:p w14:paraId="1EF2AB30" w14:textId="77777777" w:rsidR="004005AF" w:rsidRPr="005A3C16" w:rsidRDefault="004005AF" w:rsidP="00F01ED6">
            <w:pPr>
              <w:pStyle w:val="ProductList-OfferingBody"/>
              <w:jc w:val="center"/>
            </w:pPr>
            <w:r>
              <w:t>10%</w:t>
            </w:r>
          </w:p>
        </w:tc>
      </w:tr>
      <w:tr w:rsidR="004005AF" w:rsidRPr="00B44CF9" w14:paraId="435C1CD5" w14:textId="77777777" w:rsidTr="00277097">
        <w:tc>
          <w:tcPr>
            <w:tcW w:w="5400" w:type="dxa"/>
          </w:tcPr>
          <w:p w14:paraId="7355E825" w14:textId="77777777" w:rsidR="004005AF" w:rsidRPr="005A3C16" w:rsidRDefault="004005AF" w:rsidP="00F01ED6">
            <w:pPr>
              <w:pStyle w:val="ProductList-OfferingBody"/>
              <w:jc w:val="center"/>
            </w:pPr>
            <w:r>
              <w:t>&lt; 99%</w:t>
            </w:r>
          </w:p>
        </w:tc>
        <w:tc>
          <w:tcPr>
            <w:tcW w:w="5400" w:type="dxa"/>
          </w:tcPr>
          <w:p w14:paraId="41B7CDB9" w14:textId="77777777" w:rsidR="004005AF" w:rsidRPr="005A3C16" w:rsidRDefault="004005AF" w:rsidP="00F01ED6">
            <w:pPr>
              <w:pStyle w:val="ProductList-OfferingBody"/>
              <w:jc w:val="center"/>
            </w:pPr>
            <w:r>
              <w:t>25%</w:t>
            </w:r>
          </w:p>
        </w:tc>
      </w:tr>
    </w:tbl>
    <w:bookmarkStart w:id="274" w:name="_Toc52348932"/>
    <w:p w14:paraId="2775EB36"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154879A1" w14:textId="77777777" w:rsidR="00E76FE2" w:rsidRPr="00E76FE2" w:rsidRDefault="00E76FE2" w:rsidP="00844254">
      <w:pPr>
        <w:pStyle w:val="ProductList-Offering2Heading"/>
        <w:tabs>
          <w:tab w:val="clear" w:pos="360"/>
          <w:tab w:val="clear" w:pos="720"/>
          <w:tab w:val="clear" w:pos="1080"/>
        </w:tabs>
        <w:outlineLvl w:val="2"/>
      </w:pPr>
      <w:bookmarkStart w:id="275" w:name="_Toc239176477"/>
      <w:r>
        <w:t>Azure Fluid Relay</w:t>
      </w:r>
      <w:bookmarkEnd w:id="275"/>
    </w:p>
    <w:p w14:paraId="186ED242" w14:textId="77777777" w:rsidR="00E76FE2" w:rsidRPr="00E76FE2" w:rsidRDefault="00E76FE2" w:rsidP="00F01ED6">
      <w:pPr>
        <w:pStyle w:val="ProductList-Body"/>
        <w:rPr>
          <w:b/>
          <w:bCs/>
          <w:color w:val="00188F"/>
        </w:rPr>
      </w:pPr>
      <w:r>
        <w:rPr>
          <w:b/>
          <w:bCs/>
          <w:color w:val="00188F"/>
        </w:rPr>
        <w:t>Definições Adicionais</w:t>
      </w:r>
    </w:p>
    <w:p w14:paraId="6E84ED5D" w14:textId="6C53E6F5" w:rsidR="00E76FE2" w:rsidRDefault="00380305" w:rsidP="00F01ED6">
      <w:pPr>
        <w:pStyle w:val="ProductList-Body"/>
      </w:pPr>
      <w:r>
        <w:t>“</w:t>
      </w:r>
      <w:r w:rsidR="00E76FE2">
        <w:rPr>
          <w:b/>
          <w:bCs/>
          <w:color w:val="00188F"/>
        </w:rPr>
        <w:t>Máximo de Minutos Disponíveis</w:t>
      </w:r>
      <w:r>
        <w:t>”</w:t>
      </w:r>
      <w:r w:rsidR="00E76FE2">
        <w:t xml:space="preserve"> designa o total de minutos acumulados num Período Aplicável durante o qual pelo menos um recurso do Azure Fluid Relay esteve implementado numa subscrição do Microsoft Azure.</w:t>
      </w:r>
    </w:p>
    <w:p w14:paraId="2DE3F9A5" w14:textId="409D032E" w:rsidR="00E76FE2" w:rsidRDefault="00380305" w:rsidP="00F01ED6">
      <w:pPr>
        <w:pStyle w:val="ProductList-Body"/>
      </w:pPr>
      <w:r>
        <w:t>“</w:t>
      </w:r>
      <w:r w:rsidR="00E76FE2">
        <w:rPr>
          <w:b/>
          <w:bCs/>
          <w:color w:val="00188F"/>
        </w:rPr>
        <w:t>Período de Indisponibilidade</w:t>
      </w:r>
      <w:r>
        <w:t>”</w:t>
      </w:r>
      <w:r w:rsidR="00E76FE2">
        <w:t xml:space="preserve"> é o total acumulado de Máximo de Minutos Disponíveis num Período Aplicável durante o qual pelo menos um recurso do Azure Fluid Relay foi implementado, mas as chamadas de serviço para o recurso serviço Azure Fluid Relay estão indisponíveis.</w:t>
      </w:r>
    </w:p>
    <w:p w14:paraId="263517D6" w14:textId="26320E7D" w:rsidR="00E76FE2" w:rsidRDefault="00380305" w:rsidP="00F01ED6">
      <w:pPr>
        <w:pStyle w:val="ProductList-Body"/>
      </w:pPr>
      <w:r>
        <w:t>“</w:t>
      </w:r>
      <w:r w:rsidR="00E76FE2">
        <w:rPr>
          <w:b/>
          <w:bCs/>
          <w:color w:val="00188F"/>
        </w:rPr>
        <w:t>Percentagem de Período de Disponibilidade</w:t>
      </w:r>
      <w:r>
        <w:t>”</w:t>
      </w:r>
      <w:r w:rsidR="00E76FE2">
        <w:t xml:space="preserve"> A Percentagem de Período de Disponibilidade é calculada utilizando a seguinte fórmula:</w:t>
      </w:r>
    </w:p>
    <w:p w14:paraId="74504FF8" w14:textId="65979EEC" w:rsidR="00E76FE2" w:rsidRPr="00EF7CF9" w:rsidRDefault="00000000" w:rsidP="002B779A">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0582B5E" w14:textId="77777777" w:rsidR="00E76FE2" w:rsidRPr="004F2381" w:rsidRDefault="00E76FE2" w:rsidP="00F01ED6">
      <w:pPr>
        <w:pStyle w:val="ProductList-Body"/>
        <w:keepNext/>
        <w:rPr>
          <w:b/>
          <w:bCs/>
          <w:color w:val="00188F"/>
        </w:rPr>
      </w:pPr>
      <w:r>
        <w:rPr>
          <w:b/>
          <w:bCs/>
          <w:color w:val="00188F"/>
        </w:rPr>
        <w:t>Os seguintes Níveis de Serviço e Créditos de Serviço são aplicáveis à utilização que o Cliente faz do recurso do Azure Fluid Relay: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8BD83B4" w14:textId="77777777" w:rsidR="00E76FE2" w:rsidRPr="005A3C16" w:rsidRDefault="00E76FE2" w:rsidP="00F01ED6">
            <w:pPr>
              <w:pStyle w:val="ProductList-OfferingBody"/>
              <w:jc w:val="center"/>
              <w:rPr>
                <w:color w:val="FFFFFF" w:themeColor="background1"/>
              </w:rPr>
            </w:pPr>
            <w:r>
              <w:rPr>
                <w:color w:val="FFFFFF" w:themeColor="background1"/>
              </w:rPr>
              <w:t>Crédito de Serviço</w:t>
            </w:r>
          </w:p>
        </w:tc>
      </w:tr>
      <w:tr w:rsidR="00E76FE2" w:rsidRPr="00B44CF9" w14:paraId="014A3618" w14:textId="77777777" w:rsidTr="00277097">
        <w:tc>
          <w:tcPr>
            <w:tcW w:w="5400" w:type="dxa"/>
          </w:tcPr>
          <w:p w14:paraId="6F23F302" w14:textId="71E99B8D" w:rsidR="00E76FE2" w:rsidRPr="005A3C16" w:rsidRDefault="00E76FE2" w:rsidP="00F01ED6">
            <w:pPr>
              <w:pStyle w:val="ProductList-OfferingBody"/>
              <w:jc w:val="center"/>
            </w:pPr>
            <w:r>
              <w:t>&lt; 99,9%</w:t>
            </w:r>
          </w:p>
        </w:tc>
        <w:tc>
          <w:tcPr>
            <w:tcW w:w="5400" w:type="dxa"/>
          </w:tcPr>
          <w:p w14:paraId="512E88FD" w14:textId="77777777" w:rsidR="00E76FE2" w:rsidRPr="005A3C16" w:rsidRDefault="00E76FE2" w:rsidP="00F01ED6">
            <w:pPr>
              <w:pStyle w:val="ProductList-OfferingBody"/>
              <w:jc w:val="center"/>
            </w:pPr>
            <w:r>
              <w:t>10%</w:t>
            </w:r>
          </w:p>
        </w:tc>
      </w:tr>
      <w:tr w:rsidR="00E76FE2" w:rsidRPr="00B44CF9" w14:paraId="25315DD6" w14:textId="77777777" w:rsidTr="00277097">
        <w:tc>
          <w:tcPr>
            <w:tcW w:w="5400" w:type="dxa"/>
          </w:tcPr>
          <w:p w14:paraId="1709E494" w14:textId="77777777" w:rsidR="00E76FE2" w:rsidRPr="005A3C16" w:rsidRDefault="00E76FE2" w:rsidP="00F01ED6">
            <w:pPr>
              <w:pStyle w:val="ProductList-OfferingBody"/>
              <w:jc w:val="center"/>
            </w:pPr>
            <w:r>
              <w:t>&lt; 99%</w:t>
            </w:r>
          </w:p>
        </w:tc>
        <w:tc>
          <w:tcPr>
            <w:tcW w:w="5400" w:type="dxa"/>
          </w:tcPr>
          <w:p w14:paraId="7192BB89" w14:textId="77777777" w:rsidR="00E76FE2" w:rsidRPr="005A3C16" w:rsidRDefault="00E76FE2" w:rsidP="00F01ED6">
            <w:pPr>
              <w:pStyle w:val="ProductList-OfferingBody"/>
              <w:jc w:val="center"/>
            </w:pPr>
            <w:r>
              <w:t>25%</w:t>
            </w:r>
          </w:p>
        </w:tc>
      </w:tr>
    </w:tbl>
    <w:p w14:paraId="6345295B" w14:textId="77777777" w:rsidR="00445E4F" w:rsidRDefault="00445E4F" w:rsidP="002B1BBA">
      <w:pPr>
        <w:pStyle w:val="ProductList-Body"/>
        <w:spacing w:before="120"/>
        <w:rPr>
          <w:rFonts w:ascii="Calibri" w:hAnsi="Calibri" w:cs="Calibri"/>
        </w:rPr>
      </w:pPr>
      <w:r>
        <w:rPr>
          <w:rFonts w:ascii="Calibri" w:hAnsi="Calibri" w:cs="Calibri"/>
          <w:b/>
          <w:color w:val="00188F"/>
        </w:rPr>
        <w:t>Exceções de Nível de Serviço</w:t>
      </w:r>
      <w:r w:rsidRPr="004C060D">
        <w:rPr>
          <w:rFonts w:ascii="Calibri" w:eastAsia="Calibri" w:hAnsi="Calibri" w:cs="Arial"/>
          <w:b/>
          <w:bCs/>
          <w:color w:val="00188F"/>
          <w:kern w:val="2"/>
          <w:bdr w:val="none" w:sz="0" w:space="0" w:color="auto" w:frame="1"/>
        </w:rPr>
        <w:t>:</w:t>
      </w:r>
      <w:r>
        <w:rPr>
          <w:rFonts w:ascii="Calibri" w:hAnsi="Calibri" w:cs="Calibri"/>
        </w:rPr>
        <w:t xml:space="preserve"> </w:t>
      </w:r>
      <w:r>
        <w:rPr>
          <w:rFonts w:ascii="Calibri" w:eastAsia="Calibri" w:hAnsi="Calibri" w:cs="Calibri"/>
        </w:rPr>
        <w:t>Não é fornecido nenhum SLA para a Camada Basic</w:t>
      </w:r>
      <w:r>
        <w:t>.</w:t>
      </w:r>
    </w:p>
    <w:p w14:paraId="6BD04C81" w14:textId="77777777" w:rsidR="00BD69A1" w:rsidRPr="00EF7CF9" w:rsidRDefault="00BD69A1" w:rsidP="00BD69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18DF4C1" w14:textId="77777777" w:rsidR="004F2381" w:rsidRPr="004F2381" w:rsidRDefault="004F2381" w:rsidP="00F01ED6">
      <w:pPr>
        <w:pStyle w:val="ProductList-Offering2Heading"/>
        <w:keepNext/>
        <w:tabs>
          <w:tab w:val="clear" w:pos="360"/>
          <w:tab w:val="clear" w:pos="720"/>
          <w:tab w:val="clear" w:pos="1080"/>
        </w:tabs>
        <w:outlineLvl w:val="2"/>
      </w:pPr>
      <w:bookmarkStart w:id="276" w:name="_Toc239176478"/>
      <w:r>
        <w:t>Azure Front Door e Azure Front Door (clássico)</w:t>
      </w:r>
      <w:bookmarkEnd w:id="276"/>
    </w:p>
    <w:p w14:paraId="4DF36CA6" w14:textId="19E613CE" w:rsidR="004F2381" w:rsidRPr="004F2381" w:rsidRDefault="00EE6E3C" w:rsidP="00F01ED6">
      <w:pPr>
        <w:pStyle w:val="ProductList-Body"/>
        <w:rPr>
          <w:b/>
          <w:bCs/>
          <w:color w:val="00188F"/>
        </w:rPr>
      </w:pPr>
      <w:r>
        <w:rPr>
          <w:b/>
          <w:bCs/>
          <w:color w:val="00188F"/>
        </w:rPr>
        <w:t>Cálculo do Período de Disponibilidade e Níveis de Serviço para o Azure Front Door e o Azure Front Door (clássico)</w:t>
      </w:r>
    </w:p>
    <w:p w14:paraId="0E9C02A9" w14:textId="77777777" w:rsidR="004F2381" w:rsidRDefault="004F2381" w:rsidP="00F01ED6">
      <w:pPr>
        <w:pStyle w:val="ProductList-Body"/>
      </w:pPr>
      <w:r>
        <w:t>A Microsoft analisará os dados de qualquer sistema de medição independente razoável do ponto de vista comercial utilizado pelo Cliente.</w:t>
      </w:r>
    </w:p>
    <w:p w14:paraId="6175FD2A" w14:textId="77777777" w:rsidR="00E80B8A" w:rsidRDefault="00E80B8A" w:rsidP="00F01ED6">
      <w:pPr>
        <w:pStyle w:val="ProductList-Body"/>
      </w:pPr>
    </w:p>
    <w:p w14:paraId="418C34AA" w14:textId="0532A725" w:rsidR="004F2381" w:rsidRDefault="004F2381" w:rsidP="00F01ED6">
      <w:pPr>
        <w:pStyle w:val="ProductList-Body"/>
      </w:pPr>
      <w:r>
        <w:lastRenderedPageBreak/>
        <w:t>O Cliente tem de selecionar um conjunto de agentes da lista do sistema de medição de agentes padrão que estão normalmente disponíveis e</w:t>
      </w:r>
      <w:r w:rsidR="00C55C00">
        <w:t> </w:t>
      </w:r>
      <w:r>
        <w:t>representados em pelo menos cinco localizações diversas geograficamente nas maiores áreas metropolitanas do mundo (excluindo a República Popular da China).</w:t>
      </w:r>
    </w:p>
    <w:p w14:paraId="6FBDA486" w14:textId="77777777" w:rsidR="004F2381" w:rsidRDefault="004F2381">
      <w:pPr>
        <w:pStyle w:val="ProductList-Body"/>
        <w:numPr>
          <w:ilvl w:val="0"/>
          <w:numId w:val="9"/>
        </w:numPr>
      </w:pPr>
      <w:r>
        <w:t>Os testes do Sistema de Medição (frequência de pelo menos um teste a cada 5 minutos por agente) serão configurados para executar uma operação HTTP GET de acordo com o modelo abaixo:</w:t>
      </w:r>
    </w:p>
    <w:p w14:paraId="595DA6A2" w14:textId="77777777" w:rsidR="004F2381" w:rsidRDefault="004F2381">
      <w:pPr>
        <w:pStyle w:val="ProductList-Body"/>
        <w:numPr>
          <w:ilvl w:val="0"/>
          <w:numId w:val="9"/>
        </w:numPr>
      </w:pPr>
      <w:r>
        <w:t>Um ficheiro de teste será colocado no backend do Cliente (por exemplo, conta de Armazenamento do Azure).</w:t>
      </w:r>
    </w:p>
    <w:p w14:paraId="78CE7BBA" w14:textId="3F9AB887" w:rsidR="004F2381" w:rsidRDefault="004F2381">
      <w:pPr>
        <w:pStyle w:val="ProductList-Body"/>
        <w:numPr>
          <w:ilvl w:val="0"/>
          <w:numId w:val="9"/>
        </w:numPr>
      </w:pPr>
      <w:r>
        <w:t>A operação GET obterá o ficheiro através do Azure Front Door Service e do Azure Front Door (clássico) ao pedir o objeto do nome do</w:t>
      </w:r>
      <w:r w:rsidR="00B21533">
        <w:t> </w:t>
      </w:r>
      <w:r>
        <w:t>anfitrião correspondente ao nome de domínio do Microsoft Azure.</w:t>
      </w:r>
    </w:p>
    <w:p w14:paraId="246D7779" w14:textId="77777777" w:rsidR="004F2381" w:rsidRDefault="004F2381">
      <w:pPr>
        <w:pStyle w:val="ProductList-Body"/>
        <w:numPr>
          <w:ilvl w:val="0"/>
          <w:numId w:val="9"/>
        </w:numPr>
      </w:pPr>
      <w:r>
        <w:t>O ficheiro de teste cumprirá os seguintes critérios:</w:t>
      </w:r>
    </w:p>
    <w:p w14:paraId="168D1BD3" w14:textId="77777777" w:rsidR="004F2381" w:rsidRDefault="004F2381">
      <w:pPr>
        <w:pStyle w:val="ProductList-Body"/>
        <w:numPr>
          <w:ilvl w:val="0"/>
          <w:numId w:val="10"/>
        </w:numPr>
        <w:ind w:left="1080"/>
      </w:pPr>
      <w:r>
        <w:t>O objeto de teste será um ficheiro com um tamanho de, pelo menos, 50 KB.</w:t>
      </w:r>
    </w:p>
    <w:p w14:paraId="3E713057" w14:textId="121D57DC" w:rsidR="004F2381" w:rsidRDefault="004F2381">
      <w:pPr>
        <w:pStyle w:val="ProductList-Body"/>
        <w:numPr>
          <w:ilvl w:val="0"/>
          <w:numId w:val="10"/>
        </w:numPr>
        <w:ind w:left="1080"/>
      </w:pPr>
      <w:r>
        <w:t>Os dados não processados serão organizados de modo a eliminar quaisquer medições que sejam provenientes de um agente com problemas técnicos durante o período de medição.</w:t>
      </w:r>
    </w:p>
    <w:p w14:paraId="17584669" w14:textId="1F8E760D" w:rsidR="004F2381" w:rsidRPr="00A11775" w:rsidRDefault="00380305" w:rsidP="00F01ED6">
      <w:pPr>
        <w:pStyle w:val="ProductList-Body"/>
        <w:rPr>
          <w:szCs w:val="18"/>
        </w:rPr>
      </w:pPr>
      <w:r w:rsidRPr="00A11775">
        <w:rPr>
          <w:szCs w:val="18"/>
        </w:rPr>
        <w:t>“</w:t>
      </w:r>
      <w:r w:rsidR="004F2381" w:rsidRPr="00A11775">
        <w:rPr>
          <w:b/>
          <w:bCs/>
          <w:color w:val="00188F"/>
          <w:szCs w:val="18"/>
        </w:rPr>
        <w:t>Percentagem de Período de Disponibilidade</w:t>
      </w:r>
      <w:r w:rsidRPr="00A11775">
        <w:rPr>
          <w:szCs w:val="18"/>
        </w:rPr>
        <w:t>”</w:t>
      </w:r>
      <w:r w:rsidR="004F2381" w:rsidRPr="00A11775">
        <w:rPr>
          <w:szCs w:val="18"/>
        </w:rPr>
        <w:t xml:space="preserve"> é a percentagem de transações de HTTP em que o Azure Front Door e o Azure Front Door (clássico) respondem aos pedidos de cliente e fornecem o conteúdo pedido sem erros. A Percentagem de Período de Disponibilidade do Azure Front Door e</w:t>
      </w:r>
      <w:r w:rsidR="00823808">
        <w:rPr>
          <w:szCs w:val="18"/>
        </w:rPr>
        <w:t> </w:t>
      </w:r>
      <w:r w:rsidR="004F2381" w:rsidRPr="00A11775">
        <w:rPr>
          <w:szCs w:val="18"/>
        </w:rPr>
        <w:t>do Azure Front Door (clássico) é calculada como o número de vezes que o objeto foi fornecido com êxito a dividir pelo número total de pedidos (depois de remover os dados incorretos).</w:t>
      </w:r>
    </w:p>
    <w:p w14:paraId="3091E497" w14:textId="77777777" w:rsidR="004F2381" w:rsidRDefault="004F2381" w:rsidP="00F01ED6">
      <w:pPr>
        <w:pStyle w:val="ProductList-Body"/>
      </w:pPr>
    </w:p>
    <w:p w14:paraId="67FB4267" w14:textId="77777777" w:rsidR="004F2381" w:rsidRPr="004F2381" w:rsidRDefault="004F2381" w:rsidP="00F01ED6">
      <w:pPr>
        <w:pStyle w:val="ProductList-Body"/>
        <w:rPr>
          <w:b/>
          <w:bCs/>
          <w:color w:val="00188F"/>
        </w:rPr>
      </w:pPr>
      <w:r>
        <w:rPr>
          <w:b/>
          <w:bCs/>
          <w:color w:val="00188F"/>
        </w:rPr>
        <w:t>Os seguintes Níveis de Serviço e Créditos de Serviço são aplicáveis à utilização que o Cliente faz do Azure Front Door Service e Azure Front Door (clássico):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4F82E53" w14:textId="77777777" w:rsidR="004F2381" w:rsidRPr="005A3C16" w:rsidRDefault="004F2381" w:rsidP="00F01ED6">
            <w:pPr>
              <w:pStyle w:val="ProductList-OfferingBody"/>
              <w:jc w:val="center"/>
              <w:rPr>
                <w:color w:val="FFFFFF" w:themeColor="background1"/>
              </w:rPr>
            </w:pPr>
            <w:r>
              <w:rPr>
                <w:color w:val="FFFFFF" w:themeColor="background1"/>
              </w:rPr>
              <w:t>Crédito de Serviço</w:t>
            </w:r>
          </w:p>
        </w:tc>
      </w:tr>
      <w:tr w:rsidR="004F2381" w:rsidRPr="00B44CF9" w14:paraId="4B99269F" w14:textId="77777777" w:rsidTr="00277097">
        <w:tc>
          <w:tcPr>
            <w:tcW w:w="5400" w:type="dxa"/>
          </w:tcPr>
          <w:p w14:paraId="233930EB" w14:textId="61EBE563" w:rsidR="004F2381" w:rsidRPr="005A3C16" w:rsidRDefault="004F2381" w:rsidP="00F01ED6">
            <w:pPr>
              <w:pStyle w:val="ProductList-OfferingBody"/>
              <w:jc w:val="center"/>
            </w:pPr>
            <w:r>
              <w:t>&lt; 99,99%</w:t>
            </w:r>
          </w:p>
        </w:tc>
        <w:tc>
          <w:tcPr>
            <w:tcW w:w="5400" w:type="dxa"/>
          </w:tcPr>
          <w:p w14:paraId="64166E7A" w14:textId="77777777" w:rsidR="004F2381" w:rsidRPr="005A3C16" w:rsidRDefault="004F2381" w:rsidP="00F01ED6">
            <w:pPr>
              <w:pStyle w:val="ProductList-OfferingBody"/>
              <w:jc w:val="center"/>
            </w:pPr>
            <w:r>
              <w:t>10%</w:t>
            </w:r>
          </w:p>
        </w:tc>
      </w:tr>
      <w:tr w:rsidR="004F2381" w:rsidRPr="00B44CF9" w14:paraId="3D5E3389" w14:textId="77777777" w:rsidTr="00277097">
        <w:tc>
          <w:tcPr>
            <w:tcW w:w="5400" w:type="dxa"/>
          </w:tcPr>
          <w:p w14:paraId="4D6B759B" w14:textId="7559920F" w:rsidR="004F2381" w:rsidRPr="005A3C16" w:rsidRDefault="004F2381" w:rsidP="00F01ED6">
            <w:pPr>
              <w:pStyle w:val="ProductList-OfferingBody"/>
              <w:jc w:val="center"/>
            </w:pPr>
            <w:r>
              <w:t>&lt; 99,9%</w:t>
            </w:r>
          </w:p>
        </w:tc>
        <w:tc>
          <w:tcPr>
            <w:tcW w:w="5400" w:type="dxa"/>
          </w:tcPr>
          <w:p w14:paraId="2E8B9EF7" w14:textId="77777777" w:rsidR="004F2381" w:rsidRPr="005A3C16" w:rsidRDefault="004F2381" w:rsidP="00F01ED6">
            <w:pPr>
              <w:pStyle w:val="ProductList-OfferingBody"/>
              <w:jc w:val="center"/>
            </w:pPr>
            <w:r>
              <w:t>25%</w:t>
            </w:r>
          </w:p>
        </w:tc>
      </w:tr>
    </w:tbl>
    <w:p w14:paraId="00D3F7B1"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4D9DDFE" w14:textId="77777777" w:rsidR="00BA2ACE" w:rsidRPr="00BA2ACE" w:rsidRDefault="00BA2ACE" w:rsidP="00F01ED6">
      <w:pPr>
        <w:pStyle w:val="ProductList-Offering2Heading"/>
        <w:keepNext/>
        <w:tabs>
          <w:tab w:val="clear" w:pos="360"/>
          <w:tab w:val="clear" w:pos="720"/>
          <w:tab w:val="clear" w:pos="1080"/>
        </w:tabs>
        <w:outlineLvl w:val="2"/>
      </w:pPr>
      <w:bookmarkStart w:id="277" w:name="_Toc239176479"/>
      <w:r>
        <w:t>Funções do Azure</w:t>
      </w:r>
      <w:bookmarkEnd w:id="277"/>
    </w:p>
    <w:p w14:paraId="052624BB" w14:textId="77777777" w:rsidR="00BA2ACE" w:rsidRPr="00BA2ACE" w:rsidRDefault="00BA2ACE" w:rsidP="00F01ED6">
      <w:pPr>
        <w:pStyle w:val="ProductList-Body"/>
        <w:rPr>
          <w:b/>
          <w:bCs/>
          <w:color w:val="00188F"/>
        </w:rPr>
      </w:pPr>
      <w:r>
        <w:rPr>
          <w:b/>
          <w:bCs/>
          <w:color w:val="00188F"/>
        </w:rPr>
        <w:t>Definições Adicionais</w:t>
      </w:r>
    </w:p>
    <w:p w14:paraId="235BCA0A" w14:textId="3C494D18" w:rsidR="00BA2ACE" w:rsidRDefault="00380305" w:rsidP="002B779A">
      <w:pPr>
        <w:pStyle w:val="ProductList-Body"/>
      </w:pPr>
      <w:r>
        <w:t>“</w:t>
      </w:r>
      <w:r w:rsidR="00BA2ACE">
        <w:rPr>
          <w:b/>
          <w:bCs/>
          <w:color w:val="00188F"/>
        </w:rPr>
        <w:t>Aplicação de Funções</w:t>
      </w:r>
      <w:r>
        <w:t>”</w:t>
      </w:r>
      <w:r w:rsidR="00BA2ACE">
        <w:t xml:space="preserve"> designa o conjunto de uma ou mais funções implementadas com um acionador (</w:t>
      </w:r>
      <w:r>
        <w:t>“</w:t>
      </w:r>
      <w:r w:rsidR="00BA2ACE">
        <w:t>trigger</w:t>
      </w:r>
      <w:r>
        <w:t>”</w:t>
      </w:r>
      <w:r w:rsidR="00BA2ACE">
        <w:t>) associado.</w:t>
      </w:r>
    </w:p>
    <w:p w14:paraId="4B85BC3C" w14:textId="058CB4EA" w:rsidR="00BA2ACE" w:rsidRPr="00BA2ACE" w:rsidRDefault="00EE6E3C" w:rsidP="002B779A">
      <w:pPr>
        <w:pStyle w:val="ProductList-Body"/>
        <w:rPr>
          <w:b/>
          <w:bCs/>
          <w:color w:val="00188F"/>
        </w:rPr>
      </w:pPr>
      <w:r>
        <w:rPr>
          <w:b/>
          <w:bCs/>
          <w:color w:val="00188F"/>
        </w:rPr>
        <w:t>Cálculo do Período de Disponibilidade e Níveis de Serviço para a Aplicação de Funções no Plano de Consumo</w:t>
      </w:r>
    </w:p>
    <w:p w14:paraId="64932D86" w14:textId="09A80AFB" w:rsidR="00BA2ACE" w:rsidRDefault="00380305" w:rsidP="002B779A">
      <w:pPr>
        <w:pStyle w:val="ProductList-Body"/>
      </w:pPr>
      <w:r>
        <w:t>“</w:t>
      </w:r>
      <w:r w:rsidR="00BA2ACE">
        <w:rPr>
          <w:b/>
          <w:bCs/>
          <w:color w:val="00188F"/>
        </w:rPr>
        <w:t>Total de Execuções Desencadeadas</w:t>
      </w:r>
      <w:r>
        <w:t>”</w:t>
      </w:r>
      <w:r w:rsidR="00BA2ACE">
        <w:t xml:space="preserve"> designa o número total de todas as execuções de Aplicações de Funções desencadeadas pelo Cliente numa dada subscrição da Microsoft Azure ao longo de Período Aplicável.</w:t>
      </w:r>
    </w:p>
    <w:p w14:paraId="1096786D" w14:textId="014F62FD" w:rsidR="00BA2ACE" w:rsidRPr="00E80B8A" w:rsidRDefault="00380305" w:rsidP="002B779A">
      <w:pPr>
        <w:pStyle w:val="ProductList-Body"/>
        <w:jc w:val="both"/>
        <w:rPr>
          <w:spacing w:val="-3"/>
        </w:rPr>
      </w:pPr>
      <w:r>
        <w:rPr>
          <w:spacing w:val="-3"/>
        </w:rPr>
        <w:t>“</w:t>
      </w:r>
      <w:r w:rsidR="00BA2ACE" w:rsidRPr="00E80B8A">
        <w:rPr>
          <w:b/>
          <w:bCs/>
          <w:color w:val="00188F"/>
          <w:spacing w:val="-3"/>
        </w:rPr>
        <w:t>Execuções Indisponíveis</w:t>
      </w:r>
      <w:r>
        <w:rPr>
          <w:spacing w:val="-3"/>
        </w:rPr>
        <w:t>”</w:t>
      </w:r>
      <w:r w:rsidR="00BA2ACE" w:rsidRPr="00E80B8A">
        <w:rPr>
          <w:spacing w:val="-3"/>
        </w:rPr>
        <w:t xml:space="preserve"> designa o número total de execuções que falharam no Total de Execuções Desencadeadas. Existe uma falha na execução quando o registo do histórico da Aplicação de Funções não recebe quaisquer resultados nos 5 (cinco) minutos seguintes ao desencadeamento do acionador.</w:t>
      </w:r>
    </w:p>
    <w:p w14:paraId="689CE859" w14:textId="47B730B1" w:rsidR="00BA2ACE" w:rsidRDefault="00BA2ACE" w:rsidP="002B779A">
      <w:pPr>
        <w:pStyle w:val="ProductList-Body"/>
      </w:pPr>
      <w:r>
        <w:t xml:space="preserve">A </w:t>
      </w:r>
      <w:r w:rsidR="00380305">
        <w:t>“</w:t>
      </w:r>
      <w:r>
        <w:rPr>
          <w:b/>
          <w:bCs/>
          <w:color w:val="00188F"/>
        </w:rPr>
        <w:t>Percentagem de Período de Disponibilidade</w:t>
      </w:r>
      <w:r w:rsidR="00380305">
        <w:t>”</w:t>
      </w:r>
      <w:r>
        <w:t xml:space="preserve"> para as Aplicações de Funções no Plano de consumo é calculada ao deduzir ao Total de Execuções Desencadeadas o número de Execuções Indisponíveis e dividindo o resultado pelo Total de Execuções Desencadeadas multiplicado por 100.</w:t>
      </w:r>
    </w:p>
    <w:p w14:paraId="293767FF" w14:textId="11ACDEF3" w:rsidR="00BA2ACE" w:rsidRPr="00BA2ACE" w:rsidRDefault="00000000" w:rsidP="002B779A">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Execuções Acionadas-Execuções Indisponíveis</m:t>
              </m:r>
            </m:num>
            <m:den>
              <m:r>
                <m:rPr>
                  <m:nor/>
                </m:rPr>
                <w:rPr>
                  <w:rFonts w:ascii="Cambria Math" w:hAnsi="Cambria Math" w:cs="Tahoma"/>
                  <w:i/>
                  <w:iCs/>
                  <w:color w:val="000000" w:themeColor="text1"/>
                  <w:sz w:val="18"/>
                  <w:szCs w:val="18"/>
                </w:rPr>
                <m:t>Total de Execuções Acionadas</m:t>
              </m:r>
            </m:den>
          </m:f>
          <m:r>
            <w:rPr>
              <w:rFonts w:ascii="Cambria Math" w:hAnsi="Cambria Math" w:cs="Tahoma"/>
              <w:color w:val="000000" w:themeColor="text1"/>
              <w:sz w:val="18"/>
              <w:szCs w:val="18"/>
            </w:rPr>
            <m:t xml:space="preserve"> x 100</m:t>
          </m:r>
        </m:oMath>
      </m:oMathPara>
    </w:p>
    <w:p w14:paraId="4D9D763B" w14:textId="154342A9" w:rsidR="00BA2ACE" w:rsidRPr="00BA2ACE" w:rsidRDefault="00BA2ACE" w:rsidP="00F01ED6">
      <w:pPr>
        <w:pStyle w:val="ProductList-Body"/>
        <w:keepNext/>
        <w:rPr>
          <w:b/>
          <w:bCs/>
          <w:color w:val="00188F"/>
        </w:rPr>
      </w:pPr>
      <w:r>
        <w:rPr>
          <w:b/>
          <w:bCs/>
          <w:color w:val="00188F"/>
        </w:rPr>
        <w:t>Os Níveis de Serviço e Créditos de Serviço seguintes são aplicáveis à utilização que o Cliente faz da Aplicação de Funções no plano Consumo.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1CB9C4F" w14:textId="77777777" w:rsidR="00BA2ACE" w:rsidRPr="00EF7CF9" w:rsidRDefault="00BA2ACE" w:rsidP="00F01ED6">
            <w:pPr>
              <w:pStyle w:val="ProductList-OfferingBody"/>
              <w:jc w:val="center"/>
              <w:rPr>
                <w:color w:val="FFFFFF" w:themeColor="background1"/>
              </w:rPr>
            </w:pPr>
            <w:r>
              <w:rPr>
                <w:color w:val="FFFFFF" w:themeColor="background1"/>
              </w:rPr>
              <w:t>Crédito de Serviço</w:t>
            </w:r>
          </w:p>
        </w:tc>
      </w:tr>
      <w:tr w:rsidR="00BA2ACE" w:rsidRPr="00B44CF9" w14:paraId="66A68143" w14:textId="77777777" w:rsidTr="00277097">
        <w:trPr>
          <w:trHeight w:val="242"/>
        </w:trPr>
        <w:tc>
          <w:tcPr>
            <w:tcW w:w="5400" w:type="dxa"/>
          </w:tcPr>
          <w:p w14:paraId="2030FE8B" w14:textId="77777777" w:rsidR="00BA2ACE" w:rsidRPr="00EF7CF9" w:rsidRDefault="00BA2ACE" w:rsidP="00F01ED6">
            <w:pPr>
              <w:pStyle w:val="ProductList-OfferingBody"/>
              <w:jc w:val="center"/>
            </w:pPr>
            <w:r>
              <w:t>&lt; 99,95%</w:t>
            </w:r>
          </w:p>
        </w:tc>
        <w:tc>
          <w:tcPr>
            <w:tcW w:w="5400" w:type="dxa"/>
          </w:tcPr>
          <w:p w14:paraId="12A1DCF6" w14:textId="77777777" w:rsidR="00BA2ACE" w:rsidRPr="00EF7CF9" w:rsidRDefault="00BA2ACE" w:rsidP="00F01ED6">
            <w:pPr>
              <w:pStyle w:val="ProductList-OfferingBody"/>
              <w:jc w:val="center"/>
            </w:pPr>
            <w:r>
              <w:t>10%</w:t>
            </w:r>
          </w:p>
        </w:tc>
      </w:tr>
      <w:tr w:rsidR="00BA2ACE" w:rsidRPr="00B44CF9" w14:paraId="3194E7C9" w14:textId="77777777" w:rsidTr="00277097">
        <w:trPr>
          <w:trHeight w:val="249"/>
        </w:trPr>
        <w:tc>
          <w:tcPr>
            <w:tcW w:w="5400" w:type="dxa"/>
          </w:tcPr>
          <w:p w14:paraId="1CB9D483" w14:textId="77777777" w:rsidR="00BA2ACE" w:rsidRPr="00EF7CF9" w:rsidRDefault="00BA2ACE" w:rsidP="00F01ED6">
            <w:pPr>
              <w:pStyle w:val="ProductList-OfferingBody"/>
              <w:jc w:val="center"/>
            </w:pPr>
            <w:r>
              <w:t>&lt; 99%</w:t>
            </w:r>
          </w:p>
        </w:tc>
        <w:tc>
          <w:tcPr>
            <w:tcW w:w="5400" w:type="dxa"/>
          </w:tcPr>
          <w:p w14:paraId="201A7205" w14:textId="77777777" w:rsidR="00BA2ACE" w:rsidRPr="00EF7CF9" w:rsidRDefault="00BA2ACE" w:rsidP="00F01ED6">
            <w:pPr>
              <w:pStyle w:val="ProductList-OfferingBody"/>
              <w:jc w:val="center"/>
            </w:pPr>
            <w:r>
              <w:t>25%</w:t>
            </w:r>
          </w:p>
        </w:tc>
      </w:tr>
      <w:tr w:rsidR="00BA2ACE" w:rsidRPr="00B44CF9" w14:paraId="51850274" w14:textId="77777777" w:rsidTr="00277097">
        <w:trPr>
          <w:trHeight w:val="249"/>
        </w:trPr>
        <w:tc>
          <w:tcPr>
            <w:tcW w:w="5400" w:type="dxa"/>
          </w:tcPr>
          <w:p w14:paraId="388CC5D0" w14:textId="77777777" w:rsidR="00BA2ACE" w:rsidRPr="00EF7CF9" w:rsidRDefault="00BA2ACE" w:rsidP="00F01ED6">
            <w:pPr>
              <w:pStyle w:val="ProductList-OfferingBody"/>
              <w:jc w:val="center"/>
            </w:pPr>
            <w:r>
              <w:t>&lt; 95%</w:t>
            </w:r>
          </w:p>
        </w:tc>
        <w:tc>
          <w:tcPr>
            <w:tcW w:w="5400" w:type="dxa"/>
          </w:tcPr>
          <w:p w14:paraId="0B8D9475" w14:textId="77777777" w:rsidR="00BA2ACE" w:rsidRPr="00EF7CF9" w:rsidRDefault="00BA2ACE" w:rsidP="00F01ED6">
            <w:pPr>
              <w:pStyle w:val="ProductList-OfferingBody"/>
              <w:jc w:val="center"/>
            </w:pPr>
            <w:r>
              <w:t>100%</w:t>
            </w:r>
          </w:p>
        </w:tc>
      </w:tr>
    </w:tbl>
    <w:p w14:paraId="010BBF7A" w14:textId="77777777" w:rsidR="00E00488" w:rsidRPr="006629FF" w:rsidRDefault="00E00488" w:rsidP="00E00488">
      <w:pPr>
        <w:pStyle w:val="ProductList-Body"/>
        <w:keepNext/>
        <w:spacing w:before="120"/>
        <w:rPr>
          <w:rFonts w:ascii="Calibri" w:hAnsi="Calibri" w:cs="Calibri"/>
          <w:b/>
          <w:bCs/>
          <w:color w:val="00188F"/>
        </w:rPr>
      </w:pPr>
      <w:r>
        <w:rPr>
          <w:rFonts w:ascii="Calibri" w:hAnsi="Calibri" w:cs="Calibri"/>
          <w:b/>
          <w:bCs/>
          <w:color w:val="00188F"/>
        </w:rPr>
        <w:t>Cálculo do Período de Disponibilidade e Níveis de Serviço para as Aplicações de Funções no Plano de Consumo Flexível, Plano Premium ou Plano Serviço de Aplicações Dedicado</w:t>
      </w:r>
    </w:p>
    <w:p w14:paraId="3ABD5069" w14:textId="77777777" w:rsidR="00E00488" w:rsidRPr="006629FF" w:rsidRDefault="00E00488" w:rsidP="00E00488">
      <w:pPr>
        <w:pStyle w:val="ProductList-Body"/>
        <w:rPr>
          <w:rFonts w:ascii="Calibri" w:hAnsi="Calibri" w:cs="Calibri"/>
        </w:rPr>
      </w:pPr>
      <w:r>
        <w:rPr>
          <w:rFonts w:ascii="Calibri" w:hAnsi="Calibri" w:cs="Calibri"/>
        </w:rPr>
        <w:t>“</w:t>
      </w:r>
      <w:r>
        <w:rPr>
          <w:rFonts w:ascii="Calibri" w:hAnsi="Calibri" w:cs="Calibri"/>
          <w:b/>
          <w:bCs/>
          <w:color w:val="00188F"/>
        </w:rPr>
        <w:t>Minutos de Implementação</w:t>
      </w:r>
      <w:r>
        <w:rPr>
          <w:rFonts w:ascii="Calibri" w:hAnsi="Calibri" w:cs="Calibri"/>
        </w:rPr>
        <w:t>” designa o número total de minutos durante os quais uma determinada Aplicação de Função está disponível para acionamento durante um Período Aplicável. Os Minutos de Implementação são medidos com base no tempo total que o serviço está disponível para acionar uma execução de função e não com base no número potencial de execuções de funções que poderão ser acionadas durante um Período Aplicável.</w:t>
      </w:r>
    </w:p>
    <w:p w14:paraId="0BC2A29E" w14:textId="77777777" w:rsidR="00E00488" w:rsidRPr="006629FF" w:rsidRDefault="00E00488" w:rsidP="00E00488">
      <w:pPr>
        <w:pStyle w:val="ProductList-Body"/>
        <w:rPr>
          <w:rFonts w:ascii="Calibri" w:hAnsi="Calibri" w:cs="Calibri"/>
        </w:rPr>
      </w:pPr>
      <w:r>
        <w:rPr>
          <w:rFonts w:ascii="Calibri" w:hAnsi="Calibri" w:cs="Calibri"/>
        </w:rPr>
        <w:t>“</w:t>
      </w:r>
      <w:r>
        <w:rPr>
          <w:rFonts w:ascii="Calibri" w:hAnsi="Calibri" w:cs="Calibri"/>
          <w:b/>
          <w:bCs/>
          <w:color w:val="00188F"/>
        </w:rPr>
        <w:t>Máximo de Minutos Disponíveis</w:t>
      </w:r>
      <w:r>
        <w:rPr>
          <w:rFonts w:ascii="Calibri" w:hAnsi="Calibri" w:cs="Calibri"/>
        </w:rPr>
        <w:t>” designa a soma de todos os Minutos de Implementação para uma determinada Aplicação de Função implementada pelo Cliente numa determinada subscrição do Microsoft Azure durante um Período Aplicável.</w:t>
      </w:r>
    </w:p>
    <w:p w14:paraId="44E53781" w14:textId="77777777" w:rsidR="00E00488" w:rsidRPr="006629FF" w:rsidRDefault="00E00488" w:rsidP="00E00488">
      <w:pPr>
        <w:pStyle w:val="ProductList-Body"/>
        <w:rPr>
          <w:rFonts w:ascii="Calibri" w:hAnsi="Calibri" w:cs="Calibri"/>
        </w:rPr>
      </w:pPr>
      <w:r>
        <w:rPr>
          <w:rFonts w:ascii="Calibri" w:hAnsi="Calibri" w:cs="Calibri"/>
        </w:rPr>
        <w:t>“</w:t>
      </w:r>
      <w:r>
        <w:rPr>
          <w:rFonts w:ascii="Calibri" w:hAnsi="Calibri" w:cs="Calibri"/>
          <w:b/>
          <w:bCs/>
          <w:color w:val="00188F"/>
        </w:rPr>
        <w:t>Período de Indisponibilidade</w:t>
      </w:r>
      <w:r>
        <w:rPr>
          <w:rFonts w:ascii="Calibri" w:hAnsi="Calibri" w:cs="Calibri"/>
        </w:rPr>
        <w:t>” designa o número total de minutos durante o Máximo de Minutos Disponíveis durante os quais a Aplicação de Funções está indisponível para ser acionada. Um minuto é considerado indisponível para uma determinada Aplicação de Função quando não existe nenhuma conectividade entre o plano onde a Aplicação de Funções está alojada (o plano Consumo Flexível, o plano Premium ou o plano Serviço de Aplicações Dedicado) e o gateway de Internet da Microsoft.</w:t>
      </w:r>
    </w:p>
    <w:p w14:paraId="288F1ADE" w14:textId="77777777" w:rsidR="00E00488" w:rsidRDefault="00E00488" w:rsidP="00E00488">
      <w:pPr>
        <w:pStyle w:val="ProductList-Body"/>
        <w:rPr>
          <w:rFonts w:ascii="Calibri" w:hAnsi="Calibri" w:cs="Calibri"/>
        </w:rPr>
      </w:pPr>
      <w:r>
        <w:lastRenderedPageBreak/>
        <w:t xml:space="preserve">A </w:t>
      </w:r>
      <w:r>
        <w:rPr>
          <w:rFonts w:ascii="Calibri" w:hAnsi="Calibri" w:cs="Calibri"/>
        </w:rPr>
        <w:t>“</w:t>
      </w:r>
      <w:r>
        <w:rPr>
          <w:rFonts w:ascii="Calibri" w:hAnsi="Calibri" w:cs="Calibri"/>
          <w:b/>
          <w:bCs/>
          <w:color w:val="00188F"/>
        </w:rPr>
        <w:t>Percentagem de Período de Disponibilidade</w:t>
      </w:r>
      <w:r>
        <w:rPr>
          <w:rFonts w:ascii="Calibri" w:hAnsi="Calibri" w:cs="Calibri"/>
        </w:rPr>
        <w:t>” para as Aplicações de Funções no plano Consumo Flexível, no plano Premium ou no plano Serviço de Aplicações Dedicado é calculada como o Máximo de Minutos Disponíveis menos o Período de Indisponibilidade e dividido pelo resultado pelo Máximo de Minutos Disponíveis, multiplicado por 100.</w:t>
      </w:r>
    </w:p>
    <w:p w14:paraId="032F4CDF" w14:textId="0849581E" w:rsidR="00BA2ACE" w:rsidRPr="00EF7CF9" w:rsidRDefault="00000000" w:rsidP="009F16F1">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8444FF0" w14:textId="1763E357" w:rsidR="00BA2ACE" w:rsidRPr="00BA2ACE" w:rsidRDefault="00BA2ACE" w:rsidP="00F01ED6">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E8C7445" w14:textId="77777777" w:rsidR="00BA2ACE" w:rsidRPr="00EF7CF9" w:rsidRDefault="00BA2ACE" w:rsidP="00F01ED6">
            <w:pPr>
              <w:pStyle w:val="ProductList-OfferingBody"/>
              <w:jc w:val="center"/>
              <w:rPr>
                <w:color w:val="FFFFFF" w:themeColor="background1"/>
              </w:rPr>
            </w:pPr>
            <w:r>
              <w:rPr>
                <w:color w:val="FFFFFF" w:themeColor="background1"/>
              </w:rPr>
              <w:t>Crédito de Serviço</w:t>
            </w:r>
          </w:p>
        </w:tc>
      </w:tr>
      <w:tr w:rsidR="00BA2ACE" w:rsidRPr="00B44CF9" w14:paraId="3DF2A24F" w14:textId="77777777" w:rsidTr="00277097">
        <w:trPr>
          <w:trHeight w:val="242"/>
        </w:trPr>
        <w:tc>
          <w:tcPr>
            <w:tcW w:w="5400" w:type="dxa"/>
          </w:tcPr>
          <w:p w14:paraId="01A3A320" w14:textId="77777777" w:rsidR="00BA2ACE" w:rsidRPr="00EF7CF9" w:rsidRDefault="00BA2ACE" w:rsidP="00F01ED6">
            <w:pPr>
              <w:pStyle w:val="ProductList-OfferingBody"/>
              <w:jc w:val="center"/>
            </w:pPr>
            <w:r>
              <w:t>&lt; 99,95%</w:t>
            </w:r>
          </w:p>
        </w:tc>
        <w:tc>
          <w:tcPr>
            <w:tcW w:w="5400" w:type="dxa"/>
          </w:tcPr>
          <w:p w14:paraId="7DB5AE74" w14:textId="77777777" w:rsidR="00BA2ACE" w:rsidRPr="00EF7CF9" w:rsidRDefault="00BA2ACE" w:rsidP="00F01ED6">
            <w:pPr>
              <w:pStyle w:val="ProductList-OfferingBody"/>
              <w:jc w:val="center"/>
            </w:pPr>
            <w:r>
              <w:t>10%</w:t>
            </w:r>
          </w:p>
        </w:tc>
      </w:tr>
      <w:tr w:rsidR="00BA2ACE" w:rsidRPr="00B44CF9" w14:paraId="50785373" w14:textId="77777777" w:rsidTr="00277097">
        <w:trPr>
          <w:trHeight w:val="249"/>
        </w:trPr>
        <w:tc>
          <w:tcPr>
            <w:tcW w:w="5400" w:type="dxa"/>
          </w:tcPr>
          <w:p w14:paraId="204993FB" w14:textId="77777777" w:rsidR="00BA2ACE" w:rsidRPr="00EF7CF9" w:rsidRDefault="00BA2ACE" w:rsidP="00F01ED6">
            <w:pPr>
              <w:pStyle w:val="ProductList-OfferingBody"/>
              <w:jc w:val="center"/>
            </w:pPr>
            <w:r>
              <w:t>&lt; 99%</w:t>
            </w:r>
          </w:p>
        </w:tc>
        <w:tc>
          <w:tcPr>
            <w:tcW w:w="5400" w:type="dxa"/>
          </w:tcPr>
          <w:p w14:paraId="41BED183" w14:textId="77777777" w:rsidR="00BA2ACE" w:rsidRPr="00EF7CF9" w:rsidRDefault="00BA2ACE" w:rsidP="00F01ED6">
            <w:pPr>
              <w:pStyle w:val="ProductList-OfferingBody"/>
              <w:jc w:val="center"/>
            </w:pPr>
            <w:r>
              <w:t>25%</w:t>
            </w:r>
          </w:p>
        </w:tc>
      </w:tr>
      <w:tr w:rsidR="00BA2ACE" w:rsidRPr="00B44CF9" w14:paraId="194F7CFA" w14:textId="77777777" w:rsidTr="00277097">
        <w:trPr>
          <w:trHeight w:val="249"/>
        </w:trPr>
        <w:tc>
          <w:tcPr>
            <w:tcW w:w="5400" w:type="dxa"/>
          </w:tcPr>
          <w:p w14:paraId="332639D8" w14:textId="77777777" w:rsidR="00BA2ACE" w:rsidRPr="00EF7CF9" w:rsidRDefault="00BA2ACE" w:rsidP="001834DE">
            <w:pPr>
              <w:pStyle w:val="ProductList-OfferingBody"/>
              <w:jc w:val="center"/>
            </w:pPr>
            <w:r>
              <w:t>&lt; 95%</w:t>
            </w:r>
          </w:p>
        </w:tc>
        <w:tc>
          <w:tcPr>
            <w:tcW w:w="5400" w:type="dxa"/>
          </w:tcPr>
          <w:p w14:paraId="5C85EFDB" w14:textId="77777777" w:rsidR="00BA2ACE" w:rsidRPr="00EF7CF9" w:rsidRDefault="00BA2ACE" w:rsidP="001834DE">
            <w:pPr>
              <w:pStyle w:val="ProductList-OfferingBody"/>
              <w:jc w:val="center"/>
            </w:pPr>
            <w:r>
              <w:t>100%</w:t>
            </w:r>
          </w:p>
        </w:tc>
      </w:tr>
    </w:tbl>
    <w:bookmarkStart w:id="278" w:name="_Toc457821551"/>
    <w:bookmarkStart w:id="279" w:name="_Toc52348957"/>
    <w:p w14:paraId="76C1605A"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01F8FF7" w14:textId="32D18792" w:rsidR="00237F16" w:rsidRPr="00237F16" w:rsidRDefault="00237F16" w:rsidP="00237F16">
      <w:pPr>
        <w:pStyle w:val="ProductList-Offering2Heading"/>
        <w:tabs>
          <w:tab w:val="clear" w:pos="360"/>
          <w:tab w:val="clear" w:pos="720"/>
          <w:tab w:val="clear" w:pos="1080"/>
        </w:tabs>
        <w:outlineLvl w:val="2"/>
      </w:pPr>
      <w:bookmarkStart w:id="280" w:name="_Toc239176480"/>
      <w:r w:rsidRPr="00237F16">
        <w:t>Acesso Seguro Global</w:t>
      </w:r>
      <w:bookmarkEnd w:id="280"/>
    </w:p>
    <w:p w14:paraId="05E2EB19" w14:textId="77777777" w:rsidR="00237F16" w:rsidRPr="004C1229" w:rsidRDefault="00237F16" w:rsidP="00237F16">
      <w:pPr>
        <w:pStyle w:val="ProductList-Body"/>
        <w:rPr>
          <w:rFonts w:ascii="Calibri" w:hAnsi="Calibri" w:cs="Calibri"/>
          <w:b/>
          <w:color w:val="00188F"/>
        </w:rPr>
      </w:pPr>
      <w:r>
        <w:rPr>
          <w:rFonts w:ascii="Calibri" w:hAnsi="Calibri" w:cs="Calibri"/>
          <w:b/>
          <w:color w:val="00188F"/>
        </w:rPr>
        <w:t>Acesso Privado do Microsoft Entra e Acesso à Internet do Microsoft Entra</w:t>
      </w:r>
    </w:p>
    <w:p w14:paraId="6D61D501" w14:textId="77777777" w:rsidR="00237F16" w:rsidRPr="004C1229" w:rsidRDefault="00237F16" w:rsidP="00237F16">
      <w:pPr>
        <w:pStyle w:val="ProductList-Body"/>
        <w:rPr>
          <w:rFonts w:ascii="Calibri" w:hAnsi="Calibri" w:cs="Calibri"/>
          <w:b/>
          <w:color w:val="00188F"/>
        </w:rPr>
      </w:pPr>
      <w:r>
        <w:rPr>
          <w:rFonts w:ascii="Calibri" w:hAnsi="Calibri" w:cs="Calibri"/>
          <w:b/>
          <w:color w:val="00188F"/>
        </w:rPr>
        <w:t>Definições Adicionais</w:t>
      </w:r>
    </w:p>
    <w:p w14:paraId="5D3566AC" w14:textId="77777777" w:rsidR="00237F16" w:rsidRPr="004C1229" w:rsidRDefault="00237F16" w:rsidP="00237F16">
      <w:pPr>
        <w:pStyle w:val="ProductList-Body"/>
        <w:rPr>
          <w:rFonts w:ascii="Calibri" w:hAnsi="Calibri" w:cs="Calibri"/>
        </w:rPr>
      </w:pPr>
      <w:r>
        <w:rPr>
          <w:rFonts w:ascii="Calibri" w:hAnsi="Calibri" w:cs="Calibri"/>
          <w:b/>
          <w:color w:val="00188F"/>
        </w:rPr>
        <w:t xml:space="preserve">Período de Indisponibilidade: </w:t>
      </w:r>
      <w:r>
        <w:rPr>
          <w:rFonts w:ascii="Calibri" w:hAnsi="Calibri" w:cs="Calibri"/>
        </w:rPr>
        <w:t>Qualquer período de tempo em que o Acesso Seguro Global não esteja disponível para aceitar ou processar Transações ou Sessões. O período de indisponibilidade não inclui a indisponibilidade da interface de utilizador Web (IU), as API e o processamento de registos. Um determinado minuto é considerado indisponível se todas as tentativas de ligação ao GSA durante esse minuto falharem ou, mesmo que estabeleçam ligação, o GSA não consegue processar as Transações ou as Sessões.</w:t>
      </w:r>
    </w:p>
    <w:p w14:paraId="64B0B01F" w14:textId="77777777" w:rsidR="00237F16" w:rsidRPr="004C1229" w:rsidRDefault="00237F16" w:rsidP="00237F16">
      <w:pPr>
        <w:pStyle w:val="ProductList-Body"/>
        <w:rPr>
          <w:rFonts w:ascii="Calibri" w:hAnsi="Calibri" w:cs="Calibri"/>
        </w:rPr>
      </w:pPr>
      <w:r>
        <w:rPr>
          <w:rFonts w:ascii="Calibri" w:hAnsi="Calibri" w:cs="Calibri"/>
          <w:b/>
          <w:color w:val="00188F"/>
        </w:rPr>
        <w:t>Transação:</w:t>
      </w:r>
      <w:r>
        <w:rPr>
          <w:rFonts w:ascii="Calibri" w:hAnsi="Calibri" w:cs="Calibri"/>
        </w:rPr>
        <w:t xml:space="preserve"> Um pedido HTTP ou HTTPS enviado para ou a partir da utilização do GSA por um utilizador final.</w:t>
      </w:r>
    </w:p>
    <w:p w14:paraId="696174B8" w14:textId="77777777" w:rsidR="00237F16" w:rsidRPr="004C1229" w:rsidRDefault="00237F16" w:rsidP="00237F16">
      <w:pPr>
        <w:pStyle w:val="ProductList-Body"/>
        <w:rPr>
          <w:rFonts w:ascii="Calibri" w:hAnsi="Calibri" w:cs="Calibri"/>
        </w:rPr>
      </w:pPr>
      <w:r>
        <w:rPr>
          <w:rFonts w:ascii="Calibri" w:hAnsi="Calibri" w:cs="Calibri"/>
          <w:b/>
          <w:color w:val="00188F"/>
        </w:rPr>
        <w:t>Sessão:</w:t>
      </w:r>
      <w:r>
        <w:rPr>
          <w:rFonts w:ascii="Calibri" w:hAnsi="Calibri" w:cs="Calibri"/>
        </w:rPr>
        <w:t xml:space="preserve"> Qualquer pedido não HTTP ou não HTTPS para ou a partir da utilização do GSA por um utilizador final.</w:t>
      </w:r>
    </w:p>
    <w:p w14:paraId="5AC7A06B" w14:textId="77777777" w:rsidR="00237F16" w:rsidRPr="004C1229" w:rsidRDefault="00237F16" w:rsidP="00237F16">
      <w:pPr>
        <w:pStyle w:val="ProductList-Body"/>
        <w:rPr>
          <w:rFonts w:ascii="Calibri" w:hAnsi="Calibri" w:cs="Calibri"/>
        </w:rPr>
      </w:pPr>
      <w:r>
        <w:rPr>
          <w:rFonts w:ascii="Calibri" w:hAnsi="Calibri" w:cs="Calibri"/>
          <w:b/>
          <w:color w:val="00188F"/>
        </w:rPr>
        <w:t>Percentagem de Período de Disponibilidade:</w:t>
      </w:r>
      <w:r>
        <w:rPr>
          <w:rFonts w:ascii="Calibri" w:hAnsi="Calibri" w:cs="Calibri"/>
        </w:rPr>
        <w:t xml:space="preserve"> A Percentagem de Período de Disponibilidade é calculada através da seguinte fórmula:</w:t>
      </w:r>
    </w:p>
    <w:p w14:paraId="45AA3651" w14:textId="77777777" w:rsidR="00237F16" w:rsidRDefault="00000000" w:rsidP="009F16F1">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Minutos de utilizador - Período de Indisponibilidade</m:t>
              </m:r>
            </m:num>
            <m:den>
              <m:r>
                <m:rPr>
                  <m:nor/>
                </m:rPr>
                <w:rPr>
                  <w:rFonts w:ascii="Cambria Math" w:hAnsi="Cambria Math" w:cs="Tahoma"/>
                  <w:i/>
                  <w:szCs w:val="18"/>
                </w:rPr>
                <m:t>Minutos de Utilizador</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4DC8820F" w14:textId="77777777" w:rsidR="00237F16" w:rsidRPr="004C1229" w:rsidRDefault="00237F16" w:rsidP="00237F16">
      <w:pPr>
        <w:pStyle w:val="ProductList-Body"/>
        <w:rPr>
          <w:rFonts w:ascii="Calibri" w:hAnsi="Calibri" w:cs="Calibri"/>
        </w:rPr>
      </w:pPr>
      <w:r>
        <w:rPr>
          <w:rFonts w:ascii="Calibri" w:hAnsi="Calibri" w:cs="Calibri"/>
        </w:rP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44CEF9C5" w14:textId="77777777" w:rsidR="00237F16" w:rsidRPr="004C1229" w:rsidRDefault="00237F16" w:rsidP="00237F16">
      <w:pPr>
        <w:pStyle w:val="ProductList-Body"/>
        <w:rPr>
          <w:rFonts w:ascii="Calibri" w:hAnsi="Calibri" w:cs="Calibri"/>
          <w:b/>
          <w:color w:val="00188F"/>
        </w:rPr>
      </w:pPr>
      <w:r>
        <w:rPr>
          <w:rFonts w:ascii="Calibri" w:hAnsi="Calibri" w:cs="Calibri"/>
          <w:b/>
          <w:color w:val="00188F"/>
        </w:rPr>
        <w:t>Exceções de Nível de Serviço:</w:t>
      </w:r>
    </w:p>
    <w:p w14:paraId="5350E69D" w14:textId="77777777" w:rsidR="00237F16" w:rsidRPr="004C1229" w:rsidRDefault="00237F16">
      <w:pPr>
        <w:pStyle w:val="ProductList-Body"/>
        <w:numPr>
          <w:ilvl w:val="0"/>
          <w:numId w:val="30"/>
        </w:numPr>
        <w:rPr>
          <w:rFonts w:ascii="Calibri" w:hAnsi="Calibri" w:cs="Calibri"/>
        </w:rPr>
      </w:pPr>
      <w:r>
        <w:rPr>
          <w:rFonts w:ascii="Calibri" w:hAnsi="Calibri" w:cs="Calibri"/>
        </w:rPr>
        <w:t>Problemas de desempenho ou disponibilidade que resultam do seguinte:</w:t>
      </w:r>
    </w:p>
    <w:p w14:paraId="61ABEC06" w14:textId="77777777" w:rsidR="00237F16" w:rsidRPr="004C1229" w:rsidRDefault="00237F16">
      <w:pPr>
        <w:pStyle w:val="ProductList-Body"/>
        <w:numPr>
          <w:ilvl w:val="1"/>
          <w:numId w:val="30"/>
        </w:numPr>
        <w:rPr>
          <w:rFonts w:ascii="Calibri" w:hAnsi="Calibri" w:cs="Calibri"/>
        </w:rPr>
      </w:pPr>
      <w:r>
        <w:rPr>
          <w:rFonts w:ascii="Calibri" w:hAnsi="Calibri" w:cs="Calibri"/>
        </w:rPr>
        <w:t>tempo de convergência da rota se utilizar o protocolo BGP ou o Anycast;</w:t>
      </w:r>
    </w:p>
    <w:p w14:paraId="1B8A9DF7" w14:textId="77777777" w:rsidR="00237F16" w:rsidRPr="004C1229" w:rsidRDefault="00237F16">
      <w:pPr>
        <w:pStyle w:val="ProductList-Body"/>
        <w:numPr>
          <w:ilvl w:val="1"/>
          <w:numId w:val="30"/>
        </w:numPr>
        <w:rPr>
          <w:rFonts w:ascii="Calibri" w:hAnsi="Calibri" w:cs="Calibri"/>
        </w:rPr>
      </w:pPr>
      <w:r>
        <w:rPr>
          <w:rFonts w:ascii="Calibri" w:hAnsi="Calibri" w:cs="Calibri"/>
        </w:rPr>
        <w:t>eventos de dimensionamento e manutenção programada, incluindo o tempo de comutação durante eventos de alta disponibilidade.</w:t>
      </w:r>
    </w:p>
    <w:p w14:paraId="7673FE44" w14:textId="0D237DDC" w:rsidR="00237F16" w:rsidRPr="004C1229" w:rsidRDefault="00237F16" w:rsidP="00237F16">
      <w:pPr>
        <w:pStyle w:val="ProductList-Body"/>
        <w:rPr>
          <w:rFonts w:ascii="Calibri" w:hAnsi="Calibri" w:cs="Calibri"/>
        </w:rPr>
      </w:pPr>
      <w:r>
        <w:rPr>
          <w:rFonts w:ascii="Calibri" w:hAnsi="Calibri" w:cs="Calibri"/>
          <w:b/>
          <w:color w:val="00188F"/>
        </w:rPr>
        <w:t>Crédito de Serviço</w:t>
      </w:r>
      <w:r w:rsidRPr="00BD5086">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37F16" w:rsidRPr="00B44CF9" w14:paraId="3D01B61F" w14:textId="77777777" w:rsidTr="005B3710">
        <w:trPr>
          <w:tblHeader/>
        </w:trPr>
        <w:tc>
          <w:tcPr>
            <w:tcW w:w="5400" w:type="dxa"/>
            <w:shd w:val="clear" w:color="auto" w:fill="0072C6"/>
          </w:tcPr>
          <w:p w14:paraId="5AEE7B8D" w14:textId="77777777" w:rsidR="00237F16" w:rsidRPr="001B0267" w:rsidRDefault="00237F16" w:rsidP="005B3710">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0A06AC03" w14:textId="77777777" w:rsidR="00237F16" w:rsidRPr="001B0267" w:rsidRDefault="00237F16" w:rsidP="005B3710">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237F16" w:rsidRPr="00B44CF9" w14:paraId="7487755A" w14:textId="77777777" w:rsidTr="005B3710">
        <w:tc>
          <w:tcPr>
            <w:tcW w:w="5400" w:type="dxa"/>
          </w:tcPr>
          <w:p w14:paraId="05B4A499" w14:textId="77777777" w:rsidR="00237F16" w:rsidRPr="00F463CE" w:rsidRDefault="00237F16" w:rsidP="005B3710">
            <w:pPr>
              <w:pStyle w:val="ProductList-OfferingBody"/>
              <w:ind w:left="-144" w:right="-1008"/>
              <w:jc w:val="center"/>
              <w:rPr>
                <w:rFonts w:ascii="Calibri" w:hAnsi="Calibri" w:cs="Calibri"/>
                <w:szCs w:val="16"/>
              </w:rPr>
            </w:pPr>
            <w:r>
              <w:rPr>
                <w:rFonts w:ascii="Calibri" w:hAnsi="Calibri" w:cs="Calibri"/>
                <w:szCs w:val="16"/>
              </w:rPr>
              <w:t>&lt; 99,9%</w:t>
            </w:r>
          </w:p>
        </w:tc>
        <w:tc>
          <w:tcPr>
            <w:tcW w:w="5400" w:type="dxa"/>
          </w:tcPr>
          <w:p w14:paraId="7E1B332E" w14:textId="77777777" w:rsidR="00237F16" w:rsidRPr="00F463CE" w:rsidRDefault="00237F16" w:rsidP="005B3710">
            <w:pPr>
              <w:pStyle w:val="ProductList-OfferingBody"/>
              <w:ind w:left="-144" w:right="-1008"/>
              <w:jc w:val="center"/>
              <w:rPr>
                <w:rFonts w:ascii="Calibri" w:hAnsi="Calibri" w:cs="Calibri"/>
                <w:szCs w:val="16"/>
              </w:rPr>
            </w:pPr>
            <w:r>
              <w:rPr>
                <w:rFonts w:ascii="Calibri" w:hAnsi="Calibri" w:cs="Calibri"/>
                <w:szCs w:val="16"/>
              </w:rPr>
              <w:t>25%</w:t>
            </w:r>
          </w:p>
        </w:tc>
      </w:tr>
      <w:tr w:rsidR="00237F16" w:rsidRPr="00B44CF9" w14:paraId="60D7EA7B" w14:textId="77777777" w:rsidTr="005B3710">
        <w:trPr>
          <w:trHeight w:val="80"/>
        </w:trPr>
        <w:tc>
          <w:tcPr>
            <w:tcW w:w="5400" w:type="dxa"/>
          </w:tcPr>
          <w:p w14:paraId="0BADF177" w14:textId="77777777" w:rsidR="00237F16" w:rsidRPr="00F463CE" w:rsidRDefault="00237F16" w:rsidP="005B3710">
            <w:pPr>
              <w:pStyle w:val="ProductList-OfferingBody"/>
              <w:ind w:left="-144" w:right="-1008"/>
              <w:jc w:val="center"/>
              <w:rPr>
                <w:rFonts w:ascii="Calibri" w:hAnsi="Calibri" w:cs="Calibri"/>
                <w:szCs w:val="16"/>
              </w:rPr>
            </w:pPr>
            <w:r>
              <w:rPr>
                <w:rFonts w:ascii="Calibri" w:hAnsi="Calibri" w:cs="Calibri"/>
                <w:szCs w:val="16"/>
              </w:rPr>
              <w:t>&lt; 99%</w:t>
            </w:r>
          </w:p>
        </w:tc>
        <w:tc>
          <w:tcPr>
            <w:tcW w:w="5400" w:type="dxa"/>
          </w:tcPr>
          <w:p w14:paraId="2B1507C5" w14:textId="77777777" w:rsidR="00237F16" w:rsidRPr="00F463CE" w:rsidRDefault="00237F16" w:rsidP="005B3710">
            <w:pPr>
              <w:pStyle w:val="ProductList-OfferingBody"/>
              <w:ind w:left="-144" w:right="-1008"/>
              <w:jc w:val="center"/>
              <w:rPr>
                <w:rFonts w:ascii="Calibri" w:hAnsi="Calibri" w:cs="Calibri"/>
                <w:szCs w:val="16"/>
              </w:rPr>
            </w:pPr>
            <w:r>
              <w:rPr>
                <w:rFonts w:ascii="Calibri" w:hAnsi="Calibri" w:cs="Calibri"/>
                <w:szCs w:val="16"/>
              </w:rPr>
              <w:t>50%</w:t>
            </w:r>
          </w:p>
        </w:tc>
      </w:tr>
      <w:tr w:rsidR="00237F16" w:rsidRPr="00B44CF9" w14:paraId="008A5FD7" w14:textId="77777777" w:rsidTr="005B3710">
        <w:trPr>
          <w:trHeight w:val="80"/>
        </w:trPr>
        <w:tc>
          <w:tcPr>
            <w:tcW w:w="5400" w:type="dxa"/>
          </w:tcPr>
          <w:p w14:paraId="564B4953" w14:textId="77777777" w:rsidR="00237F16" w:rsidRPr="00F463CE" w:rsidRDefault="00237F16" w:rsidP="005B3710">
            <w:pPr>
              <w:pStyle w:val="ProductList-OfferingBody"/>
              <w:ind w:left="-144" w:right="-1008"/>
              <w:jc w:val="center"/>
              <w:rPr>
                <w:rFonts w:ascii="Calibri" w:hAnsi="Calibri" w:cs="Calibri"/>
                <w:szCs w:val="16"/>
              </w:rPr>
            </w:pPr>
            <w:r>
              <w:rPr>
                <w:rFonts w:ascii="Calibri" w:hAnsi="Calibri" w:cs="Calibri"/>
                <w:szCs w:val="16"/>
              </w:rPr>
              <w:t>&lt; 95%</w:t>
            </w:r>
          </w:p>
        </w:tc>
        <w:tc>
          <w:tcPr>
            <w:tcW w:w="5400" w:type="dxa"/>
          </w:tcPr>
          <w:p w14:paraId="2148CA6C" w14:textId="77777777" w:rsidR="00237F16" w:rsidRPr="00F463CE" w:rsidRDefault="00237F16" w:rsidP="005B3710">
            <w:pPr>
              <w:pStyle w:val="ProductList-OfferingBody"/>
              <w:ind w:left="-144" w:right="-1008"/>
              <w:jc w:val="center"/>
              <w:rPr>
                <w:rFonts w:ascii="Calibri" w:hAnsi="Calibri" w:cs="Calibri"/>
                <w:szCs w:val="16"/>
              </w:rPr>
            </w:pPr>
            <w:r>
              <w:rPr>
                <w:rFonts w:ascii="Calibri" w:hAnsi="Calibri" w:cs="Calibri"/>
                <w:szCs w:val="16"/>
              </w:rPr>
              <w:t>100%</w:t>
            </w:r>
          </w:p>
        </w:tc>
      </w:tr>
    </w:tbl>
    <w:p w14:paraId="7964656F" w14:textId="77777777" w:rsidR="00237F16" w:rsidRPr="00EF7CF9" w:rsidRDefault="00237F16" w:rsidP="00237F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D15C719" w14:textId="4393EDF5" w:rsidR="00C02802" w:rsidRPr="00EF7CF9" w:rsidRDefault="00C02802" w:rsidP="00F01ED6">
      <w:pPr>
        <w:pStyle w:val="ProductList-Offering2Heading"/>
        <w:tabs>
          <w:tab w:val="clear" w:pos="360"/>
          <w:tab w:val="clear" w:pos="720"/>
          <w:tab w:val="clear" w:pos="1080"/>
        </w:tabs>
        <w:outlineLvl w:val="2"/>
      </w:pPr>
      <w:bookmarkStart w:id="281" w:name="_Toc239176481"/>
      <w:r>
        <w:t>HDInsight</w:t>
      </w:r>
      <w:bookmarkEnd w:id="278"/>
      <w:bookmarkEnd w:id="279"/>
      <w:bookmarkEnd w:id="281"/>
    </w:p>
    <w:p w14:paraId="2784026B" w14:textId="77777777" w:rsidR="00C02802" w:rsidRPr="00EF7CF9" w:rsidRDefault="00C02802" w:rsidP="00F01ED6">
      <w:pPr>
        <w:pStyle w:val="ProductList-Body"/>
        <w:rPr>
          <w:b/>
          <w:color w:val="00188F"/>
        </w:rPr>
      </w:pPr>
      <w:r>
        <w:rPr>
          <w:b/>
          <w:color w:val="00188F"/>
        </w:rPr>
        <w:t>Definições Adicionais</w:t>
      </w:r>
      <w:r w:rsidRPr="00473DD3">
        <w:rPr>
          <w:b/>
          <w:color w:val="00188F"/>
        </w:rPr>
        <w:t>:</w:t>
      </w:r>
    </w:p>
    <w:p w14:paraId="0E5D91C6" w14:textId="35AD99E4" w:rsidR="00C02802" w:rsidRPr="00E80B8A" w:rsidRDefault="00380305" w:rsidP="009F16F1">
      <w:pPr>
        <w:pStyle w:val="ProductList-Body"/>
        <w:jc w:val="both"/>
        <w:rPr>
          <w:spacing w:val="-3"/>
        </w:rPr>
      </w:pPr>
      <w:r>
        <w:rPr>
          <w:spacing w:val="-3"/>
        </w:rPr>
        <w:t>“</w:t>
      </w:r>
      <w:r w:rsidR="00C02802" w:rsidRPr="00E80B8A">
        <w:rPr>
          <w:b/>
          <w:color w:val="00188F"/>
          <w:spacing w:val="-3"/>
        </w:rPr>
        <w:t>Gateway de Internet de Cluster</w:t>
      </w:r>
      <w:r>
        <w:rPr>
          <w:spacing w:val="-3"/>
        </w:rPr>
        <w:t>”</w:t>
      </w:r>
      <w:r w:rsidR="00C02802" w:rsidRPr="00E80B8A">
        <w:rPr>
          <w:spacing w:val="-3"/>
        </w:rPr>
        <w:t xml:space="preserve"> designa um conjunto de máquinas virtuais num Cluster HDInsight que liga todos os pedidos de conectividade ao Cluster.</w:t>
      </w:r>
    </w:p>
    <w:p w14:paraId="36AE16AC" w14:textId="67D62750" w:rsidR="00C02802" w:rsidRPr="00EF7CF9" w:rsidRDefault="00380305" w:rsidP="009F16F1">
      <w:pPr>
        <w:pStyle w:val="ProductList-Body"/>
      </w:pPr>
      <w:r>
        <w:t>“</w:t>
      </w:r>
      <w:r w:rsidR="00C02802">
        <w:rPr>
          <w:b/>
          <w:color w:val="00188F"/>
        </w:rPr>
        <w:t>Minutos de Implementação</w:t>
      </w:r>
      <w:r>
        <w:t>”</w:t>
      </w:r>
      <w:r w:rsidR="00C02802">
        <w:t xml:space="preserve"> designa o número total de minutos durante os quais um determinado Cluster HDInsight esteve implementado no Microsoft Azure.</w:t>
      </w:r>
    </w:p>
    <w:p w14:paraId="4FA891BC" w14:textId="4630A068" w:rsidR="00C02802" w:rsidRPr="00EF7CF9" w:rsidRDefault="00380305" w:rsidP="009F16F1">
      <w:pPr>
        <w:pStyle w:val="ProductList-Body"/>
      </w:pPr>
      <w:r>
        <w:t>“</w:t>
      </w:r>
      <w:r w:rsidR="00C02802">
        <w:rPr>
          <w:b/>
          <w:color w:val="00188F"/>
        </w:rPr>
        <w:t>Cluster HDInsight</w:t>
      </w:r>
      <w:r>
        <w:t>”</w:t>
      </w:r>
      <w:r w:rsidR="00C02802">
        <w:t xml:space="preserve"> ou </w:t>
      </w:r>
      <w:r>
        <w:t>“</w:t>
      </w:r>
      <w:r w:rsidR="00C02802">
        <w:rPr>
          <w:b/>
          <w:color w:val="00188F"/>
        </w:rPr>
        <w:t>Cluster</w:t>
      </w:r>
      <w:r>
        <w:t>”</w:t>
      </w:r>
      <w:r w:rsidR="00C02802">
        <w:t xml:space="preserve"> designa uma coleção de máquinas virtuais a executar uma única instância do Serviço HDInsight.</w:t>
      </w:r>
    </w:p>
    <w:p w14:paraId="10EBBD8E" w14:textId="648E6212" w:rsidR="00C02802" w:rsidRPr="00EF7CF9" w:rsidRDefault="00380305" w:rsidP="009F16F1">
      <w:pPr>
        <w:pStyle w:val="ProductList-Body"/>
      </w:pPr>
      <w:r>
        <w:t>“</w:t>
      </w:r>
      <w:r w:rsidR="00C02802">
        <w:rPr>
          <w:b/>
          <w:color w:val="00188F"/>
        </w:rPr>
        <w:t>Máximo de Minutos Disponíveis</w:t>
      </w:r>
      <w:r>
        <w:t>”</w:t>
      </w:r>
      <w:r w:rsidR="00C02802">
        <w:t xml:space="preserve"> designa a soma de todos os Minutos de Implementação em todos os Clusters implementados pelo Cliente numa determinada subscrição do Microsoft Azure durante um Período Aplicável.</w:t>
      </w:r>
    </w:p>
    <w:p w14:paraId="3ED3A569" w14:textId="5ED7516C" w:rsidR="00C02802" w:rsidRPr="00EF7CF9" w:rsidRDefault="00C02802" w:rsidP="009F16F1">
      <w:pPr>
        <w:pStyle w:val="ProductList-Body"/>
      </w:pPr>
      <w:r>
        <w:rPr>
          <w:b/>
          <w:color w:val="00188F"/>
        </w:rPr>
        <w:t>Período de Indisponibilidade</w:t>
      </w:r>
      <w:r w:rsidRPr="00473DD3">
        <w:rPr>
          <w:b/>
          <w:color w:val="00188F"/>
        </w:rPr>
        <w:t>:</w:t>
      </w:r>
      <w:r>
        <w:t xml:space="preserve"> O total de Minutos de Implementação acumulados quando o Serviço HDInsight está indisponível. Um minuto é</w:t>
      </w:r>
      <w:r w:rsidR="00D2642C">
        <w:t> </w:t>
      </w:r>
      <w:r>
        <w:t>considerado indisponível para um determinado Cluster se falharem todas as tentativas contínuas nesse minuto para estabelecer uma ligação com</w:t>
      </w:r>
      <w:r w:rsidR="00D2642C">
        <w:t> </w:t>
      </w:r>
      <w:r>
        <w:t>o</w:t>
      </w:r>
      <w:r w:rsidR="002A42D2">
        <w:t> </w:t>
      </w:r>
      <w:r>
        <w:t>Gateway de Internet de Cluster.</w:t>
      </w:r>
    </w:p>
    <w:p w14:paraId="587D8928" w14:textId="5BA0AF4C" w:rsidR="00C02802"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1D099391" w14:textId="2A2DC884" w:rsidR="00C02802" w:rsidRPr="00EF7CF9" w:rsidRDefault="00000000" w:rsidP="009F16F1">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36ED468" w14:textId="77777777" w:rsidR="00C02802" w:rsidRPr="00EF7CF9" w:rsidRDefault="00C02802"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7909096" w14:textId="77777777" w:rsidR="00C02802" w:rsidRPr="00EF7CF9" w:rsidRDefault="00C02802" w:rsidP="00F01ED6">
            <w:pPr>
              <w:pStyle w:val="ProductList-OfferingBody"/>
              <w:jc w:val="center"/>
              <w:rPr>
                <w:color w:val="FFFFFF" w:themeColor="background1"/>
              </w:rPr>
            </w:pPr>
            <w:r>
              <w:rPr>
                <w:color w:val="FFFFFF" w:themeColor="background1"/>
              </w:rPr>
              <w:t>Crédito de Serviço</w:t>
            </w:r>
          </w:p>
        </w:tc>
      </w:tr>
      <w:tr w:rsidR="00C02802" w:rsidRPr="00B44CF9" w14:paraId="21490783" w14:textId="77777777" w:rsidTr="00277097">
        <w:tc>
          <w:tcPr>
            <w:tcW w:w="5400" w:type="dxa"/>
          </w:tcPr>
          <w:p w14:paraId="33AA9AD9" w14:textId="77777777" w:rsidR="00C02802" w:rsidRPr="00EF7CF9" w:rsidRDefault="00C02802" w:rsidP="00F01ED6">
            <w:pPr>
              <w:pStyle w:val="ProductList-OfferingBody"/>
              <w:jc w:val="center"/>
            </w:pPr>
            <w:r>
              <w:t>&lt; 99,9%</w:t>
            </w:r>
          </w:p>
        </w:tc>
        <w:tc>
          <w:tcPr>
            <w:tcW w:w="5400" w:type="dxa"/>
          </w:tcPr>
          <w:p w14:paraId="3303510C" w14:textId="77777777" w:rsidR="00C02802" w:rsidRPr="00EF7CF9" w:rsidRDefault="00C02802" w:rsidP="00F01ED6">
            <w:pPr>
              <w:pStyle w:val="ProductList-OfferingBody"/>
              <w:jc w:val="center"/>
            </w:pPr>
            <w:r>
              <w:t>10%</w:t>
            </w:r>
          </w:p>
        </w:tc>
      </w:tr>
      <w:tr w:rsidR="00C02802" w:rsidRPr="00B44CF9" w14:paraId="482293F7" w14:textId="77777777" w:rsidTr="00277097">
        <w:trPr>
          <w:trHeight w:val="80"/>
        </w:trPr>
        <w:tc>
          <w:tcPr>
            <w:tcW w:w="5400" w:type="dxa"/>
          </w:tcPr>
          <w:p w14:paraId="09B1F161" w14:textId="77777777" w:rsidR="00C02802" w:rsidRPr="00EF7CF9" w:rsidRDefault="00C02802" w:rsidP="00F01ED6">
            <w:pPr>
              <w:pStyle w:val="ProductList-OfferingBody"/>
              <w:jc w:val="center"/>
            </w:pPr>
            <w:r>
              <w:t>&lt; 99%</w:t>
            </w:r>
          </w:p>
        </w:tc>
        <w:tc>
          <w:tcPr>
            <w:tcW w:w="5400" w:type="dxa"/>
          </w:tcPr>
          <w:p w14:paraId="0A85BFFA" w14:textId="77777777" w:rsidR="00C02802" w:rsidRPr="00EF7CF9" w:rsidRDefault="00C02802" w:rsidP="00F01ED6">
            <w:pPr>
              <w:pStyle w:val="ProductList-OfferingBody"/>
              <w:jc w:val="center"/>
            </w:pPr>
            <w:r>
              <w:t>25%</w:t>
            </w:r>
          </w:p>
        </w:tc>
      </w:tr>
    </w:tbl>
    <w:p w14:paraId="0C9C19CC"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F374F59" w14:textId="5874C7EB" w:rsidR="00E92C40" w:rsidRDefault="00E92C40" w:rsidP="000331B9">
      <w:pPr>
        <w:pStyle w:val="ProductList-Offering2Heading"/>
        <w:keepNext/>
        <w:tabs>
          <w:tab w:val="clear" w:pos="360"/>
        </w:tabs>
        <w:outlineLvl w:val="2"/>
      </w:pPr>
      <w:bookmarkStart w:id="282" w:name="_Toc239176482"/>
      <w:r>
        <w:t>Azure Health Data Services (excluindo o Serviço MedTech)</w:t>
      </w:r>
      <w:bookmarkEnd w:id="282"/>
    </w:p>
    <w:p w14:paraId="17EBEAAB" w14:textId="77777777" w:rsidR="00E92C40" w:rsidRDefault="00E92C40" w:rsidP="00F01ED6">
      <w:pPr>
        <w:pStyle w:val="ProductList-Body"/>
      </w:pPr>
      <w:r>
        <w:rPr>
          <w:b/>
          <w:color w:val="00188F"/>
        </w:rPr>
        <w:t>Definições Adicionais</w:t>
      </w:r>
      <w:r w:rsidRPr="00473DD3">
        <w:rPr>
          <w:b/>
          <w:color w:val="00188F"/>
        </w:rPr>
        <w:t>:</w:t>
      </w:r>
    </w:p>
    <w:p w14:paraId="509653B9" w14:textId="2E3EA685" w:rsidR="00E92C40" w:rsidRDefault="00380305" w:rsidP="00F01ED6">
      <w:pPr>
        <w:pStyle w:val="ProductList-Body"/>
      </w:pPr>
      <w:r>
        <w:t>“</w:t>
      </w:r>
      <w:r w:rsidR="00E92C40">
        <w:rPr>
          <w:b/>
          <w:color w:val="00188F"/>
        </w:rPr>
        <w:t>Total de Tentativas de Transação</w:t>
      </w:r>
      <w:r>
        <w:t>”</w:t>
      </w:r>
      <w:r w:rsidR="00E92C40">
        <w:t xml:space="preserve"> é o número total de pedidos da API autenticados efetuados pelo Cliente durante um Período Aplicável para uma determinada API de Health Data Services (excluindo o serviço MedTech). O Total de Tentativas de Transação não inclui os pedidos de API que devolvem um Código de Erro e que são repetidos continuamente num intervalo de cinco minutos após a receção do primeiro Código de Erro.</w:t>
      </w:r>
    </w:p>
    <w:p w14:paraId="3216C37D" w14:textId="61AC506C" w:rsidR="00E92C40" w:rsidRDefault="00380305" w:rsidP="00F01ED6">
      <w:pPr>
        <w:pStyle w:val="ProductList-Body"/>
      </w:pPr>
      <w:r>
        <w:t>“</w:t>
      </w:r>
      <w:r w:rsidR="00E92C40">
        <w:rPr>
          <w:b/>
          <w:color w:val="00188F"/>
        </w:rPr>
        <w:t>Transações com Falha</w:t>
      </w:r>
      <w:r>
        <w:t>”</w:t>
      </w:r>
      <w:r w:rsidR="00E92C40">
        <w:t xml:space="preserve"> é o conjunto de todos os pedidos para as APIs de Health Data Services (excluindo o serviço MedTech) no Total de Tentativas de Transação que devolve um Código de Erro. As Tentativas de Transação com Falha não incluem os pedidos de API que devolvem um</w:t>
      </w:r>
      <w:r w:rsidR="00EB63E8">
        <w:t> </w:t>
      </w:r>
      <w:r w:rsidR="00E92C40">
        <w:t>Código de Erro e que são repetidos continuamente num intervalo de cinco minutos após a receção do primeiro Código de Erro.</w:t>
      </w:r>
    </w:p>
    <w:p w14:paraId="2E565FBD" w14:textId="77777777" w:rsidR="00E92C40" w:rsidRPr="00547CB7" w:rsidRDefault="00E92C40" w:rsidP="00F01ED6">
      <w:pPr>
        <w:pStyle w:val="ProductList-Body"/>
        <w:rPr>
          <w:sz w:val="12"/>
          <w:szCs w:val="12"/>
        </w:rPr>
      </w:pPr>
    </w:p>
    <w:p w14:paraId="42A39A85" w14:textId="654E196D" w:rsidR="00E92C40" w:rsidRDefault="00EE6E3C" w:rsidP="00F01ED6">
      <w:pPr>
        <w:pStyle w:val="ProductList-Body"/>
        <w:rPr>
          <w:b/>
          <w:color w:val="00188F"/>
        </w:rPr>
      </w:pPr>
      <w:r>
        <w:rPr>
          <w:b/>
          <w:color w:val="00188F"/>
        </w:rPr>
        <w:t>Cálculo do Período de Disponibilidade</w:t>
      </w:r>
    </w:p>
    <w:p w14:paraId="196BB763" w14:textId="53CECA0D" w:rsidR="00E92C40" w:rsidRDefault="00AC48A7" w:rsidP="00F01ED6">
      <w:pPr>
        <w:pStyle w:val="ProductList-Body"/>
      </w:pPr>
      <w:r>
        <w:rPr>
          <w:b/>
          <w:color w:val="00188F"/>
        </w:rPr>
        <w:t>Percentagem de Período de Disponibilidade</w:t>
      </w:r>
      <w:r w:rsidRPr="00473DD3">
        <w:rPr>
          <w:b/>
          <w:color w:val="00188F"/>
        </w:rPr>
        <w:t>:</w:t>
      </w:r>
      <w:r>
        <w:t xml:space="preserve"> para cada serviço de API (excluindo o serviço MedTech) é calculado como o Total de Tentativas de</w:t>
      </w:r>
      <w:r w:rsidR="00397761">
        <w:t> </w:t>
      </w:r>
      <w:r>
        <w:t>Transação menos as Transações com Falha dividido pelo Total de Tentativas de Transação. A Percentagem de Período de Disponibilidade é</w:t>
      </w:r>
      <w:r w:rsidR="00397761">
        <w:t> </w:t>
      </w:r>
      <w:r>
        <w:t>representada pela seguinte fórmula:</w:t>
      </w:r>
    </w:p>
    <w:p w14:paraId="546706FD" w14:textId="77777777" w:rsidR="00E92C40" w:rsidRPr="00547CB7" w:rsidRDefault="00E92C40" w:rsidP="00F01ED6">
      <w:pPr>
        <w:pStyle w:val="ProductList-Body"/>
        <w:rPr>
          <w:sz w:val="12"/>
          <w:szCs w:val="12"/>
        </w:rPr>
      </w:pPr>
    </w:p>
    <w:p w14:paraId="0F83F054" w14:textId="37EC1970" w:rsidR="00E92C40" w:rsidRDefault="00000000" w:rsidP="007C4E48">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Tentativas de Transação - Transações com Falha</m:t>
              </m:r>
            </m:num>
            <m:den>
              <m:r>
                <m:rPr>
                  <m:nor/>
                </m:rPr>
                <w:rPr>
                  <w:rFonts w:ascii="Cambria Math" w:hAnsi="Cambria Math" w:cs="Calibri"/>
                  <w:i/>
                  <w:iCs/>
                  <w:sz w:val="18"/>
                  <w:szCs w:val="18"/>
                </w:rPr>
                <m:t>Total de Tentativas de Transação</m:t>
              </m:r>
            </m:den>
          </m:f>
          <m:r>
            <w:rPr>
              <w:rFonts w:ascii="Cambria Math" w:hAnsi="Cambria Math" w:cs="Calibri"/>
              <w:sz w:val="18"/>
              <w:szCs w:val="18"/>
            </w:rPr>
            <m:t xml:space="preserve"> x 100</m:t>
          </m:r>
        </m:oMath>
      </m:oMathPara>
    </w:p>
    <w:p w14:paraId="53A786E1" w14:textId="77777777" w:rsidR="00E92C40" w:rsidRPr="00011653" w:rsidRDefault="00E92C40" w:rsidP="00F01ED6">
      <w:pPr>
        <w:pStyle w:val="ProductList-Body"/>
        <w:rPr>
          <w:b/>
          <w:color w:val="00188F"/>
        </w:rPr>
      </w:pPr>
      <w:r w:rsidRPr="00011653">
        <w:rPr>
          <w:b/>
          <w:color w:val="00188F"/>
        </w:rPr>
        <w:t>Os seguintes Níveis de Serviço e Créditos de Serviço são aplicáveis ao Azure Health Data Services (excluindo o serviço MedTech):</w:t>
      </w:r>
    </w:p>
    <w:p w14:paraId="3B350080" w14:textId="77777777" w:rsidR="00E92C40" w:rsidRDefault="00E92C40" w:rsidP="00517CFE">
      <w:pPr>
        <w:pStyle w:val="ProductList-Body"/>
        <w:keepNext/>
        <w:keepLines/>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rsidP="00517CFE">
            <w:pPr>
              <w:pStyle w:val="ProductList-OfferingBody"/>
              <w:keepNext/>
              <w:keepLines/>
              <w:jc w:val="center"/>
              <w:rPr>
                <w:color w:val="FFFFFF" w:themeColor="background1"/>
                <w:kern w:val="2"/>
                <w14:ligatures w14:val="standardContextual"/>
              </w:rPr>
            </w:pPr>
            <w:r>
              <w:rPr>
                <w:color w:val="FFFFFF" w:themeColor="background1"/>
                <w14:ligatures w14:val="standardContextual"/>
              </w:rPr>
              <w:t>Percentagem de Período de Disponibilidade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rsidP="00517CFE">
            <w:pPr>
              <w:pStyle w:val="ProductList-OfferingBody"/>
              <w:keepNext/>
              <w:keepLines/>
              <w:jc w:val="center"/>
              <w:rPr>
                <w:color w:val="FFFFFF" w:themeColor="background1"/>
                <w:kern w:val="2"/>
                <w14:ligatures w14:val="standardContextual"/>
              </w:rPr>
            </w:pPr>
            <w:r>
              <w:rPr>
                <w:color w:val="FFFFFF" w:themeColor="background1"/>
                <w14:ligatures w14:val="standardContextual"/>
              </w:rPr>
              <w:t>Crédito de Serviço</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rsidP="00517CFE">
            <w:pPr>
              <w:pStyle w:val="ProductList-OfferingBody"/>
              <w:keepNext/>
              <w:keepLines/>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rsidP="00517CFE">
            <w:pPr>
              <w:pStyle w:val="ProductList-OfferingBody"/>
              <w:keepNext/>
              <w:keepLines/>
              <w:jc w:val="center"/>
              <w:rPr>
                <w:kern w:val="2"/>
                <w14:ligatures w14:val="standardContextual"/>
              </w:rPr>
            </w:pPr>
            <w:r>
              <w:rPr>
                <w14:ligatures w14:val="standardContextual"/>
              </w:rPr>
              <w:t>10%</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rsidP="00F01ED6">
            <w:pPr>
              <w:pStyle w:val="ProductList-OfferingBody"/>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rsidP="00F01ED6">
            <w:pPr>
              <w:pStyle w:val="ProductList-OfferingBody"/>
              <w:jc w:val="center"/>
              <w:rPr>
                <w:kern w:val="2"/>
                <w14:ligatures w14:val="standardContextual"/>
              </w:rPr>
            </w:pPr>
            <w:r>
              <w:rPr>
                <w14:ligatures w14:val="standardContextual"/>
              </w:rPr>
              <w:t>25%</w:t>
            </w:r>
          </w:p>
        </w:tc>
      </w:tr>
    </w:tbl>
    <w:p w14:paraId="621E8B82"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32B7AEC" w14:textId="0B9423B3" w:rsidR="008B23AE" w:rsidRPr="008B23AE" w:rsidRDefault="008B23AE" w:rsidP="00F01ED6">
      <w:pPr>
        <w:pStyle w:val="ProductList-Offering2Heading"/>
        <w:keepNext/>
        <w:tabs>
          <w:tab w:val="clear" w:pos="360"/>
          <w:tab w:val="clear" w:pos="720"/>
          <w:tab w:val="clear" w:pos="1080"/>
        </w:tabs>
        <w:outlineLvl w:val="2"/>
      </w:pPr>
      <w:bookmarkStart w:id="283" w:name="_Toc239176483"/>
      <w:r>
        <w:t>Health Bot</w:t>
      </w:r>
      <w:bookmarkEnd w:id="283"/>
    </w:p>
    <w:p w14:paraId="761783E0" w14:textId="77777777" w:rsidR="008B23AE" w:rsidRPr="008B23AE" w:rsidRDefault="008B23AE" w:rsidP="00F01ED6">
      <w:pPr>
        <w:pStyle w:val="ProductList-Body"/>
        <w:keepNext/>
        <w:rPr>
          <w:b/>
          <w:bCs/>
          <w:color w:val="00188F"/>
        </w:rPr>
      </w:pPr>
      <w:r>
        <w:rPr>
          <w:b/>
          <w:bCs/>
          <w:color w:val="00188F"/>
        </w:rPr>
        <w:t>Definições Adicionais</w:t>
      </w:r>
    </w:p>
    <w:p w14:paraId="7F2B27E6" w14:textId="7BB4BB45" w:rsidR="008B23AE" w:rsidRDefault="00380305" w:rsidP="00F01ED6">
      <w:pPr>
        <w:pStyle w:val="ProductList-Body"/>
      </w:pPr>
      <w:r>
        <w:t>“</w:t>
      </w:r>
      <w:r w:rsidR="008B23AE">
        <w:rPr>
          <w:b/>
          <w:bCs/>
          <w:color w:val="00188F"/>
        </w:rPr>
        <w:t>Canal Premium do Azure Health Bot</w:t>
      </w:r>
      <w:r>
        <w:t>”</w:t>
      </w:r>
      <w:r w:rsidR="008B23AE">
        <w:t xml:space="preserve"> designa um canal de Enquadramento de Bots na categoria premium. incluindo o Webchat e o Direct Line.</w:t>
      </w:r>
    </w:p>
    <w:p w14:paraId="55A4B3E0" w14:textId="7C7C6621" w:rsidR="008B23AE" w:rsidRDefault="00380305" w:rsidP="00F01ED6">
      <w:pPr>
        <w:pStyle w:val="ProductList-Body"/>
      </w:pPr>
      <w:r>
        <w:t>“</w:t>
      </w:r>
      <w:r w:rsidR="008B23AE">
        <w:rPr>
          <w:b/>
          <w:bCs/>
          <w:color w:val="00188F"/>
        </w:rPr>
        <w:t>Aplicação Cliente do Health Bot</w:t>
      </w:r>
      <w:r>
        <w:t>”</w:t>
      </w:r>
      <w:r w:rsidR="008B23AE">
        <w:t xml:space="preserve"> designa a aplicação de conversação virada para a internet do Health Bot do cliente, que está registada e</w:t>
      </w:r>
      <w:r w:rsidR="002F6051">
        <w:t> </w:t>
      </w:r>
      <w:r w:rsidR="008B23AE">
        <w:t>configurada para enviar e receber mensagens do Azure Health Bot Service.</w:t>
      </w:r>
    </w:p>
    <w:p w14:paraId="459B7380" w14:textId="32C1D06F" w:rsidR="008B23AE" w:rsidRDefault="00380305" w:rsidP="00F01ED6">
      <w:pPr>
        <w:pStyle w:val="ProductList-Body"/>
      </w:pPr>
      <w:r>
        <w:t>“</w:t>
      </w:r>
      <w:r w:rsidR="008B23AE">
        <w:rPr>
          <w:b/>
          <w:bCs/>
          <w:color w:val="00188F"/>
        </w:rPr>
        <w:t>Cliente do Health Bot</w:t>
      </w:r>
      <w:r>
        <w:t>”</w:t>
      </w:r>
      <w:r w:rsidR="008B23AE">
        <w:t xml:space="preserve"> é a parte destinada ao utilizador final de uma Aplicação Cliente do Health Bot.</w:t>
      </w:r>
    </w:p>
    <w:p w14:paraId="7098DA7D" w14:textId="6D1C2664" w:rsidR="008B23AE" w:rsidRDefault="00380305" w:rsidP="00F01ED6">
      <w:pPr>
        <w:pStyle w:val="ProductList-Body"/>
      </w:pPr>
      <w:r>
        <w:t>“</w:t>
      </w:r>
      <w:r w:rsidR="008B23AE">
        <w:rPr>
          <w:b/>
          <w:bCs/>
          <w:color w:val="00188F"/>
        </w:rPr>
        <w:t>Azure Health Bot</w:t>
      </w:r>
      <w:r>
        <w:t>”</w:t>
      </w:r>
      <w:r w:rsidR="008B23AE">
        <w:t xml:space="preserve"> designa uma plataforma para a criação, ligação, testes e implementação de assistentes virtuais inteligentes.</w:t>
      </w:r>
    </w:p>
    <w:p w14:paraId="0FD30F46" w14:textId="0C4A78F2" w:rsidR="008B23AE" w:rsidRDefault="00380305" w:rsidP="00F01ED6">
      <w:pPr>
        <w:pStyle w:val="ProductList-Body"/>
      </w:pPr>
      <w:r>
        <w:t>“</w:t>
      </w:r>
      <w:r w:rsidR="008B23AE">
        <w:rPr>
          <w:b/>
          <w:bCs/>
          <w:color w:val="00188F"/>
        </w:rPr>
        <w:t>Ponto Final da API de Canais do Azure Health Bot</w:t>
      </w:r>
      <w:r>
        <w:t>”</w:t>
      </w:r>
      <w:r w:rsidR="008B23AE">
        <w:t xml:space="preserve"> é um ponto final de API REST que o Cliente do Health Bot utiliza para a comunicação HTTP através dos Canais do Health Bot.</w:t>
      </w:r>
    </w:p>
    <w:p w14:paraId="51948353" w14:textId="3D5FA8B9" w:rsidR="008B23AE" w:rsidRDefault="00380305" w:rsidP="00F01ED6">
      <w:pPr>
        <w:pStyle w:val="ProductList-Body"/>
      </w:pPr>
      <w:r>
        <w:t>“</w:t>
      </w:r>
      <w:r w:rsidR="008B23AE">
        <w:rPr>
          <w:b/>
          <w:bCs/>
          <w:color w:val="00188F"/>
        </w:rPr>
        <w:t>Total de Pedidos de API</w:t>
      </w:r>
      <w:r>
        <w:t>”</w:t>
      </w:r>
      <w:r w:rsidR="008B23AE">
        <w:t xml:space="preserve"> designa o número total de pedidos de HTTP feitos pela Aplicação Cliente do Health Bot ou pelo Cliente do Health Bot para o Ponto Final da API de Canais do Azure Health Bot durante um Período Aplicável.</w:t>
      </w:r>
    </w:p>
    <w:p w14:paraId="26D47C0E" w14:textId="6394929D" w:rsidR="008B23AE" w:rsidRDefault="00380305" w:rsidP="00F01ED6">
      <w:pPr>
        <w:pStyle w:val="ProductList-Body"/>
      </w:pPr>
      <w:r>
        <w:t>“</w:t>
      </w:r>
      <w:r w:rsidR="008B23AE">
        <w:rPr>
          <w:b/>
          <w:bCs/>
          <w:color w:val="00188F"/>
        </w:rPr>
        <w:t>Pedidos de API com Falha</w:t>
      </w:r>
      <w:r>
        <w:t>”</w:t>
      </w:r>
      <w:r w:rsidR="008B23AE">
        <w:t xml:space="preserve"> designa o número total de pedidos no Total de Pedidos de API que devolvem um Código de Erro ou não respondem em 2 minutos.</w:t>
      </w:r>
    </w:p>
    <w:p w14:paraId="051FDBFA" w14:textId="4DA78F8B" w:rsidR="008B23AE" w:rsidRDefault="00380305" w:rsidP="00F01ED6">
      <w:pPr>
        <w:pStyle w:val="ProductList-Body"/>
      </w:pPr>
      <w:r>
        <w:t>“</w:t>
      </w:r>
      <w:r w:rsidR="008B23AE">
        <w:rPr>
          <w:b/>
          <w:bCs/>
          <w:color w:val="00188F"/>
        </w:rPr>
        <w:t>Percentagem de Período de Disponibilidade</w:t>
      </w:r>
      <w:r>
        <w:t>”</w:t>
      </w:r>
      <w:r w:rsidR="008B23AE">
        <w:t xml:space="preserve"> é calculada como o Total de Pedidos de API menos os Pedidos de API com Falha a dividir pelo Total de Pedidos de API multiplicado por 100.</w:t>
      </w:r>
    </w:p>
    <w:p w14:paraId="5CBB5BBD" w14:textId="677D4BEA" w:rsidR="008B23AE" w:rsidRDefault="00AC48A7" w:rsidP="00F01ED6">
      <w:pPr>
        <w:pStyle w:val="ProductList-Body"/>
      </w:pPr>
      <w:r>
        <w:rPr>
          <w:b/>
          <w:bCs/>
          <w:color w:val="00188F"/>
        </w:rPr>
        <w:t>Percentagem de Período de Disponibilidade:</w:t>
      </w:r>
      <w:r>
        <w:rPr>
          <w:color w:val="00188F"/>
        </w:rPr>
        <w:t xml:space="preserve"> </w:t>
      </w:r>
      <w:r>
        <w:t>A Percentagem de Período de Disponibilidade é calculada através da seguinte fórmula:</w:t>
      </w:r>
    </w:p>
    <w:p w14:paraId="0AA53576" w14:textId="77777777" w:rsidR="00766665" w:rsidRPr="00547CB7" w:rsidRDefault="00766665" w:rsidP="00F01ED6">
      <w:pPr>
        <w:pStyle w:val="ProductList-Body"/>
        <w:rPr>
          <w:sz w:val="12"/>
          <w:szCs w:val="12"/>
        </w:rPr>
      </w:pPr>
    </w:p>
    <w:p w14:paraId="7F009D58" w14:textId="1B0CF482" w:rsidR="00766665" w:rsidRPr="00EF7CF9" w:rsidRDefault="00000000" w:rsidP="007C4E48">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Pedidos da API-Pedidos da API com Falha</m:t>
              </m:r>
            </m:num>
            <m:den>
              <m:r>
                <m:rPr>
                  <m:nor/>
                </m:rPr>
                <w:rPr>
                  <w:rFonts w:ascii="Cambria Math" w:hAnsi="Cambria Math" w:cs="Tahoma"/>
                  <w:i/>
                  <w:sz w:val="18"/>
                  <w:szCs w:val="18"/>
                </w:rPr>
                <m:t>Total de Pedidos da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Default="008B23AE" w:rsidP="00F01ED6">
      <w:pPr>
        <w:pStyle w:val="ProductList-Body"/>
        <w:rPr>
          <w:b/>
          <w:bCs/>
          <w:color w:val="00188F"/>
        </w:rPr>
      </w:pPr>
      <w:r>
        <w:rPr>
          <w:b/>
          <w:bCs/>
          <w:color w:val="00188F"/>
        </w:rPr>
        <w:t>Os seguintes Níveis de Serviço e Créditos de Serviço são aplicáveis à utilização que o Cliente faz dos Canais do Microsoft Health Bot.</w:t>
      </w:r>
    </w:p>
    <w:p w14:paraId="3CA31307" w14:textId="77777777" w:rsidR="00984ECC" w:rsidRPr="00167E37" w:rsidRDefault="00984ECC" w:rsidP="00F01ED6">
      <w:pPr>
        <w:pStyle w:val="ProductList-Body"/>
        <w:rPr>
          <w:b/>
          <w:bCs/>
          <w:color w:val="00188F"/>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F01ED6">
            <w:pPr>
              <w:pStyle w:val="ProductList-OfferingBody"/>
              <w:jc w:val="center"/>
              <w:rPr>
                <w:color w:val="FFFFFF" w:themeColor="background1"/>
              </w:rPr>
            </w:pPr>
            <w:r>
              <w:rPr>
                <w:color w:val="FFFFFF" w:themeColor="background1"/>
              </w:rPr>
              <w:lastRenderedPageBreak/>
              <w:t>Percentagem de Período de Disponibilidade</w:t>
            </w:r>
          </w:p>
        </w:tc>
        <w:tc>
          <w:tcPr>
            <w:tcW w:w="5400" w:type="dxa"/>
            <w:shd w:val="clear" w:color="auto" w:fill="0072C6"/>
          </w:tcPr>
          <w:p w14:paraId="4D72F0BE" w14:textId="77777777" w:rsidR="009A72F9" w:rsidRPr="00EF7CF9" w:rsidRDefault="009A72F9" w:rsidP="00F01ED6">
            <w:pPr>
              <w:pStyle w:val="ProductList-OfferingBody"/>
              <w:jc w:val="center"/>
              <w:rPr>
                <w:color w:val="FFFFFF" w:themeColor="background1"/>
              </w:rPr>
            </w:pPr>
            <w:r>
              <w:rPr>
                <w:color w:val="FFFFFF" w:themeColor="background1"/>
              </w:rPr>
              <w:t>Crédito de Serviço</w:t>
            </w:r>
          </w:p>
        </w:tc>
      </w:tr>
      <w:tr w:rsidR="009A72F9" w:rsidRPr="00B44CF9" w14:paraId="3DC04967" w14:textId="77777777" w:rsidTr="00277097">
        <w:tc>
          <w:tcPr>
            <w:tcW w:w="5400" w:type="dxa"/>
          </w:tcPr>
          <w:p w14:paraId="55526F63" w14:textId="77777777" w:rsidR="009A72F9" w:rsidRPr="00EF7CF9" w:rsidRDefault="009A72F9" w:rsidP="00F01ED6">
            <w:pPr>
              <w:pStyle w:val="ProductList-OfferingBody"/>
              <w:jc w:val="center"/>
            </w:pPr>
            <w:r>
              <w:t>&lt; 99,9%</w:t>
            </w:r>
          </w:p>
        </w:tc>
        <w:tc>
          <w:tcPr>
            <w:tcW w:w="5400" w:type="dxa"/>
          </w:tcPr>
          <w:p w14:paraId="568815FC" w14:textId="77777777" w:rsidR="009A72F9" w:rsidRPr="00EF7CF9" w:rsidRDefault="009A72F9" w:rsidP="00F01ED6">
            <w:pPr>
              <w:pStyle w:val="ProductList-OfferingBody"/>
              <w:jc w:val="center"/>
            </w:pPr>
            <w:r>
              <w:t>10%</w:t>
            </w:r>
          </w:p>
        </w:tc>
      </w:tr>
      <w:tr w:rsidR="009A72F9" w:rsidRPr="00B44CF9" w14:paraId="3016D957" w14:textId="77777777" w:rsidTr="00277097">
        <w:trPr>
          <w:trHeight w:val="80"/>
        </w:trPr>
        <w:tc>
          <w:tcPr>
            <w:tcW w:w="5400" w:type="dxa"/>
          </w:tcPr>
          <w:p w14:paraId="14CCBAA1" w14:textId="77777777" w:rsidR="009A72F9" w:rsidRPr="00EF7CF9" w:rsidRDefault="009A72F9" w:rsidP="00F01ED6">
            <w:pPr>
              <w:pStyle w:val="ProductList-OfferingBody"/>
              <w:jc w:val="center"/>
            </w:pPr>
            <w:r>
              <w:t>&lt; 99%</w:t>
            </w:r>
          </w:p>
        </w:tc>
        <w:tc>
          <w:tcPr>
            <w:tcW w:w="5400" w:type="dxa"/>
          </w:tcPr>
          <w:p w14:paraId="0D206D89" w14:textId="77777777" w:rsidR="009A72F9" w:rsidRPr="00EF7CF9" w:rsidRDefault="009A72F9" w:rsidP="00F01ED6">
            <w:pPr>
              <w:pStyle w:val="ProductList-OfferingBody"/>
              <w:jc w:val="center"/>
            </w:pPr>
            <w:r>
              <w:t>25%</w:t>
            </w:r>
          </w:p>
        </w:tc>
      </w:tr>
    </w:tbl>
    <w:bookmarkStart w:id="284" w:name="_Toc457821532"/>
    <w:bookmarkStart w:id="285" w:name="_Toc52349006"/>
    <w:bookmarkStart w:id="286" w:name="AzureRightsManagementPremium"/>
    <w:p w14:paraId="0756A1D8"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93FBDBF" w14:textId="77777777" w:rsidR="003C3496" w:rsidRPr="00EF7CF9" w:rsidRDefault="003C3496" w:rsidP="00F01ED6">
      <w:pPr>
        <w:pStyle w:val="ProductList-Offering2Heading"/>
        <w:keepNext/>
        <w:tabs>
          <w:tab w:val="clear" w:pos="360"/>
          <w:tab w:val="clear" w:pos="720"/>
          <w:tab w:val="clear" w:pos="1080"/>
        </w:tabs>
        <w:outlineLvl w:val="2"/>
      </w:pPr>
      <w:bookmarkStart w:id="287" w:name="_Toc239176484"/>
      <w:r>
        <w:t>Proteção de Informação do Azure</w:t>
      </w:r>
      <w:bookmarkEnd w:id="284"/>
      <w:bookmarkEnd w:id="285"/>
      <w:bookmarkEnd w:id="287"/>
    </w:p>
    <w:bookmarkEnd w:id="286"/>
    <w:p w14:paraId="1D5F3E5D" w14:textId="36CE836E" w:rsidR="003C3496" w:rsidRPr="00EF7CF9" w:rsidRDefault="003C3496"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os utilizadores finais não conseguem criar ou consumir documentos e</w:t>
      </w:r>
      <w:r w:rsidR="00EB4506">
        <w:rPr>
          <w:szCs w:val="18"/>
        </w:rPr>
        <w:t> </w:t>
      </w:r>
      <w:r>
        <w:rPr>
          <w:szCs w:val="18"/>
        </w:rPr>
        <w:t>mensagens de e-mail de IRM.</w:t>
      </w:r>
    </w:p>
    <w:p w14:paraId="0D5DE02B" w14:textId="5DF68E16" w:rsidR="003C3496"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3E2F56A" w14:textId="51E42AEE" w:rsidR="003C3496" w:rsidRPr="00EF7CF9" w:rsidRDefault="00000000" w:rsidP="009F16F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24EDA320" w14:textId="1646DCCB" w:rsidR="003C3496" w:rsidRPr="00EF7CF9" w:rsidRDefault="00AC48A7" w:rsidP="00F01ED6">
      <w:pPr>
        <w:pStyle w:val="ProductList-Body"/>
        <w:ind w:right="117"/>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176B2706" w14:textId="77777777" w:rsidR="003C3496" w:rsidRPr="00EF7CF9" w:rsidRDefault="003C349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D544037" w14:textId="77777777" w:rsidR="003C3496" w:rsidRPr="00EF7CF9" w:rsidRDefault="003C3496" w:rsidP="00F01ED6">
            <w:pPr>
              <w:pStyle w:val="ProductList-OfferingBody"/>
              <w:jc w:val="center"/>
              <w:rPr>
                <w:color w:val="FFFFFF" w:themeColor="background1"/>
              </w:rPr>
            </w:pPr>
            <w:r>
              <w:rPr>
                <w:color w:val="FFFFFF" w:themeColor="background1"/>
              </w:rPr>
              <w:t>Crédito de Serviço</w:t>
            </w:r>
          </w:p>
        </w:tc>
      </w:tr>
      <w:tr w:rsidR="003C3496" w:rsidRPr="00B44CF9" w14:paraId="0B43A41B" w14:textId="77777777" w:rsidTr="00277097">
        <w:tc>
          <w:tcPr>
            <w:tcW w:w="5400" w:type="dxa"/>
          </w:tcPr>
          <w:p w14:paraId="75C11FE0" w14:textId="77777777" w:rsidR="003C3496" w:rsidRPr="00EF7CF9" w:rsidRDefault="003C3496" w:rsidP="00F01ED6">
            <w:pPr>
              <w:pStyle w:val="ProductList-OfferingBody"/>
              <w:jc w:val="center"/>
            </w:pPr>
            <w:r>
              <w:t>&lt; 99,9%</w:t>
            </w:r>
          </w:p>
        </w:tc>
        <w:tc>
          <w:tcPr>
            <w:tcW w:w="5400" w:type="dxa"/>
          </w:tcPr>
          <w:p w14:paraId="0CF0C1B3" w14:textId="77777777" w:rsidR="003C3496" w:rsidRPr="00EF7CF9" w:rsidRDefault="003C3496" w:rsidP="00F01ED6">
            <w:pPr>
              <w:pStyle w:val="ProductList-OfferingBody"/>
              <w:jc w:val="center"/>
            </w:pPr>
            <w:r>
              <w:t>25%</w:t>
            </w:r>
          </w:p>
        </w:tc>
      </w:tr>
      <w:tr w:rsidR="003C3496" w:rsidRPr="00B44CF9" w14:paraId="4FF1B6BE" w14:textId="77777777" w:rsidTr="00277097">
        <w:tc>
          <w:tcPr>
            <w:tcW w:w="5400" w:type="dxa"/>
          </w:tcPr>
          <w:p w14:paraId="3CFB5C80" w14:textId="77777777" w:rsidR="003C3496" w:rsidRPr="00EF7CF9" w:rsidRDefault="003C3496" w:rsidP="00F01ED6">
            <w:pPr>
              <w:pStyle w:val="ProductList-OfferingBody"/>
              <w:jc w:val="center"/>
            </w:pPr>
            <w:r>
              <w:t>&lt; 99%</w:t>
            </w:r>
          </w:p>
        </w:tc>
        <w:tc>
          <w:tcPr>
            <w:tcW w:w="5400" w:type="dxa"/>
          </w:tcPr>
          <w:p w14:paraId="1218794A" w14:textId="77777777" w:rsidR="003C3496" w:rsidRPr="00EF7CF9" w:rsidRDefault="003C3496" w:rsidP="00F01ED6">
            <w:pPr>
              <w:pStyle w:val="ProductList-OfferingBody"/>
              <w:jc w:val="center"/>
            </w:pPr>
            <w:r>
              <w:t>50%</w:t>
            </w:r>
          </w:p>
        </w:tc>
      </w:tr>
      <w:tr w:rsidR="003C3496" w:rsidRPr="00B44CF9" w14:paraId="50F1D114" w14:textId="77777777" w:rsidTr="00277097">
        <w:tc>
          <w:tcPr>
            <w:tcW w:w="5400" w:type="dxa"/>
          </w:tcPr>
          <w:p w14:paraId="06FC6CF8" w14:textId="77777777" w:rsidR="003C3496" w:rsidRPr="00EF7CF9" w:rsidRDefault="003C3496" w:rsidP="00F01ED6">
            <w:pPr>
              <w:pStyle w:val="ProductList-OfferingBody"/>
              <w:jc w:val="center"/>
            </w:pPr>
            <w:r>
              <w:t>&lt; 95%</w:t>
            </w:r>
          </w:p>
        </w:tc>
        <w:tc>
          <w:tcPr>
            <w:tcW w:w="5400" w:type="dxa"/>
          </w:tcPr>
          <w:p w14:paraId="1CED26AF" w14:textId="77777777" w:rsidR="003C3496" w:rsidRPr="00EF7CF9" w:rsidRDefault="003C3496" w:rsidP="00F01ED6">
            <w:pPr>
              <w:pStyle w:val="ProductList-OfferingBody"/>
              <w:jc w:val="center"/>
            </w:pPr>
            <w:r>
              <w:t>100%</w:t>
            </w:r>
          </w:p>
        </w:tc>
      </w:tr>
    </w:tbl>
    <w:bookmarkStart w:id="288" w:name="_Toc526859685"/>
    <w:bookmarkStart w:id="289" w:name="_Toc52348959"/>
    <w:p w14:paraId="4D390FA5"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136D2BC5" w14:textId="77777777" w:rsidR="007B07AE" w:rsidRPr="00EF7CF9" w:rsidRDefault="007B07AE" w:rsidP="00174388">
      <w:pPr>
        <w:pStyle w:val="ProductList-Offering2Heading"/>
        <w:keepNext/>
        <w:keepLines/>
        <w:tabs>
          <w:tab w:val="clear" w:pos="360"/>
          <w:tab w:val="clear" w:pos="720"/>
          <w:tab w:val="clear" w:pos="1080"/>
        </w:tabs>
        <w:outlineLvl w:val="2"/>
      </w:pPr>
      <w:bookmarkStart w:id="290" w:name="_Toc239176485"/>
      <w:r>
        <w:t>Azure IoT Central</w:t>
      </w:r>
      <w:bookmarkEnd w:id="288"/>
      <w:bookmarkEnd w:id="289"/>
      <w:bookmarkEnd w:id="290"/>
    </w:p>
    <w:p w14:paraId="5E34EF0B" w14:textId="77777777" w:rsidR="007B07AE" w:rsidRPr="00EF7CF9" w:rsidRDefault="007B07AE" w:rsidP="00174388">
      <w:pPr>
        <w:pStyle w:val="ProductList-Body"/>
        <w:keepNext/>
        <w:keepLines/>
        <w:rPr>
          <w:b/>
          <w:color w:val="00188F"/>
        </w:rPr>
      </w:pPr>
      <w:r>
        <w:rPr>
          <w:b/>
          <w:color w:val="00188F"/>
        </w:rPr>
        <w:t>Definições Adicionais</w:t>
      </w:r>
      <w:r w:rsidRPr="00473DD3">
        <w:rPr>
          <w:b/>
          <w:color w:val="00188F"/>
        </w:rPr>
        <w:t>:</w:t>
      </w:r>
    </w:p>
    <w:p w14:paraId="2FC367F7" w14:textId="56B4F6B4" w:rsidR="007B07AE" w:rsidRPr="00EF7CF9" w:rsidRDefault="00380305" w:rsidP="009F16F1">
      <w:pPr>
        <w:pStyle w:val="ProductList-Body"/>
      </w:pPr>
      <w:r>
        <w:t>“</w:t>
      </w:r>
      <w:r w:rsidR="007B07AE">
        <w:rPr>
          <w:b/>
          <w:color w:val="00188F"/>
        </w:rPr>
        <w:t>Minutos de Implementação</w:t>
      </w:r>
      <w:r>
        <w:t>”</w:t>
      </w:r>
      <w:r w:rsidR="007B07AE">
        <w:t xml:space="preserve"> designa o número total de minutos que uma determinada aplicação IoT Central foi implementada numa determinada Subscrição do Microsoft Azure, durante um Período Aplicável.</w:t>
      </w:r>
    </w:p>
    <w:p w14:paraId="767848F1" w14:textId="773AD5A8" w:rsidR="007B07AE" w:rsidRPr="00EF7CF9" w:rsidRDefault="00380305" w:rsidP="009F16F1">
      <w:pPr>
        <w:pStyle w:val="ProductList-Body"/>
      </w:pPr>
      <w:r>
        <w:t>“</w:t>
      </w:r>
      <w:r w:rsidR="007B07AE">
        <w:rPr>
          <w:b/>
          <w:color w:val="00188F"/>
        </w:rPr>
        <w:t>Operações de Identidade do Dispositivo</w:t>
      </w:r>
      <w:r>
        <w:t>”</w:t>
      </w:r>
      <w:r w:rsidR="007B07AE">
        <w:t xml:space="preserve"> designa as operações de criação, leitura, atualização e eliminação executadas nos dispositivos de uma aplicação do IoT Central.</w:t>
      </w:r>
    </w:p>
    <w:p w14:paraId="7F933A10" w14:textId="499A83BE" w:rsidR="007B07AE" w:rsidRPr="00EF7CF9" w:rsidRDefault="00380305" w:rsidP="009F16F1">
      <w:pPr>
        <w:pStyle w:val="ProductList-Body"/>
      </w:pPr>
      <w:r>
        <w:t>“</w:t>
      </w:r>
      <w:r w:rsidR="007B07AE">
        <w:rPr>
          <w:b/>
          <w:color w:val="00188F"/>
        </w:rPr>
        <w:t>Máximo de Minutos Disponíveis:</w:t>
      </w:r>
      <w:r>
        <w:t>”</w:t>
      </w:r>
      <w:r w:rsidR="007B07AE">
        <w:t xml:space="preserve"> designa a soma de todos os Minutos de Implementação em todas as aplicações de IoT Central implementadas, numa determinada subscrição do Microsoft Azure durante um Período Aplicável.</w:t>
      </w:r>
    </w:p>
    <w:p w14:paraId="4E276309" w14:textId="572263DD" w:rsidR="007B07AE" w:rsidRPr="00EF7CF9" w:rsidRDefault="00380305" w:rsidP="009F16F1">
      <w:pPr>
        <w:pStyle w:val="ProductList-Body"/>
      </w:pPr>
      <w:r>
        <w:t>“</w:t>
      </w:r>
      <w:r w:rsidR="007B07AE">
        <w:rPr>
          <w:b/>
          <w:color w:val="00188F"/>
        </w:rPr>
        <w:t>Mensagem</w:t>
      </w:r>
      <w:r>
        <w:t>”</w:t>
      </w:r>
      <w:r w:rsidR="007B07AE">
        <w:t xml:space="preserve"> designa qualquer conteúdo enviado por uma aplicação do IoT Central implementada para um dispositivo registado na aplicação do IoT Central ou recebido pela aplicação do IoT Central da parte de um dispositivo registado. </w:t>
      </w:r>
    </w:p>
    <w:p w14:paraId="5867CA80" w14:textId="1A0E2F96" w:rsidR="007B07AE" w:rsidRPr="00EF7CF9" w:rsidRDefault="007B07AE" w:rsidP="009F16F1">
      <w:pPr>
        <w:pStyle w:val="ProductList-Body"/>
      </w:pPr>
      <w:r>
        <w:rPr>
          <w:b/>
          <w:color w:val="00188F"/>
        </w:rPr>
        <w:t>Período de Indisponibilidade</w:t>
      </w:r>
      <w:r w:rsidRPr="00473DD3">
        <w:rPr>
          <w:b/>
          <w:color w:val="00188F"/>
        </w:rPr>
        <w:t>:</w:t>
      </w:r>
      <w:r>
        <w:t xml:space="preserve"> O total acumulado de Máximo de Minutos Disponíveis durante o qual o IoT Central está indisponível. Um minuto é</w:t>
      </w:r>
      <w:r w:rsidR="009B1D48">
        <w:t> </w:t>
      </w:r>
      <w:r>
        <w:t>considerado indisponível para um determinado IoT Central se todas as tentativas contínuas para enviar ou receber Mensagens ou executar Operações de Identidade do Dispositivo no IoT Central durante esse minuto devolverem um Código de Erro ou não resultarem num Código de Êxito no prazo de cinco minutos.</w:t>
      </w:r>
    </w:p>
    <w:p w14:paraId="75B7A6D8" w14:textId="59690245" w:rsidR="007B07AE" w:rsidRPr="00EF7CF9" w:rsidRDefault="00AC48A7" w:rsidP="009F16F1">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12F9185F" w14:textId="41F09970" w:rsidR="007B07AE" w:rsidRPr="00EF7CF9" w:rsidRDefault="00000000" w:rsidP="009F16F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7928BF49" w14:textId="77777777" w:rsidR="007B07AE" w:rsidRPr="00EF7CF9" w:rsidRDefault="007B07AE"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913DF97" w14:textId="77777777" w:rsidR="007B07AE" w:rsidRPr="005A3C16" w:rsidRDefault="007B07AE" w:rsidP="00F01ED6">
            <w:pPr>
              <w:pStyle w:val="ProductList-OfferingBody"/>
              <w:jc w:val="center"/>
              <w:rPr>
                <w:color w:val="FFFFFF" w:themeColor="background1"/>
              </w:rPr>
            </w:pPr>
            <w:r>
              <w:rPr>
                <w:color w:val="FFFFFF" w:themeColor="background1"/>
              </w:rPr>
              <w:t>Crédito de Serviço</w:t>
            </w:r>
          </w:p>
        </w:tc>
      </w:tr>
      <w:tr w:rsidR="007B07AE" w:rsidRPr="00B44CF9" w14:paraId="7890475B" w14:textId="77777777" w:rsidTr="00277097">
        <w:tc>
          <w:tcPr>
            <w:tcW w:w="5400" w:type="dxa"/>
          </w:tcPr>
          <w:p w14:paraId="17E84CE6" w14:textId="77777777" w:rsidR="007B07AE" w:rsidRPr="005A3C16" w:rsidRDefault="007B07AE" w:rsidP="00F01ED6">
            <w:pPr>
              <w:pStyle w:val="ProductList-OfferingBody"/>
              <w:jc w:val="center"/>
            </w:pPr>
            <w:r>
              <w:t>&lt; 99,9%</w:t>
            </w:r>
          </w:p>
        </w:tc>
        <w:tc>
          <w:tcPr>
            <w:tcW w:w="5400" w:type="dxa"/>
          </w:tcPr>
          <w:p w14:paraId="45DADE55" w14:textId="77777777" w:rsidR="007B07AE" w:rsidRPr="005A3C16" w:rsidRDefault="007B07AE" w:rsidP="00F01ED6">
            <w:pPr>
              <w:pStyle w:val="ProductList-OfferingBody"/>
              <w:jc w:val="center"/>
            </w:pPr>
            <w:r>
              <w:t>10%</w:t>
            </w:r>
          </w:p>
        </w:tc>
      </w:tr>
      <w:tr w:rsidR="007B07AE" w:rsidRPr="00B44CF9" w14:paraId="606AA7FC" w14:textId="77777777" w:rsidTr="00277097">
        <w:tc>
          <w:tcPr>
            <w:tcW w:w="5400" w:type="dxa"/>
          </w:tcPr>
          <w:p w14:paraId="520E5E27" w14:textId="77777777" w:rsidR="007B07AE" w:rsidRPr="005A3C16" w:rsidRDefault="007B07AE" w:rsidP="00F01ED6">
            <w:pPr>
              <w:pStyle w:val="ProductList-OfferingBody"/>
              <w:jc w:val="center"/>
            </w:pPr>
            <w:r>
              <w:t>&lt; 99%</w:t>
            </w:r>
          </w:p>
        </w:tc>
        <w:tc>
          <w:tcPr>
            <w:tcW w:w="5400" w:type="dxa"/>
          </w:tcPr>
          <w:p w14:paraId="0C3ECDD2" w14:textId="77777777" w:rsidR="007B07AE" w:rsidRPr="005A3C16" w:rsidRDefault="007B07AE" w:rsidP="00F01ED6">
            <w:pPr>
              <w:pStyle w:val="ProductList-OfferingBody"/>
              <w:jc w:val="center"/>
            </w:pPr>
            <w:r>
              <w:t>25%</w:t>
            </w:r>
          </w:p>
        </w:tc>
      </w:tr>
    </w:tbl>
    <w:bookmarkStart w:id="291" w:name="_Toc457821553"/>
    <w:bookmarkStart w:id="292" w:name="_Toc52348960"/>
    <w:bookmarkStart w:id="293" w:name="IoTHub"/>
    <w:p w14:paraId="1AD55E77"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B306458" w14:textId="2A8DFFC7" w:rsidR="00A33D05" w:rsidRPr="00EF7CF9" w:rsidRDefault="00A33D05" w:rsidP="00F01ED6">
      <w:pPr>
        <w:pStyle w:val="ProductList-Offering2Heading"/>
        <w:tabs>
          <w:tab w:val="clear" w:pos="360"/>
          <w:tab w:val="clear" w:pos="720"/>
          <w:tab w:val="clear" w:pos="1080"/>
        </w:tabs>
        <w:outlineLvl w:val="2"/>
      </w:pPr>
      <w:bookmarkStart w:id="294" w:name="_Toc239176486"/>
      <w:r>
        <w:t>Hub IoT do Azure</w:t>
      </w:r>
      <w:bookmarkEnd w:id="291"/>
      <w:bookmarkEnd w:id="292"/>
      <w:bookmarkEnd w:id="294"/>
    </w:p>
    <w:bookmarkEnd w:id="293"/>
    <w:p w14:paraId="0A867471" w14:textId="1FB08987" w:rsidR="00A33D05" w:rsidRDefault="00EE6E3C" w:rsidP="00F01ED6">
      <w:pPr>
        <w:pStyle w:val="ProductList-Body"/>
        <w:rPr>
          <w:b/>
          <w:color w:val="00188F"/>
        </w:rPr>
      </w:pPr>
      <w:r>
        <w:rPr>
          <w:b/>
          <w:color w:val="00188F"/>
        </w:rPr>
        <w:t>Cálculo do Período de Disponibilidade e Níveis de Serviço para Hubs de IoT</w:t>
      </w:r>
    </w:p>
    <w:p w14:paraId="632DB8E3" w14:textId="77777777" w:rsidR="00A33D05" w:rsidRPr="00EF7CF9" w:rsidRDefault="00A33D05" w:rsidP="00E329BD">
      <w:pPr>
        <w:pStyle w:val="ProductList-Body"/>
        <w:rPr>
          <w:b/>
          <w:color w:val="00188F"/>
        </w:rPr>
      </w:pPr>
      <w:r>
        <w:rPr>
          <w:b/>
          <w:color w:val="00188F"/>
        </w:rPr>
        <w:t>Definições Adicionais</w:t>
      </w:r>
      <w:r w:rsidRPr="00473DD3">
        <w:rPr>
          <w:b/>
          <w:color w:val="00188F"/>
        </w:rPr>
        <w:t>:</w:t>
      </w:r>
    </w:p>
    <w:p w14:paraId="6C1AD240" w14:textId="111F7539" w:rsidR="00A33D05" w:rsidRPr="00EF7CF9" w:rsidRDefault="00380305" w:rsidP="00E329BD">
      <w:pPr>
        <w:pStyle w:val="ProductList-Body"/>
      </w:pPr>
      <w:r>
        <w:t>“</w:t>
      </w:r>
      <w:r w:rsidR="00A33D05">
        <w:rPr>
          <w:b/>
          <w:color w:val="00188F"/>
        </w:rPr>
        <w:t>Minutos de Implementação</w:t>
      </w:r>
      <w:r>
        <w:t>”</w:t>
      </w:r>
      <w:r w:rsidR="00A33D05">
        <w:t xml:space="preserve"> designa o número total de minutos durante os quais um determinado Hub de IoT foi implementado no Microsoft Azure durante um Período Aplicável.</w:t>
      </w:r>
    </w:p>
    <w:p w14:paraId="5C00CFC5" w14:textId="2A5AFF51" w:rsidR="00A33D05" w:rsidRPr="00EF7CF9" w:rsidRDefault="00380305" w:rsidP="00E329BD">
      <w:pPr>
        <w:pStyle w:val="ProductList-Body"/>
      </w:pPr>
      <w:r>
        <w:t>“</w:t>
      </w:r>
      <w:r w:rsidR="00A33D05">
        <w:rPr>
          <w:b/>
          <w:color w:val="00188F"/>
        </w:rPr>
        <w:t>Operações de Identidade do Dispositivo</w:t>
      </w:r>
      <w:r>
        <w:t>”</w:t>
      </w:r>
      <w:r w:rsidR="00A33D05">
        <w:t xml:space="preserve"> designa a criação, a leitura, a atualização e a eliminação das operações executadas no registo de</w:t>
      </w:r>
      <w:r w:rsidR="009F6821">
        <w:t> </w:t>
      </w:r>
      <w:r w:rsidR="00A33D05">
        <w:t>identidade do dispositivo de um Hub de IoT.</w:t>
      </w:r>
    </w:p>
    <w:p w14:paraId="262F8F69" w14:textId="77A9CF9F" w:rsidR="00A33D05" w:rsidRPr="00EF7CF9" w:rsidRDefault="00380305" w:rsidP="00E329BD">
      <w:pPr>
        <w:pStyle w:val="ProductList-Body"/>
      </w:pPr>
      <w:r>
        <w:lastRenderedPageBreak/>
        <w:t>“</w:t>
      </w:r>
      <w:r w:rsidR="00A33D05">
        <w:rPr>
          <w:b/>
          <w:color w:val="00188F"/>
        </w:rPr>
        <w:t>Máximo de Minutos Disponíveis</w:t>
      </w:r>
      <w:r>
        <w:t>”</w:t>
      </w:r>
      <w:r w:rsidR="00A33D05">
        <w:t xml:space="preserve"> designa a soma de todos os Minutos de Implementação em todos os Hubs de IoT implementados pelo Cliente numa determinada subscrição do Microsoft Azure durante um Período Aplicável.</w:t>
      </w:r>
    </w:p>
    <w:p w14:paraId="099D76A1" w14:textId="5D8B4BD1" w:rsidR="00A33D05" w:rsidRPr="00EF7CF9" w:rsidRDefault="00380305" w:rsidP="00E329BD">
      <w:pPr>
        <w:pStyle w:val="ProductList-Body"/>
      </w:pPr>
      <w:r>
        <w:t>“</w:t>
      </w:r>
      <w:r w:rsidR="00A33D05">
        <w:rPr>
          <w:b/>
          <w:color w:val="00188F"/>
        </w:rPr>
        <w:t>Mensagem</w:t>
      </w:r>
      <w:r>
        <w:t>”</w:t>
      </w:r>
      <w:r w:rsidR="00A33D05">
        <w:t xml:space="preserve"> designa qualquer conteúdo enviado por um Hub de IoT implementado para um dispositivo registado no Hub de IoT ou recebido pelo</w:t>
      </w:r>
      <w:r w:rsidR="00C22FFB">
        <w:t> </w:t>
      </w:r>
      <w:r w:rsidR="00A33D05">
        <w:t xml:space="preserve">Hub de IoT da parte de um dispositivo registado e que utilize qualquer protocolo suportado pelo Serviço. </w:t>
      </w:r>
    </w:p>
    <w:p w14:paraId="78DCBCE7" w14:textId="3A1C7A7C" w:rsidR="00A33D05" w:rsidRPr="00EF7CF9" w:rsidRDefault="00A33D05" w:rsidP="00E329BD">
      <w:pPr>
        <w:pStyle w:val="ProductList-Body"/>
      </w:pPr>
      <w:r>
        <w:rPr>
          <w:b/>
          <w:color w:val="00188F"/>
        </w:rPr>
        <w:t>Período de Indisponibilidade</w:t>
      </w:r>
      <w:r w:rsidRPr="00473DD3">
        <w:rPr>
          <w:b/>
          <w:color w:val="00188F"/>
        </w:rPr>
        <w:t>:</w:t>
      </w:r>
      <w:r>
        <w:t xml:space="preserve"> O total acumulado de Minutos de Implementação, em todos os Hubs de IoT implementados numa determinada subscrição do Microsoft Azure, durante os quais o Hub de IoT está indisponível. Um minuto é considerado indisponível para um determinado Hub</w:t>
      </w:r>
      <w:r w:rsidR="00B63A53">
        <w:t> </w:t>
      </w:r>
      <w:r>
        <w:t>de IoT se todas as tentativas contínuas para enviar ou receber Mensagens ou executar Operações de Identidade do Dispositivo no Hub de</w:t>
      </w:r>
      <w:r w:rsidR="00B63A53">
        <w:t> </w:t>
      </w:r>
      <w:r>
        <w:t>IoT</w:t>
      </w:r>
      <w:r w:rsidR="00B63A53">
        <w:t> </w:t>
      </w:r>
      <w:r>
        <w:t>durante esse minuto devolverem um Código de Erro ou não resultarem num Código de Êxito no prazo de cinco minutos.</w:t>
      </w:r>
    </w:p>
    <w:p w14:paraId="4747CF85" w14:textId="3DB7A133" w:rsidR="00A33D05" w:rsidRPr="00EF7CF9" w:rsidRDefault="00AC48A7" w:rsidP="00E329BD">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1A06B07" w14:textId="3BF0F358" w:rsidR="00A33D05" w:rsidRPr="00EF7CF9" w:rsidRDefault="00000000" w:rsidP="00E329B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236CE39" w14:textId="77777777" w:rsidR="00A33D05" w:rsidRPr="00EF7CF9" w:rsidRDefault="00A33D05" w:rsidP="00F01ED6">
      <w:pPr>
        <w:pStyle w:val="ProductList-Body"/>
      </w:pPr>
      <w:r>
        <w:rPr>
          <w:b/>
          <w:color w:val="00188F"/>
        </w:rPr>
        <w:t>Os seguintes Níveis de Serviço e Créditos de Serviço são aplicáveis à utilização que o Cliente faz do Hub de IoT: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521AFEB" w14:textId="77777777" w:rsidR="00A33D05" w:rsidRPr="00EF7CF9" w:rsidRDefault="00A33D05" w:rsidP="00F01ED6">
            <w:pPr>
              <w:pStyle w:val="ProductList-OfferingBody"/>
              <w:jc w:val="center"/>
              <w:rPr>
                <w:color w:val="FFFFFF" w:themeColor="background1"/>
              </w:rPr>
            </w:pPr>
            <w:r>
              <w:rPr>
                <w:color w:val="FFFFFF" w:themeColor="background1"/>
              </w:rPr>
              <w:t>Crédito de Serviço</w:t>
            </w:r>
          </w:p>
        </w:tc>
      </w:tr>
      <w:tr w:rsidR="00A33D05" w:rsidRPr="00B44CF9" w14:paraId="0306810C" w14:textId="77777777" w:rsidTr="00277097">
        <w:tc>
          <w:tcPr>
            <w:tcW w:w="5400" w:type="dxa"/>
          </w:tcPr>
          <w:p w14:paraId="53D9273F" w14:textId="77777777" w:rsidR="00A33D05" w:rsidRPr="00EF7CF9" w:rsidRDefault="00A33D05" w:rsidP="00F01ED6">
            <w:pPr>
              <w:pStyle w:val="ProductList-OfferingBody"/>
              <w:jc w:val="center"/>
            </w:pPr>
            <w:r>
              <w:t>&lt; 99,9%</w:t>
            </w:r>
          </w:p>
        </w:tc>
        <w:tc>
          <w:tcPr>
            <w:tcW w:w="5400" w:type="dxa"/>
          </w:tcPr>
          <w:p w14:paraId="4CC37FB1" w14:textId="77777777" w:rsidR="00A33D05" w:rsidRPr="00EF7CF9" w:rsidRDefault="00A33D05" w:rsidP="00F01ED6">
            <w:pPr>
              <w:pStyle w:val="ProductList-OfferingBody"/>
              <w:jc w:val="center"/>
            </w:pPr>
            <w:r>
              <w:t>10%</w:t>
            </w:r>
          </w:p>
        </w:tc>
      </w:tr>
      <w:tr w:rsidR="00A33D05" w:rsidRPr="00B44CF9" w14:paraId="66153CA0" w14:textId="77777777" w:rsidTr="00277097">
        <w:tc>
          <w:tcPr>
            <w:tcW w:w="5400" w:type="dxa"/>
          </w:tcPr>
          <w:p w14:paraId="2B91515F" w14:textId="77777777" w:rsidR="00A33D05" w:rsidRPr="00EF7CF9" w:rsidRDefault="00A33D05" w:rsidP="00F01ED6">
            <w:pPr>
              <w:pStyle w:val="ProductList-OfferingBody"/>
              <w:jc w:val="center"/>
            </w:pPr>
            <w:r>
              <w:t>&lt; 99%</w:t>
            </w:r>
          </w:p>
        </w:tc>
        <w:tc>
          <w:tcPr>
            <w:tcW w:w="5400" w:type="dxa"/>
          </w:tcPr>
          <w:p w14:paraId="00EB8335" w14:textId="77777777" w:rsidR="00A33D05" w:rsidRPr="00EF7CF9" w:rsidRDefault="00A33D05" w:rsidP="00F01ED6">
            <w:pPr>
              <w:pStyle w:val="ProductList-OfferingBody"/>
              <w:jc w:val="center"/>
            </w:pPr>
            <w:r>
              <w:t>25%</w:t>
            </w:r>
          </w:p>
        </w:tc>
      </w:tr>
    </w:tbl>
    <w:p w14:paraId="0C6B83DA" w14:textId="20A769B4" w:rsidR="00A33D05" w:rsidRDefault="00EE6E3C" w:rsidP="00F01ED6">
      <w:pPr>
        <w:pStyle w:val="ProductList-Body"/>
        <w:rPr>
          <w:b/>
          <w:bCs/>
          <w:color w:val="00188F"/>
        </w:rPr>
      </w:pPr>
      <w:r>
        <w:rPr>
          <w:b/>
          <w:bCs/>
          <w:color w:val="00188F"/>
        </w:rPr>
        <w:t>Cálculo do Período de Disponibilidade e Níveis de Serviço para Serviço de Aprovisionamento do Dispositivo de Hub de IoT.</w:t>
      </w:r>
    </w:p>
    <w:p w14:paraId="13AE0CE7" w14:textId="77777777" w:rsidR="00A33D05" w:rsidRPr="00ED4527" w:rsidRDefault="00A33D05" w:rsidP="00F01ED6">
      <w:pPr>
        <w:pStyle w:val="ProductList-Body"/>
        <w:rPr>
          <w:b/>
          <w:bCs/>
          <w:color w:val="00188F"/>
        </w:rPr>
      </w:pPr>
      <w:r>
        <w:rPr>
          <w:b/>
          <w:bCs/>
          <w:color w:val="00188F"/>
        </w:rPr>
        <w:t>Definições Adicionais:</w:t>
      </w:r>
    </w:p>
    <w:p w14:paraId="1731B111" w14:textId="134FDD60" w:rsidR="00A33D05" w:rsidRPr="00D64BCA" w:rsidRDefault="00380305" w:rsidP="00F01ED6">
      <w:pPr>
        <w:pStyle w:val="ProductList-Body"/>
        <w:rPr>
          <w:color w:val="000000" w:themeColor="text1"/>
        </w:rPr>
      </w:pPr>
      <w:r>
        <w:rPr>
          <w:color w:val="000000" w:themeColor="text1"/>
        </w:rPr>
        <w:t>“</w:t>
      </w:r>
      <w:r w:rsidR="00A33D05">
        <w:rPr>
          <w:b/>
          <w:bCs/>
          <w:color w:val="00188F"/>
        </w:rPr>
        <w:t>Máximo de Minutos Disponíveis</w:t>
      </w:r>
      <w:r>
        <w:rPr>
          <w:color w:val="000000" w:themeColor="text1"/>
        </w:rPr>
        <w:t>”</w:t>
      </w:r>
      <w:r w:rsidR="00A33D05">
        <w:rPr>
          <w:color w:val="000000" w:themeColor="text1"/>
        </w:rPr>
        <w:t xml:space="preserve"> designa o número total de minutos para um determinado Serviço de Aprovisionamento do Dispositivo implementado pelo Cliente numa subscrição do Microsoft Azure durante um Período Aplicável.</w:t>
      </w:r>
    </w:p>
    <w:p w14:paraId="6862A706" w14:textId="490858D7" w:rsidR="00A33D05" w:rsidRPr="005505A7" w:rsidRDefault="00380305" w:rsidP="00F01ED6">
      <w:pPr>
        <w:pStyle w:val="ProductList-Body"/>
        <w:rPr>
          <w:color w:val="000000" w:themeColor="text1"/>
          <w:spacing w:val="-2"/>
        </w:rPr>
      </w:pPr>
      <w:r>
        <w:rPr>
          <w:color w:val="000000" w:themeColor="text1"/>
          <w:spacing w:val="-2"/>
        </w:rPr>
        <w:t>“</w:t>
      </w:r>
      <w:r w:rsidR="00A33D05" w:rsidRPr="005505A7">
        <w:rPr>
          <w:b/>
          <w:bCs/>
          <w:color w:val="00188F"/>
          <w:spacing w:val="-2"/>
        </w:rPr>
        <w:t>Período de Indisponibilidade</w:t>
      </w:r>
      <w:r>
        <w:rPr>
          <w:color w:val="000000" w:themeColor="text1"/>
          <w:spacing w:val="-2"/>
        </w:rPr>
        <w:t>”</w:t>
      </w:r>
      <w:r w:rsidR="00A33D05" w:rsidRPr="005505A7">
        <w:rPr>
          <w:color w:val="000000" w:themeColor="text1"/>
          <w:spacing w:val="-2"/>
        </w:rPr>
        <w:t xml:space="preserve"> é o número total de minutos durante o Máximo de Minutos Disponíveis durante os quais o Serviço de Aprovisionamento do Dispositivo de Hub de IoT está indisponível. Um minuto é considerado indisponível para um determinado Serviço de Aprovisionamento de Dispositivos, se todas as tentativas contínuas para registar um dispositivo ou executar operações de registo/inscrição no Serviço de Aprovisionamento de Dispositivos nesse minuto devolverem um Código de Erro ou não resultarem num Código de Êxito num prazo de dois minutos.</w:t>
      </w:r>
    </w:p>
    <w:p w14:paraId="2BAE86D2" w14:textId="69288491" w:rsidR="00A33D05" w:rsidRPr="00D64BCA" w:rsidRDefault="00AC48A7" w:rsidP="00F01ED6">
      <w:pPr>
        <w:pStyle w:val="ProductList-Body"/>
        <w:rPr>
          <w:color w:val="000000" w:themeColor="text1"/>
        </w:rPr>
      </w:pPr>
      <w:r>
        <w:rPr>
          <w:b/>
          <w:bCs/>
          <w:color w:val="00188F"/>
        </w:rPr>
        <w:t>Percentagem de Período de Disponibilidade:</w:t>
      </w:r>
      <w:r>
        <w:rPr>
          <w:color w:val="000000" w:themeColor="text1"/>
        </w:rPr>
        <w:t xml:space="preserve"> A Percentagem de Período de Disponibilidade é calculada através da seguinte fórmula:</w:t>
      </w:r>
    </w:p>
    <w:p w14:paraId="288FBA3D" w14:textId="1CFA905F" w:rsidR="00A33D05" w:rsidRPr="00EF7CF9" w:rsidRDefault="00000000" w:rsidP="0044175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CE875ED" w14:textId="77777777" w:rsidR="00A33D05" w:rsidRPr="00ED4527" w:rsidRDefault="00A33D05" w:rsidP="00F01ED6">
      <w:pPr>
        <w:pStyle w:val="ProductList-Body"/>
        <w:tabs>
          <w:tab w:val="clear" w:pos="360"/>
          <w:tab w:val="clear" w:pos="720"/>
          <w:tab w:val="clear" w:pos="1080"/>
        </w:tabs>
        <w:rPr>
          <w:b/>
          <w:bCs/>
          <w:color w:val="00188F"/>
        </w:rPr>
      </w:pPr>
      <w:r>
        <w:rPr>
          <w:b/>
          <w:bCs/>
          <w:color w:val="00188F"/>
        </w:rPr>
        <w:t>Os seguintes Níveis de Serviço e Créditos de Serviço são aplicáveis à utilização que o Cliente faz do Serviço de Aprovisionamento do Dispositivo de Hub de IoT.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305AAEC" w14:textId="77777777" w:rsidR="00A33D05" w:rsidRPr="00EF7CF9" w:rsidRDefault="00A33D05" w:rsidP="00F01ED6">
            <w:pPr>
              <w:pStyle w:val="ProductList-OfferingBody"/>
              <w:jc w:val="center"/>
              <w:rPr>
                <w:color w:val="FFFFFF" w:themeColor="background1"/>
              </w:rPr>
            </w:pPr>
            <w:r>
              <w:rPr>
                <w:color w:val="FFFFFF" w:themeColor="background1"/>
              </w:rPr>
              <w:t>Crédito de Serviço</w:t>
            </w:r>
          </w:p>
        </w:tc>
      </w:tr>
      <w:tr w:rsidR="00A33D05" w:rsidRPr="00B44CF9" w14:paraId="06A032B3" w14:textId="77777777" w:rsidTr="00277097">
        <w:tc>
          <w:tcPr>
            <w:tcW w:w="5400" w:type="dxa"/>
          </w:tcPr>
          <w:p w14:paraId="597FFA28" w14:textId="77777777" w:rsidR="00A33D05" w:rsidRPr="00EF7CF9" w:rsidRDefault="00A33D05" w:rsidP="00F01ED6">
            <w:pPr>
              <w:pStyle w:val="ProductList-OfferingBody"/>
              <w:jc w:val="center"/>
            </w:pPr>
            <w:r>
              <w:t>&lt; 99,9%</w:t>
            </w:r>
          </w:p>
        </w:tc>
        <w:tc>
          <w:tcPr>
            <w:tcW w:w="5400" w:type="dxa"/>
          </w:tcPr>
          <w:p w14:paraId="1DACBB75" w14:textId="77777777" w:rsidR="00A33D05" w:rsidRPr="00EF7CF9" w:rsidRDefault="00A33D05" w:rsidP="00F01ED6">
            <w:pPr>
              <w:pStyle w:val="ProductList-OfferingBody"/>
              <w:jc w:val="center"/>
            </w:pPr>
            <w:r>
              <w:t>10%</w:t>
            </w:r>
          </w:p>
        </w:tc>
      </w:tr>
      <w:tr w:rsidR="00A33D05" w:rsidRPr="00B44CF9" w14:paraId="1D776F64" w14:textId="77777777" w:rsidTr="00277097">
        <w:tc>
          <w:tcPr>
            <w:tcW w:w="5400" w:type="dxa"/>
          </w:tcPr>
          <w:p w14:paraId="4AC5C389" w14:textId="77777777" w:rsidR="00A33D05" w:rsidRPr="00EF7CF9" w:rsidRDefault="00A33D05" w:rsidP="00F01ED6">
            <w:pPr>
              <w:pStyle w:val="ProductList-OfferingBody"/>
              <w:jc w:val="center"/>
            </w:pPr>
            <w:r>
              <w:t>&lt; 99%</w:t>
            </w:r>
          </w:p>
        </w:tc>
        <w:tc>
          <w:tcPr>
            <w:tcW w:w="5400" w:type="dxa"/>
          </w:tcPr>
          <w:p w14:paraId="1FEB35B0" w14:textId="77777777" w:rsidR="00A33D05" w:rsidRPr="00EF7CF9" w:rsidRDefault="00A33D05" w:rsidP="00F01ED6">
            <w:pPr>
              <w:pStyle w:val="ProductList-OfferingBody"/>
              <w:jc w:val="center"/>
            </w:pPr>
            <w:r>
              <w:t>25%</w:t>
            </w:r>
          </w:p>
        </w:tc>
      </w:tr>
    </w:tbl>
    <w:bookmarkStart w:id="295" w:name="_Toc457821554"/>
    <w:bookmarkStart w:id="296" w:name="_Toc52348961"/>
    <w:p w14:paraId="5AFEAE37"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A156FCE" w14:textId="77777777" w:rsidR="00C46F26" w:rsidRPr="00EF7CF9" w:rsidRDefault="00C46F26" w:rsidP="00F01ED6">
      <w:pPr>
        <w:pStyle w:val="ProductList-Offering2Heading"/>
        <w:keepNext/>
        <w:tabs>
          <w:tab w:val="clear" w:pos="360"/>
          <w:tab w:val="clear" w:pos="720"/>
          <w:tab w:val="clear" w:pos="1080"/>
        </w:tabs>
        <w:outlineLvl w:val="2"/>
      </w:pPr>
      <w:bookmarkStart w:id="297" w:name="_Toc239176487"/>
      <w:r>
        <w:t>Cofre de Chaves</w:t>
      </w:r>
      <w:bookmarkEnd w:id="295"/>
      <w:bookmarkEnd w:id="296"/>
      <w:bookmarkEnd w:id="297"/>
    </w:p>
    <w:p w14:paraId="636EF3C5" w14:textId="77777777" w:rsidR="00C46F26" w:rsidRPr="00EF7CF9" w:rsidRDefault="00C46F26" w:rsidP="00F01ED6">
      <w:pPr>
        <w:pStyle w:val="ProductList-Body"/>
        <w:keepNext/>
        <w:rPr>
          <w:b/>
          <w:color w:val="00188F"/>
        </w:rPr>
      </w:pPr>
      <w:r>
        <w:rPr>
          <w:b/>
          <w:color w:val="00188F"/>
        </w:rPr>
        <w:t>Definições Adicionais</w:t>
      </w:r>
      <w:r w:rsidRPr="00473DD3">
        <w:rPr>
          <w:b/>
          <w:color w:val="00188F"/>
        </w:rPr>
        <w:t>:</w:t>
      </w:r>
    </w:p>
    <w:p w14:paraId="57980324" w14:textId="77777777" w:rsidR="00C51D74" w:rsidRPr="00C51D74" w:rsidRDefault="00380305" w:rsidP="002B779A">
      <w:pPr>
        <w:pStyle w:val="ProductList-Body"/>
        <w:rPr>
          <w:rFonts w:cstheme="minorHAnsi"/>
        </w:rPr>
      </w:pPr>
      <w:r>
        <w:t>“</w:t>
      </w:r>
      <w:r w:rsidR="00C46F26">
        <w:rPr>
          <w:b/>
          <w:color w:val="00188F"/>
        </w:rPr>
        <w:t>Minutos de Implementação</w:t>
      </w:r>
      <w:r>
        <w:t>”</w:t>
      </w:r>
      <w:r w:rsidR="00C46F26">
        <w:t xml:space="preserve"> </w:t>
      </w:r>
      <w:r w:rsidR="00C51D74" w:rsidRPr="00C51D74">
        <w:rPr>
          <w:rFonts w:cstheme="minorHAnsi"/>
        </w:rPr>
        <w:t>designa o número total de minutos durante os quais um determinado cofre de chaves esteve implementado no Microsoft Azure num mês de faturação.</w:t>
      </w:r>
    </w:p>
    <w:p w14:paraId="7DBD6B58" w14:textId="77777777" w:rsidR="00C51D74" w:rsidRPr="00C51D74" w:rsidRDefault="00C51D74" w:rsidP="002B779A">
      <w:pPr>
        <w:pStyle w:val="ProductList-Body"/>
        <w:rPr>
          <w:rFonts w:cstheme="minorHAnsi"/>
        </w:rPr>
      </w:pPr>
      <w:r w:rsidRPr="00C51D74">
        <w:rPr>
          <w:rFonts w:cstheme="minorHAnsi"/>
        </w:rPr>
        <w:t>“</w:t>
      </w:r>
      <w:r w:rsidRPr="00C51D74">
        <w:rPr>
          <w:rFonts w:cstheme="minorHAnsi"/>
          <w:b/>
          <w:color w:val="00188F"/>
        </w:rPr>
        <w:t>Transações Excluídas</w:t>
      </w:r>
      <w:r w:rsidRPr="00C51D74">
        <w:rPr>
          <w:rFonts w:cstheme="minorHAnsi"/>
        </w:rPr>
        <w:t>” designa as transações para a criação, atualização ou eliminação de cofres de chaves, chaves ou segredos.</w:t>
      </w:r>
    </w:p>
    <w:p w14:paraId="66CC050E" w14:textId="77777777" w:rsidR="00C51D74" w:rsidRPr="00C51D74" w:rsidRDefault="00C51D74" w:rsidP="002B779A">
      <w:pPr>
        <w:pStyle w:val="ProductList-Body"/>
        <w:rPr>
          <w:rFonts w:cstheme="minorHAnsi"/>
        </w:rPr>
      </w:pPr>
      <w:r w:rsidRPr="00C51D74">
        <w:rPr>
          <w:rFonts w:cstheme="minorHAnsi"/>
        </w:rPr>
        <w:t>“</w:t>
      </w:r>
      <w:r w:rsidRPr="00C51D74">
        <w:rPr>
          <w:rFonts w:cstheme="minorHAnsi"/>
          <w:b/>
          <w:color w:val="00188F"/>
        </w:rPr>
        <w:t>Máximo de Minutos Disponíveis</w:t>
      </w:r>
      <w:r w:rsidRPr="00C51D74">
        <w:rPr>
          <w:rFonts w:cstheme="minorHAnsi"/>
        </w:rPr>
        <w:t>” designa a soma de todos os Minutos de Implementação em todos os Cofres de Chaves implementados pelo Cliente numa determinada subscrição do Microsoft Azure num mês de faturação.</w:t>
      </w:r>
    </w:p>
    <w:p w14:paraId="3D63133A" w14:textId="3BEACE1E" w:rsidR="00C46F26" w:rsidRPr="00EF7CF9" w:rsidRDefault="00C46F26" w:rsidP="00C51D74">
      <w:pPr>
        <w:pStyle w:val="ProductList-Body"/>
        <w:spacing w:after="40"/>
      </w:pPr>
      <w:r>
        <w:rPr>
          <w:b/>
          <w:color w:val="00188F"/>
        </w:rPr>
        <w:t>Período de Indisponibilidade</w:t>
      </w:r>
      <w:r w:rsidRPr="00473DD3">
        <w:rPr>
          <w:b/>
          <w:color w:val="00188F"/>
        </w:rPr>
        <w:t>:</w:t>
      </w:r>
      <w:r>
        <w:t xml:space="preserve"> designa o total de Minutos de Implementação acumulados, em todos os cofres de chaves implementados pelo Cliente numa determinada subscrição do Microsoft Azure, no qual o cofre de chaves está indisponível. Um minuto é considerado indisponível para um determinado cofre de chaves se todas as tentativas contínuas para executar transações, que não Transações Excluídas, no cofre de chaves durante esse minuto devolverem um Código de Erro ou não resultarem num Código de Êxito num prazo de 5 segundos após a receção do pedido por parte da Microsoft.</w:t>
      </w:r>
    </w:p>
    <w:p w14:paraId="1CE57103" w14:textId="7E1C1BAE" w:rsidR="00C46F26"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99E0B21" w14:textId="69653BED" w:rsidR="00C46F26" w:rsidRPr="00EF7CF9" w:rsidRDefault="00000000" w:rsidP="002B779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F1DBAB8" w14:textId="77777777" w:rsidR="00C46F26" w:rsidRPr="00EF7CF9" w:rsidRDefault="00C46F2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E0062D5" w14:textId="77777777" w:rsidR="00C46F26" w:rsidRPr="00EF7CF9" w:rsidRDefault="00C46F26" w:rsidP="00F01ED6">
            <w:pPr>
              <w:pStyle w:val="ProductList-OfferingBody"/>
              <w:jc w:val="center"/>
              <w:rPr>
                <w:color w:val="FFFFFF" w:themeColor="background1"/>
              </w:rPr>
            </w:pPr>
            <w:r>
              <w:rPr>
                <w:color w:val="FFFFFF" w:themeColor="background1"/>
              </w:rPr>
              <w:t>Crédito de Serviço</w:t>
            </w:r>
          </w:p>
        </w:tc>
      </w:tr>
      <w:tr w:rsidR="00C46F26" w:rsidRPr="00B44CF9" w14:paraId="0C3EB5BE" w14:textId="77777777" w:rsidTr="00277097">
        <w:tc>
          <w:tcPr>
            <w:tcW w:w="5400" w:type="dxa"/>
          </w:tcPr>
          <w:p w14:paraId="47AD5171" w14:textId="6A1A1D26" w:rsidR="00C46F26" w:rsidRPr="00EF7CF9" w:rsidRDefault="00C46F26" w:rsidP="00F01ED6">
            <w:pPr>
              <w:pStyle w:val="ProductList-OfferingBody"/>
              <w:jc w:val="center"/>
            </w:pPr>
            <w:r>
              <w:t>&lt; 99,</w:t>
            </w:r>
            <w:r w:rsidR="00616A42">
              <w:t>9</w:t>
            </w:r>
            <w:r>
              <w:t>9%</w:t>
            </w:r>
          </w:p>
        </w:tc>
        <w:tc>
          <w:tcPr>
            <w:tcW w:w="5400" w:type="dxa"/>
          </w:tcPr>
          <w:p w14:paraId="5F1A3A62" w14:textId="77777777" w:rsidR="00C46F26" w:rsidRPr="00EF7CF9" w:rsidRDefault="00C46F26" w:rsidP="00F01ED6">
            <w:pPr>
              <w:pStyle w:val="ProductList-OfferingBody"/>
              <w:jc w:val="center"/>
            </w:pPr>
            <w:r>
              <w:t>10%</w:t>
            </w:r>
          </w:p>
        </w:tc>
      </w:tr>
      <w:tr w:rsidR="00C46F26" w:rsidRPr="00B44CF9" w14:paraId="6C9B83FA" w14:textId="77777777" w:rsidTr="00277097">
        <w:tc>
          <w:tcPr>
            <w:tcW w:w="5400" w:type="dxa"/>
          </w:tcPr>
          <w:p w14:paraId="5CCF0254" w14:textId="77777777" w:rsidR="00C46F26" w:rsidRPr="00EF7CF9" w:rsidRDefault="00C46F26" w:rsidP="00F01ED6">
            <w:pPr>
              <w:pStyle w:val="ProductList-OfferingBody"/>
              <w:jc w:val="center"/>
            </w:pPr>
            <w:r>
              <w:t>&lt; 99%</w:t>
            </w:r>
          </w:p>
        </w:tc>
        <w:tc>
          <w:tcPr>
            <w:tcW w:w="5400" w:type="dxa"/>
          </w:tcPr>
          <w:p w14:paraId="0C993539" w14:textId="77777777" w:rsidR="00C46F26" w:rsidRPr="00EF7CF9" w:rsidRDefault="00C46F26" w:rsidP="00F01ED6">
            <w:pPr>
              <w:pStyle w:val="ProductList-OfferingBody"/>
              <w:jc w:val="center"/>
            </w:pPr>
            <w:r>
              <w:t>25%</w:t>
            </w:r>
          </w:p>
        </w:tc>
      </w:tr>
    </w:tbl>
    <w:p w14:paraId="7B432F52" w14:textId="77777777" w:rsidR="00C55C00" w:rsidRPr="00EF7CF9" w:rsidRDefault="00C55C00" w:rsidP="00C55C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7EA7782" w14:textId="77777777" w:rsidR="00660E55" w:rsidRPr="00C55C00" w:rsidRDefault="00660E55" w:rsidP="00F01ED6">
      <w:pPr>
        <w:pStyle w:val="ProductList-Offering2Heading"/>
        <w:keepNext/>
        <w:tabs>
          <w:tab w:val="clear" w:pos="360"/>
          <w:tab w:val="clear" w:pos="720"/>
          <w:tab w:val="clear" w:pos="1080"/>
        </w:tabs>
        <w:outlineLvl w:val="2"/>
        <w:rPr>
          <w:lang w:val="en-IN"/>
        </w:rPr>
      </w:pPr>
      <w:bookmarkStart w:id="298" w:name="_Toc239176488"/>
      <w:r w:rsidRPr="00C55C00">
        <w:rPr>
          <w:lang w:val="en-IN"/>
        </w:rPr>
        <w:t>Azure Key Vault Managed HSM</w:t>
      </w:r>
      <w:bookmarkEnd w:id="298"/>
    </w:p>
    <w:p w14:paraId="58F7AD23" w14:textId="2D7CF5B4" w:rsidR="00660E55" w:rsidRPr="00660E55" w:rsidRDefault="00EE6E3C" w:rsidP="00F01ED6">
      <w:pPr>
        <w:pStyle w:val="ProductList-Body"/>
        <w:rPr>
          <w:b/>
          <w:bCs/>
          <w:color w:val="00188F"/>
        </w:rPr>
      </w:pPr>
      <w:r>
        <w:rPr>
          <w:b/>
          <w:bCs/>
          <w:color w:val="00188F"/>
        </w:rPr>
        <w:t>Cálculo do Período de Disponibilidade e Níveis de Serviço do HSM Gerido</w:t>
      </w:r>
    </w:p>
    <w:p w14:paraId="30B9FBAC" w14:textId="0769180A" w:rsidR="00660E55" w:rsidRDefault="00380305" w:rsidP="00F01ED6">
      <w:pPr>
        <w:pStyle w:val="ProductList-Body"/>
      </w:pPr>
      <w:r>
        <w:t>“</w:t>
      </w:r>
      <w:r w:rsidR="00660E55">
        <w:rPr>
          <w:b/>
          <w:bCs/>
          <w:color w:val="00188F"/>
        </w:rPr>
        <w:t>Minutos de Implementação</w:t>
      </w:r>
      <w:r>
        <w:t>”</w:t>
      </w:r>
      <w:r w:rsidR="00660E55">
        <w:t xml:space="preserve"> designa o número total de minutos durante os quais um determinado HSM gerido foi implementada no Microsoft Azure durante um Período Aplicável.</w:t>
      </w:r>
    </w:p>
    <w:p w14:paraId="053CE29C" w14:textId="55ED6CAD" w:rsidR="00660E55" w:rsidRDefault="00380305" w:rsidP="00F01ED6">
      <w:pPr>
        <w:pStyle w:val="ProductList-Body"/>
      </w:pPr>
      <w:r>
        <w:t>“</w:t>
      </w:r>
      <w:r w:rsidR="00660E55">
        <w:rPr>
          <w:b/>
          <w:bCs/>
          <w:color w:val="00188F"/>
        </w:rPr>
        <w:t>Máximo de Minutos Disponíveis</w:t>
      </w:r>
      <w:r>
        <w:t>”</w:t>
      </w:r>
      <w:r w:rsidR="00660E55">
        <w:t xml:space="preserve"> designa a soma de todos os Minutos de Implementação em todos os HSM geridos implementados pelo Cliente numa determinada subscrição do Microsoft Azure durante um Período Aplicável.</w:t>
      </w:r>
    </w:p>
    <w:p w14:paraId="7FE43870" w14:textId="3051A317" w:rsidR="00660E55" w:rsidRDefault="00380305" w:rsidP="00F01ED6">
      <w:pPr>
        <w:pStyle w:val="ProductList-Body"/>
      </w:pPr>
      <w:r>
        <w:t>“</w:t>
      </w:r>
      <w:r w:rsidR="00660E55">
        <w:rPr>
          <w:b/>
          <w:bCs/>
          <w:color w:val="00188F"/>
        </w:rPr>
        <w:t>Transações Excluídas</w:t>
      </w:r>
      <w:r>
        <w:t>”</w:t>
      </w:r>
      <w:r w:rsidR="00660E55">
        <w:t xml:space="preserve"> são transações para criar, atualizar ou eliminar HSMs geridos, chaves, atribuições de funções, definições de funções e</w:t>
      </w:r>
      <w:r w:rsidR="00D66DA1">
        <w:t> </w:t>
      </w:r>
      <w:r w:rsidR="00660E55">
        <w:t>transferência/carregamento do domínio de segurança.</w:t>
      </w:r>
    </w:p>
    <w:p w14:paraId="10F6540B" w14:textId="2467A418" w:rsidR="00660E55" w:rsidRPr="001C1F84" w:rsidRDefault="00380305" w:rsidP="00F01ED6">
      <w:pPr>
        <w:pStyle w:val="ProductList-Body"/>
        <w:rPr>
          <w:spacing w:val="-2"/>
        </w:rPr>
      </w:pPr>
      <w:r>
        <w:rPr>
          <w:spacing w:val="-2"/>
        </w:rPr>
        <w:t>“</w:t>
      </w:r>
      <w:r w:rsidR="00660E55" w:rsidRPr="001C1F84">
        <w:rPr>
          <w:b/>
          <w:bCs/>
          <w:color w:val="00188F"/>
          <w:spacing w:val="-2"/>
        </w:rPr>
        <w:t>Período de Indisponibilidade</w:t>
      </w:r>
      <w:r>
        <w:rPr>
          <w:spacing w:val="-2"/>
        </w:rPr>
        <w:t>”</w:t>
      </w:r>
      <w:r w:rsidR="00660E55" w:rsidRPr="001C1F84">
        <w:rPr>
          <w:spacing w:val="-2"/>
        </w:rPr>
        <w:t xml:space="preserve"> designa o total de Minutos de Implementação acumulados, em todos os HSMs geridos implementados pelo Cliente numa determinada subscrição do Microsoft Azure, durante a qual o HSM gerido está indisponível. Um minuto é considerado indisponível para um determinado HSM gerido se todas as tentativas contínuas para executar transações, que não Transações Excluídas, no HSM gerido durante esse minuto devolverem um Código de Erro ou não resultarem num Código de Êxito num prazo de 5 segundos após a receção do pedido por parte da Microsoft.</w:t>
      </w:r>
    </w:p>
    <w:p w14:paraId="28CE48E2" w14:textId="45779E04" w:rsidR="00660E55" w:rsidRDefault="00660E55" w:rsidP="00F01ED6">
      <w:pPr>
        <w:pStyle w:val="ProductList-Body"/>
      </w:pPr>
      <w:r>
        <w:t xml:space="preserve">A </w:t>
      </w:r>
      <w:r w:rsidR="00380305">
        <w:t>“</w:t>
      </w:r>
      <w:r>
        <w:rPr>
          <w:b/>
          <w:bCs/>
          <w:color w:val="00188F"/>
        </w:rPr>
        <w:t>Percentagem de Período de Disponibilidade</w:t>
      </w:r>
      <w:r w:rsidR="00380305">
        <w:t>”</w:t>
      </w:r>
      <w:r>
        <w:t xml:space="preserve"> para o Serviço HSM Gerido é calculada como o Máximo de Minutos Disponíveis menos o Período de Indisponibilidade a dividir pelo Máximo de Minutos Disponíveis num Período Aplicável para uma determinada subscrição do Microsoft Azure. </w:t>
      </w:r>
    </w:p>
    <w:p w14:paraId="6A6FF732" w14:textId="4E4D019B" w:rsidR="00660E55" w:rsidRDefault="00AC48A7" w:rsidP="00F01ED6">
      <w:pPr>
        <w:pStyle w:val="ProductList-Body"/>
      </w:pPr>
      <w:r>
        <w:t>A Percentagem de Período de Disponibilidade é representada pela seguinte fórmula:</w:t>
      </w:r>
    </w:p>
    <w:p w14:paraId="2CB08560" w14:textId="30ED0650" w:rsidR="00660E55" w:rsidRPr="00EF7CF9" w:rsidRDefault="00000000" w:rsidP="002B77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DACD42B" w14:textId="77777777" w:rsidR="00660E55" w:rsidRPr="00660E55" w:rsidRDefault="00660E55" w:rsidP="00F01ED6">
      <w:pPr>
        <w:pStyle w:val="ProductList-Body"/>
        <w:rPr>
          <w:b/>
          <w:bCs/>
          <w:color w:val="00188F"/>
        </w:rPr>
      </w:pPr>
      <w:r>
        <w:rPr>
          <w:b/>
          <w:bCs/>
          <w:color w:val="00188F"/>
        </w:rPr>
        <w:t>Os seguintes Níveis de Serviço e Créditos de Serviço são aplicáveis à utilização que o Cliente faz do Serviço de HSM Gerido:</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1976303" w14:textId="77777777" w:rsidR="00660E55" w:rsidRPr="00EF7CF9" w:rsidRDefault="00660E55" w:rsidP="00F01ED6">
            <w:pPr>
              <w:pStyle w:val="ProductList-OfferingBody"/>
              <w:jc w:val="center"/>
              <w:rPr>
                <w:color w:val="FFFFFF" w:themeColor="background1"/>
              </w:rPr>
            </w:pPr>
            <w:r>
              <w:rPr>
                <w:color w:val="FFFFFF" w:themeColor="background1"/>
              </w:rPr>
              <w:t>Crédito de Serviço</w:t>
            </w:r>
          </w:p>
        </w:tc>
      </w:tr>
      <w:tr w:rsidR="00660E55" w:rsidRPr="00B44CF9" w14:paraId="0F72A7C5" w14:textId="77777777" w:rsidTr="00277097">
        <w:tc>
          <w:tcPr>
            <w:tcW w:w="5400" w:type="dxa"/>
          </w:tcPr>
          <w:p w14:paraId="762D3691" w14:textId="77777777" w:rsidR="00660E55" w:rsidRPr="00EF7CF9" w:rsidRDefault="00660E55" w:rsidP="00F01ED6">
            <w:pPr>
              <w:pStyle w:val="ProductList-OfferingBody"/>
              <w:jc w:val="center"/>
            </w:pPr>
            <w:r>
              <w:t>&lt; 99,9%</w:t>
            </w:r>
          </w:p>
        </w:tc>
        <w:tc>
          <w:tcPr>
            <w:tcW w:w="5400" w:type="dxa"/>
          </w:tcPr>
          <w:p w14:paraId="3F9342B3" w14:textId="77777777" w:rsidR="00660E55" w:rsidRPr="00EF7CF9" w:rsidRDefault="00660E55" w:rsidP="00F01ED6">
            <w:pPr>
              <w:pStyle w:val="ProductList-OfferingBody"/>
              <w:jc w:val="center"/>
            </w:pPr>
            <w:r>
              <w:t>10%</w:t>
            </w:r>
          </w:p>
        </w:tc>
      </w:tr>
      <w:tr w:rsidR="00660E55" w:rsidRPr="00B44CF9" w14:paraId="4E55B05E" w14:textId="77777777" w:rsidTr="00277097">
        <w:tc>
          <w:tcPr>
            <w:tcW w:w="5400" w:type="dxa"/>
          </w:tcPr>
          <w:p w14:paraId="3C9AE2C5" w14:textId="77777777" w:rsidR="00660E55" w:rsidRPr="00EF7CF9" w:rsidRDefault="00660E55" w:rsidP="00F01ED6">
            <w:pPr>
              <w:pStyle w:val="ProductList-OfferingBody"/>
              <w:jc w:val="center"/>
            </w:pPr>
            <w:r>
              <w:t>&lt; 99%</w:t>
            </w:r>
          </w:p>
        </w:tc>
        <w:tc>
          <w:tcPr>
            <w:tcW w:w="5400" w:type="dxa"/>
          </w:tcPr>
          <w:p w14:paraId="1CFA6DDE" w14:textId="77777777" w:rsidR="00660E55" w:rsidRPr="00EF7CF9" w:rsidRDefault="00660E55" w:rsidP="00F01ED6">
            <w:pPr>
              <w:pStyle w:val="ProductList-OfferingBody"/>
              <w:jc w:val="center"/>
            </w:pPr>
            <w:r>
              <w:t>25%</w:t>
            </w:r>
          </w:p>
        </w:tc>
      </w:tr>
    </w:tbl>
    <w:p w14:paraId="1B75FC23" w14:textId="77777777" w:rsidR="004A1D38" w:rsidRPr="007664A7" w:rsidRDefault="004A1D38" w:rsidP="004A1D38">
      <w:pPr>
        <w:pStyle w:val="ProductList-Body"/>
        <w:spacing w:before="120"/>
        <w:rPr>
          <w:rFonts w:ascii="Calibri" w:hAnsi="Calibri" w:cs="Calibri"/>
          <w:b/>
          <w:bCs/>
          <w:color w:val="00188F"/>
        </w:rPr>
      </w:pPr>
      <w:r>
        <w:rPr>
          <w:rFonts w:ascii="Calibri" w:hAnsi="Calibri" w:cs="Calibri"/>
          <w:b/>
          <w:bCs/>
          <w:color w:val="00188F"/>
        </w:rPr>
        <w:t>Para o Serviço HSM Gerido, em que um conjunto de HSM gerido é replicado nas regiões do Azure, são aplicáveis os seguintes Níveis de Serviço e Créditos de Serviço correspondentes (a Percentagem de Período de Disponibilidade é calculada com base na disponibilidade combinada dos conjuntos de HSM primários e replicados):</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A1D38" w:rsidRPr="00EF7CF9" w14:paraId="0599BCD8" w14:textId="77777777" w:rsidTr="008367CC">
        <w:trPr>
          <w:trHeight w:val="245"/>
          <w:tblHeader/>
        </w:trPr>
        <w:tc>
          <w:tcPr>
            <w:tcW w:w="5400" w:type="dxa"/>
            <w:shd w:val="clear" w:color="auto" w:fill="0072C6"/>
          </w:tcPr>
          <w:p w14:paraId="18568E4E" w14:textId="77777777" w:rsidR="004A1D38" w:rsidRPr="007664A7" w:rsidRDefault="004A1D38"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4B9DF3AB" w14:textId="77777777" w:rsidR="004A1D38" w:rsidRPr="007664A7" w:rsidRDefault="004A1D38"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4A1D38" w:rsidRPr="00EF7CF9" w14:paraId="6E4AF566" w14:textId="77777777" w:rsidTr="008367CC">
        <w:trPr>
          <w:trHeight w:val="245"/>
        </w:trPr>
        <w:tc>
          <w:tcPr>
            <w:tcW w:w="5400" w:type="dxa"/>
          </w:tcPr>
          <w:p w14:paraId="75EE5626" w14:textId="77777777" w:rsidR="004A1D38" w:rsidRPr="007664A7" w:rsidRDefault="004A1D38"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536BEC09" w14:textId="77777777" w:rsidR="004A1D38" w:rsidRPr="007664A7" w:rsidRDefault="004A1D38" w:rsidP="008367CC">
            <w:pPr>
              <w:pStyle w:val="ProductList-OfferingBody"/>
              <w:jc w:val="center"/>
              <w:rPr>
                <w:rFonts w:ascii="Calibri" w:hAnsi="Calibri" w:cs="Calibri"/>
                <w:szCs w:val="16"/>
              </w:rPr>
            </w:pPr>
            <w:r>
              <w:rPr>
                <w:rFonts w:ascii="Calibri" w:hAnsi="Calibri" w:cs="Calibri"/>
                <w:szCs w:val="16"/>
              </w:rPr>
              <w:t>10%</w:t>
            </w:r>
          </w:p>
        </w:tc>
      </w:tr>
      <w:tr w:rsidR="004A1D38" w:rsidRPr="00EF7CF9" w14:paraId="0195D7ED" w14:textId="77777777" w:rsidTr="008367CC">
        <w:trPr>
          <w:trHeight w:val="245"/>
        </w:trPr>
        <w:tc>
          <w:tcPr>
            <w:tcW w:w="5400" w:type="dxa"/>
          </w:tcPr>
          <w:p w14:paraId="4CB54BFB" w14:textId="77777777" w:rsidR="004A1D38" w:rsidRPr="007664A7" w:rsidRDefault="004A1D38"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6230B4D2" w14:textId="77777777" w:rsidR="004A1D38" w:rsidRPr="007664A7" w:rsidRDefault="004A1D38" w:rsidP="008367CC">
            <w:pPr>
              <w:pStyle w:val="ProductList-OfferingBody"/>
              <w:jc w:val="center"/>
              <w:rPr>
                <w:rFonts w:ascii="Calibri" w:hAnsi="Calibri" w:cs="Calibri"/>
                <w:szCs w:val="16"/>
              </w:rPr>
            </w:pPr>
            <w:r>
              <w:rPr>
                <w:rFonts w:ascii="Calibri" w:hAnsi="Calibri" w:cs="Calibri"/>
                <w:szCs w:val="16"/>
              </w:rPr>
              <w:t>25%</w:t>
            </w:r>
          </w:p>
        </w:tc>
      </w:tr>
    </w:tbl>
    <w:p w14:paraId="20A15615" w14:textId="77777777" w:rsidR="004A1D38" w:rsidRPr="00EF7CF9" w:rsidRDefault="004A1D38" w:rsidP="004A1D3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87AFF7E" w14:textId="477EBE3B" w:rsidR="00F82DA2" w:rsidRPr="00F82DA2" w:rsidRDefault="00F82DA2" w:rsidP="00F01ED6">
      <w:pPr>
        <w:pStyle w:val="ProductList-Offering2Heading"/>
        <w:keepNext/>
        <w:tabs>
          <w:tab w:val="clear" w:pos="360"/>
          <w:tab w:val="clear" w:pos="720"/>
          <w:tab w:val="clear" w:pos="1080"/>
        </w:tabs>
        <w:outlineLvl w:val="2"/>
      </w:pPr>
      <w:bookmarkStart w:id="299" w:name="_Toc239176489"/>
      <w:r>
        <w:t>Azure Kubernetes Service (AKS)</w:t>
      </w:r>
      <w:bookmarkEnd w:id="299"/>
    </w:p>
    <w:p w14:paraId="61A85984" w14:textId="77777777" w:rsidR="00F82DA2" w:rsidRPr="005A1265" w:rsidRDefault="00F82DA2" w:rsidP="00F01ED6">
      <w:pPr>
        <w:pStyle w:val="ProductList-Body"/>
        <w:rPr>
          <w:b/>
          <w:bCs/>
          <w:color w:val="00188F"/>
        </w:rPr>
      </w:pPr>
      <w:r>
        <w:rPr>
          <w:b/>
          <w:bCs/>
          <w:color w:val="00188F"/>
        </w:rPr>
        <w:t>Definições Adicionais</w:t>
      </w:r>
    </w:p>
    <w:p w14:paraId="127F0781" w14:textId="34F72A13" w:rsidR="00F82DA2" w:rsidRDefault="00F82DA2" w:rsidP="00F01ED6">
      <w:pPr>
        <w:pStyle w:val="ProductList-Body"/>
      </w:pPr>
      <w:r w:rsidRPr="00CB7596">
        <w:t xml:space="preserve">Cluster do </w:t>
      </w:r>
      <w:r w:rsidR="00380305" w:rsidRPr="00CB7596">
        <w:t>“</w:t>
      </w:r>
      <w:r>
        <w:rPr>
          <w:b/>
          <w:bCs/>
          <w:color w:val="00188F"/>
        </w:rPr>
        <w:t>Azure Kubernetes Service (AKS)</w:t>
      </w:r>
      <w:r w:rsidR="00380305" w:rsidRPr="00380305">
        <w:t>”</w:t>
      </w:r>
      <w:r>
        <w:t xml:space="preserve"> Um cluster do Kubernetes está dividido em dois componentes:</w:t>
      </w:r>
    </w:p>
    <w:p w14:paraId="3F836EE1" w14:textId="77777777" w:rsidR="00F82DA2" w:rsidRDefault="00F82DA2">
      <w:pPr>
        <w:pStyle w:val="ProductList-Body"/>
        <w:numPr>
          <w:ilvl w:val="0"/>
          <w:numId w:val="11"/>
        </w:numPr>
      </w:pPr>
      <w:r>
        <w:t>Os nós do plano de controlo fornecem os serviços do Kubernetes principais e a orquestração das cargas de trabalho de aplicação.</w:t>
      </w:r>
    </w:p>
    <w:p w14:paraId="304182C8" w14:textId="01A08E20" w:rsidR="00F82DA2" w:rsidRDefault="00F82DA2">
      <w:pPr>
        <w:pStyle w:val="ProductList-Body"/>
        <w:numPr>
          <w:ilvl w:val="0"/>
          <w:numId w:val="11"/>
        </w:numPr>
      </w:pPr>
      <w:r>
        <w:t>Os nós executam as cargas de trabalho de aplicação.</w:t>
      </w:r>
    </w:p>
    <w:p w14:paraId="5C4312B7" w14:textId="19B1F6E2" w:rsidR="00F82DA2" w:rsidRDefault="00380305" w:rsidP="00F01ED6">
      <w:pPr>
        <w:pStyle w:val="ProductList-Body"/>
      </w:pPr>
      <w:r>
        <w:t>“</w:t>
      </w:r>
      <w:r w:rsidR="00F82DA2">
        <w:rPr>
          <w:b/>
          <w:bCs/>
          <w:color w:val="00188F"/>
        </w:rPr>
        <w:t>Servidor da API do Kubernetes</w:t>
      </w:r>
      <w:r>
        <w:t>”</w:t>
      </w:r>
      <w:r w:rsidR="00F82DA2">
        <w:t xml:space="preserve"> Quando é criado um Cluster do Azure Kubernetes Service (AKS), é criado e configurado automaticamente um</w:t>
      </w:r>
      <w:r w:rsidR="001963CD">
        <w:t> </w:t>
      </w:r>
      <w:r w:rsidR="00F82DA2">
        <w:t>plano de controlo. O plano de controlo inclui o Servidor da API que expõe a API do Kubernetes subjacente.</w:t>
      </w:r>
    </w:p>
    <w:p w14:paraId="55487483" w14:textId="0EC18CB9" w:rsidR="00F82DA2" w:rsidRPr="001C1F84" w:rsidRDefault="00380305" w:rsidP="00F01ED6">
      <w:pPr>
        <w:pStyle w:val="ProductList-Body"/>
        <w:rPr>
          <w:spacing w:val="-3"/>
        </w:rPr>
      </w:pPr>
      <w:r>
        <w:rPr>
          <w:spacing w:val="-3"/>
        </w:rPr>
        <w:t>“</w:t>
      </w:r>
      <w:r w:rsidR="00F82DA2" w:rsidRPr="001C1F84">
        <w:rPr>
          <w:b/>
          <w:bCs/>
          <w:color w:val="00188F"/>
          <w:spacing w:val="-3"/>
        </w:rPr>
        <w:t>Zona de Disponibilidade</w:t>
      </w:r>
      <w:r>
        <w:rPr>
          <w:spacing w:val="-3"/>
        </w:rPr>
        <w:t>”</w:t>
      </w:r>
      <w:r w:rsidR="00F82DA2" w:rsidRPr="001C1F84">
        <w:rPr>
          <w:spacing w:val="-3"/>
        </w:rPr>
        <w:t xml:space="preserve"> designa uma área isolada de falhas numa região do Azure que providencia alimentação, refrigeração e rede redundantes.</w:t>
      </w:r>
    </w:p>
    <w:p w14:paraId="4A9E6F02" w14:textId="2345EADD" w:rsidR="00F82DA2" w:rsidRPr="007E7727" w:rsidRDefault="00EE6E3C" w:rsidP="00F01ED6">
      <w:pPr>
        <w:pStyle w:val="ProductList-Body"/>
        <w:rPr>
          <w:b/>
          <w:bCs/>
          <w:color w:val="00188F"/>
        </w:rPr>
      </w:pPr>
      <w:r>
        <w:rPr>
          <w:b/>
          <w:bCs/>
          <w:color w:val="00188F"/>
        </w:rPr>
        <w:t>Cálculo do Período de Disponibilidade e Níveis de Serviço para os Clusters do AKS que utilizam as Zonas de Disponibilidade</w:t>
      </w:r>
    </w:p>
    <w:p w14:paraId="3B157BD0" w14:textId="0C298105" w:rsidR="00F82DA2" w:rsidRDefault="00380305" w:rsidP="00F01ED6">
      <w:pPr>
        <w:pStyle w:val="ProductList-Body"/>
      </w:pPr>
      <w:r>
        <w:t>“</w:t>
      </w:r>
      <w:r w:rsidR="00F82DA2">
        <w:rPr>
          <w:b/>
          <w:bCs/>
          <w:color w:val="00188F"/>
        </w:rPr>
        <w:t>Máximo de Minutos Disponíveis</w:t>
      </w:r>
      <w:r>
        <w:t>”</w:t>
      </w:r>
      <w:r w:rsidR="00F82DA2">
        <w:t xml:space="preserve"> designa o total de minutos acumulados de um Cluster do AKS ativado para a Zona de Disponibilidade até ao</w:t>
      </w:r>
      <w:r w:rsidR="00D87C26">
        <w:t> </w:t>
      </w:r>
      <w:r w:rsidR="00F82DA2">
        <w:t>momento em que o Cliente iniciou uma ação para parar ou eliminar o Cluster do AKS durante um Período Aplicável.</w:t>
      </w:r>
    </w:p>
    <w:p w14:paraId="08E07572" w14:textId="60896044" w:rsidR="00F82DA2" w:rsidRDefault="00380305" w:rsidP="00F01ED6">
      <w:pPr>
        <w:pStyle w:val="ProductList-Body"/>
      </w:pPr>
      <w:r>
        <w:t>“</w:t>
      </w:r>
      <w:r w:rsidR="00F82DA2">
        <w:rPr>
          <w:b/>
          <w:bCs/>
          <w:color w:val="00188F"/>
        </w:rPr>
        <w:t>Período de Indisponibilidade</w:t>
      </w:r>
      <w:r>
        <w:t>”</w:t>
      </w:r>
      <w:r w:rsidR="00F82DA2">
        <w:t xml:space="preserve"> designa o total de minutos acumulados que fazem parte do Máximo de Minutos Disponíveis sem conectividade ao</w:t>
      </w:r>
      <w:r w:rsidR="00D87C26">
        <w:t> </w:t>
      </w:r>
      <w:r w:rsidR="00F82DA2">
        <w:t>Servidor da API do Kubernetes a partir do Cluster do AKS ativado para a Zona de Disponibilidade aprovisionada na região.</w:t>
      </w:r>
    </w:p>
    <w:p w14:paraId="5A3F2225" w14:textId="38C3A51F" w:rsidR="00F82DA2" w:rsidRDefault="00F82DA2" w:rsidP="00F01ED6">
      <w:pPr>
        <w:pStyle w:val="ProductList-Body"/>
      </w:pPr>
      <w:r>
        <w:t xml:space="preserve">A </w:t>
      </w:r>
      <w:r w:rsidR="00380305">
        <w:t>“</w:t>
      </w:r>
      <w:r>
        <w:rPr>
          <w:b/>
          <w:bCs/>
          <w:color w:val="00188F"/>
        </w:rPr>
        <w:t>Percentagem de Período de Disponibilidade</w:t>
      </w:r>
      <w:r w:rsidR="00380305">
        <w:t>”</w:t>
      </w:r>
      <w:r>
        <w:t xml:space="preserve"> para os Clusters do AKS ativados para a Zona de Disponibilidade é calculada como o Máximo de</w:t>
      </w:r>
      <w:r w:rsidR="00D87C26">
        <w:t> </w:t>
      </w:r>
      <w:r>
        <w:t>Minutos Disponíveis menos o Período de Indisponibilidade a dividir pelo Máximo de Minutos Disponíveis num Período Aplicável para uma determinada subscrição do Microsoft Azure. A Percentagem de Período de Disponibilidade é representada pela seguinte fórmula:</w:t>
      </w:r>
    </w:p>
    <w:p w14:paraId="656C265F" w14:textId="3F544E2C" w:rsidR="007E7727" w:rsidRPr="00EF7CF9" w:rsidRDefault="00000000" w:rsidP="00F80F3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26A7E8C" w14:textId="77777777" w:rsidR="00F82DA2" w:rsidRPr="007E7727" w:rsidRDefault="00F82DA2" w:rsidP="00F01ED6">
      <w:pPr>
        <w:pStyle w:val="ProductList-Body"/>
        <w:rPr>
          <w:b/>
          <w:bCs/>
          <w:color w:val="00188F"/>
        </w:rPr>
      </w:pPr>
      <w:r>
        <w:rPr>
          <w:b/>
          <w:bCs/>
          <w:color w:val="00188F"/>
        </w:rPr>
        <w:t>Os seguintes Níveis de Serviço e Créditos de Serviço são aplicáveis à utilização que o Cliente dos Clusters do AKS com Zonas de Disponibilidade ativadas na região:</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F01ED6">
            <w:pPr>
              <w:pStyle w:val="ProductList-OfferingBody"/>
              <w:jc w:val="center"/>
              <w:rPr>
                <w:color w:val="FFFFFF" w:themeColor="background1"/>
              </w:rPr>
            </w:pPr>
            <w:r>
              <w:rPr>
                <w:color w:val="FFFFFF" w:themeColor="background1"/>
              </w:rPr>
              <w:lastRenderedPageBreak/>
              <w:t>Percentagem de Período de Disponibilidade</w:t>
            </w:r>
          </w:p>
        </w:tc>
        <w:tc>
          <w:tcPr>
            <w:tcW w:w="5400" w:type="dxa"/>
            <w:shd w:val="clear" w:color="auto" w:fill="0072C6"/>
          </w:tcPr>
          <w:p w14:paraId="7B51CB06" w14:textId="77777777" w:rsidR="007E7727" w:rsidRPr="00EF7CF9" w:rsidRDefault="007E7727" w:rsidP="00F01ED6">
            <w:pPr>
              <w:pStyle w:val="ProductList-OfferingBody"/>
              <w:jc w:val="center"/>
              <w:rPr>
                <w:color w:val="FFFFFF" w:themeColor="background1"/>
              </w:rPr>
            </w:pPr>
            <w:r>
              <w:rPr>
                <w:color w:val="FFFFFF" w:themeColor="background1"/>
              </w:rPr>
              <w:t>Crédito de Serviço</w:t>
            </w:r>
          </w:p>
        </w:tc>
      </w:tr>
      <w:tr w:rsidR="007E7727" w:rsidRPr="00B44CF9" w14:paraId="1FB7B432" w14:textId="77777777" w:rsidTr="00277097">
        <w:tc>
          <w:tcPr>
            <w:tcW w:w="5400" w:type="dxa"/>
          </w:tcPr>
          <w:p w14:paraId="292A2086" w14:textId="6461DC22" w:rsidR="007E7727" w:rsidRPr="00EF7CF9" w:rsidRDefault="007E7727" w:rsidP="00F01ED6">
            <w:pPr>
              <w:pStyle w:val="ProductList-OfferingBody"/>
              <w:jc w:val="center"/>
            </w:pPr>
            <w:r>
              <w:t>&lt; 99,95%</w:t>
            </w:r>
          </w:p>
        </w:tc>
        <w:tc>
          <w:tcPr>
            <w:tcW w:w="5400" w:type="dxa"/>
          </w:tcPr>
          <w:p w14:paraId="502E6A7A" w14:textId="77777777" w:rsidR="007E7727" w:rsidRPr="00EF7CF9" w:rsidRDefault="007E7727" w:rsidP="00F01ED6">
            <w:pPr>
              <w:pStyle w:val="ProductList-OfferingBody"/>
              <w:jc w:val="center"/>
            </w:pPr>
            <w:r>
              <w:t>10%</w:t>
            </w:r>
          </w:p>
        </w:tc>
      </w:tr>
      <w:tr w:rsidR="007E7727" w:rsidRPr="00B44CF9" w14:paraId="689983CA" w14:textId="77777777" w:rsidTr="00277097">
        <w:tc>
          <w:tcPr>
            <w:tcW w:w="5400" w:type="dxa"/>
          </w:tcPr>
          <w:p w14:paraId="6588AEE3" w14:textId="77777777" w:rsidR="007E7727" w:rsidRPr="00EF7CF9" w:rsidRDefault="007E7727" w:rsidP="00F01ED6">
            <w:pPr>
              <w:pStyle w:val="ProductList-OfferingBody"/>
              <w:jc w:val="center"/>
            </w:pPr>
            <w:r>
              <w:t>&lt; 99%</w:t>
            </w:r>
          </w:p>
        </w:tc>
        <w:tc>
          <w:tcPr>
            <w:tcW w:w="5400" w:type="dxa"/>
          </w:tcPr>
          <w:p w14:paraId="47AA3AAB" w14:textId="77777777" w:rsidR="007E7727" w:rsidRPr="00EF7CF9" w:rsidRDefault="007E7727" w:rsidP="00F01ED6">
            <w:pPr>
              <w:pStyle w:val="ProductList-OfferingBody"/>
              <w:jc w:val="center"/>
            </w:pPr>
            <w:r>
              <w:t>25%</w:t>
            </w:r>
          </w:p>
        </w:tc>
      </w:tr>
      <w:tr w:rsidR="007E7727" w:rsidRPr="00B44CF9" w14:paraId="7B81C26E" w14:textId="77777777" w:rsidTr="00277097">
        <w:tc>
          <w:tcPr>
            <w:tcW w:w="5400" w:type="dxa"/>
          </w:tcPr>
          <w:p w14:paraId="0443D951" w14:textId="38516087" w:rsidR="007E7727" w:rsidRPr="00EF7CF9" w:rsidRDefault="007E7727" w:rsidP="00F01ED6">
            <w:pPr>
              <w:pStyle w:val="ProductList-OfferingBody"/>
              <w:jc w:val="center"/>
            </w:pPr>
            <w:r>
              <w:t>&lt; 95%</w:t>
            </w:r>
          </w:p>
        </w:tc>
        <w:tc>
          <w:tcPr>
            <w:tcW w:w="5400" w:type="dxa"/>
          </w:tcPr>
          <w:p w14:paraId="39F4B2F2" w14:textId="433C6D15" w:rsidR="007E7727" w:rsidRPr="00EF7CF9" w:rsidRDefault="007E7727" w:rsidP="00F01ED6">
            <w:pPr>
              <w:pStyle w:val="ProductList-OfferingBody"/>
              <w:jc w:val="center"/>
            </w:pPr>
            <w:r>
              <w:t>100%</w:t>
            </w:r>
          </w:p>
        </w:tc>
      </w:tr>
    </w:tbl>
    <w:p w14:paraId="79783696" w14:textId="5885F0B1" w:rsidR="00F82DA2" w:rsidRPr="007E7727" w:rsidRDefault="00EE6E3C" w:rsidP="006B31E1">
      <w:pPr>
        <w:pStyle w:val="ProductList-Body"/>
        <w:spacing w:before="120"/>
        <w:rPr>
          <w:b/>
          <w:bCs/>
          <w:color w:val="00188F"/>
        </w:rPr>
      </w:pPr>
      <w:r>
        <w:rPr>
          <w:b/>
          <w:bCs/>
          <w:color w:val="00188F"/>
        </w:rPr>
        <w:t>Cálculo do Período de Disponibilidade e Níveis de Serviço para os Clusters do AKS que não utilizam as Zonas de Disponibilidade</w:t>
      </w:r>
    </w:p>
    <w:p w14:paraId="13D307EA" w14:textId="723B12FE" w:rsidR="00F82DA2" w:rsidRDefault="00380305" w:rsidP="00F01ED6">
      <w:pPr>
        <w:pStyle w:val="ProductList-Body"/>
      </w:pPr>
      <w:r>
        <w:t>“</w:t>
      </w:r>
      <w:r w:rsidR="00F82DA2">
        <w:rPr>
          <w:b/>
          <w:bCs/>
          <w:color w:val="00188F"/>
        </w:rPr>
        <w:t>Máximo de Minutos Disponíveis</w:t>
      </w:r>
      <w:r>
        <w:t>”</w:t>
      </w:r>
      <w:r w:rsidR="00F82DA2">
        <w:t xml:space="preserve"> designa o total de minutos acumulados de um Cluster do AKS aprovisionado até ao momento em que o Cliente iniciou uma ação para parar ou eliminar o cluster durante um Período Aplicável.</w:t>
      </w:r>
    </w:p>
    <w:p w14:paraId="290292FF" w14:textId="10D6EEC3" w:rsidR="00F82DA2" w:rsidRDefault="00380305" w:rsidP="00F01ED6">
      <w:pPr>
        <w:pStyle w:val="ProductList-Body"/>
      </w:pPr>
      <w:r>
        <w:t>“</w:t>
      </w:r>
      <w:r w:rsidR="00F82DA2">
        <w:rPr>
          <w:b/>
          <w:bCs/>
          <w:color w:val="00188F"/>
        </w:rPr>
        <w:t>Período de Indisponibilidade</w:t>
      </w:r>
      <w:r>
        <w:t>”</w:t>
      </w:r>
      <w:r w:rsidR="00F82DA2">
        <w:t xml:space="preserve"> designa o total de minutos acumulados que fazem parte do Máximo de Minutos Disponíveis em que o Cluster do</w:t>
      </w:r>
      <w:r w:rsidR="00C41789">
        <w:t> </w:t>
      </w:r>
      <w:r w:rsidR="00F82DA2">
        <w:t>AKS aprovisionado não tem conectividade ao Servidor da API do Kubernetes.</w:t>
      </w:r>
    </w:p>
    <w:p w14:paraId="146AF392" w14:textId="4DA27199" w:rsidR="00F82DA2" w:rsidRDefault="00F82DA2" w:rsidP="00F01ED6">
      <w:pPr>
        <w:pStyle w:val="ProductList-Body"/>
      </w:pPr>
      <w:r>
        <w:t xml:space="preserve">A </w:t>
      </w:r>
      <w:r w:rsidR="00380305">
        <w:t>“</w:t>
      </w:r>
      <w:r>
        <w:rPr>
          <w:b/>
          <w:bCs/>
          <w:color w:val="00188F"/>
        </w:rPr>
        <w:t>Percentagem de Período de Disponibilidade</w:t>
      </w:r>
      <w:r w:rsidR="00380305">
        <w:t>”</w:t>
      </w:r>
      <w:r>
        <w:t xml:space="preserve"> é calculada como o Máximo de Minutos Disponíveis menos o Período de Indisponibilidade a</w:t>
      </w:r>
      <w:r w:rsidR="00C41789">
        <w:t> </w:t>
      </w:r>
      <w:r>
        <w:t>dividir pelo Máximo de Minutos Disponíveis num Período Aplicável para uma determinada subscrição do Microsoft Azure. A Percentagem de</w:t>
      </w:r>
      <w:r w:rsidR="00C41789">
        <w:t> </w:t>
      </w:r>
      <w:r>
        <w:t>Período de Disponibilidade é representada pela seguinte fórmula:</w:t>
      </w:r>
    </w:p>
    <w:p w14:paraId="14845F17" w14:textId="1D931C78" w:rsidR="007E7727" w:rsidRPr="00EF7CF9" w:rsidRDefault="00000000" w:rsidP="00375E4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04C1695" w14:textId="77777777" w:rsidR="00F82DA2" w:rsidRPr="007E7727" w:rsidRDefault="00F82DA2" w:rsidP="00F01ED6">
      <w:pPr>
        <w:pStyle w:val="ProductList-Body"/>
        <w:rPr>
          <w:b/>
          <w:bCs/>
          <w:color w:val="00188F"/>
        </w:rPr>
      </w:pPr>
      <w:r>
        <w:rPr>
          <w:b/>
          <w:bCs/>
          <w:color w:val="00188F"/>
        </w:rPr>
        <w:t>Os seguintes Níveis de Serviço e Créditos de Serviço são aplicáveis à utilização que o Cliente faz dos Clusters do AKS sem Zonas de Disponibilidade ativadas:</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E7BF5FE" w14:textId="77777777" w:rsidR="007E7727" w:rsidRPr="00EF7CF9" w:rsidRDefault="007E7727" w:rsidP="00F01ED6">
            <w:pPr>
              <w:pStyle w:val="ProductList-OfferingBody"/>
              <w:jc w:val="center"/>
              <w:rPr>
                <w:color w:val="FFFFFF" w:themeColor="background1"/>
              </w:rPr>
            </w:pPr>
            <w:r>
              <w:rPr>
                <w:color w:val="FFFFFF" w:themeColor="background1"/>
              </w:rPr>
              <w:t>Crédito de Serviço</w:t>
            </w:r>
          </w:p>
        </w:tc>
      </w:tr>
      <w:tr w:rsidR="007E7727" w:rsidRPr="00B44CF9" w14:paraId="0E4C3B30" w14:textId="77777777" w:rsidTr="00277097">
        <w:tc>
          <w:tcPr>
            <w:tcW w:w="5400" w:type="dxa"/>
          </w:tcPr>
          <w:p w14:paraId="7A639EFD" w14:textId="5398B837" w:rsidR="007E7727" w:rsidRPr="00EF7CF9" w:rsidRDefault="007E7727" w:rsidP="00F01ED6">
            <w:pPr>
              <w:pStyle w:val="ProductList-OfferingBody"/>
              <w:jc w:val="center"/>
            </w:pPr>
            <w:r>
              <w:t>&lt; 99,9%</w:t>
            </w:r>
          </w:p>
        </w:tc>
        <w:tc>
          <w:tcPr>
            <w:tcW w:w="5400" w:type="dxa"/>
          </w:tcPr>
          <w:p w14:paraId="5AD73D01" w14:textId="77777777" w:rsidR="007E7727" w:rsidRPr="00EF7CF9" w:rsidRDefault="007E7727" w:rsidP="00F01ED6">
            <w:pPr>
              <w:pStyle w:val="ProductList-OfferingBody"/>
              <w:jc w:val="center"/>
            </w:pPr>
            <w:r>
              <w:t>10%</w:t>
            </w:r>
          </w:p>
        </w:tc>
      </w:tr>
      <w:tr w:rsidR="007E7727" w:rsidRPr="00B44CF9" w14:paraId="1B41DA48" w14:textId="77777777" w:rsidTr="00277097">
        <w:tc>
          <w:tcPr>
            <w:tcW w:w="5400" w:type="dxa"/>
          </w:tcPr>
          <w:p w14:paraId="1D876287" w14:textId="77777777" w:rsidR="007E7727" w:rsidRPr="00EF7CF9" w:rsidRDefault="007E7727" w:rsidP="00F01ED6">
            <w:pPr>
              <w:pStyle w:val="ProductList-OfferingBody"/>
              <w:jc w:val="center"/>
            </w:pPr>
            <w:r>
              <w:t>&lt; 99%</w:t>
            </w:r>
          </w:p>
        </w:tc>
        <w:tc>
          <w:tcPr>
            <w:tcW w:w="5400" w:type="dxa"/>
          </w:tcPr>
          <w:p w14:paraId="6DDB9075" w14:textId="77777777" w:rsidR="007E7727" w:rsidRPr="00EF7CF9" w:rsidRDefault="007E7727" w:rsidP="00F01ED6">
            <w:pPr>
              <w:pStyle w:val="ProductList-OfferingBody"/>
              <w:jc w:val="center"/>
            </w:pPr>
            <w:r>
              <w:t>25%</w:t>
            </w:r>
          </w:p>
        </w:tc>
      </w:tr>
      <w:tr w:rsidR="007E7727" w:rsidRPr="00B44CF9" w14:paraId="2E357365" w14:textId="77777777" w:rsidTr="00277097">
        <w:tc>
          <w:tcPr>
            <w:tcW w:w="5400" w:type="dxa"/>
          </w:tcPr>
          <w:p w14:paraId="485FC6B6" w14:textId="77777777" w:rsidR="007E7727" w:rsidRPr="00EF7CF9" w:rsidRDefault="007E7727" w:rsidP="00F01ED6">
            <w:pPr>
              <w:pStyle w:val="ProductList-OfferingBody"/>
              <w:jc w:val="center"/>
            </w:pPr>
            <w:r>
              <w:t>&lt; 95%</w:t>
            </w:r>
          </w:p>
        </w:tc>
        <w:tc>
          <w:tcPr>
            <w:tcW w:w="5400" w:type="dxa"/>
          </w:tcPr>
          <w:p w14:paraId="1D5703B2" w14:textId="77777777" w:rsidR="007E7727" w:rsidRPr="00EF7CF9" w:rsidRDefault="007E7727" w:rsidP="00F01ED6">
            <w:pPr>
              <w:pStyle w:val="ProductList-OfferingBody"/>
              <w:jc w:val="center"/>
            </w:pPr>
            <w:r>
              <w:t>100%</w:t>
            </w:r>
          </w:p>
        </w:tc>
      </w:tr>
    </w:tbl>
    <w:bookmarkStart w:id="300" w:name="_Toc5018197"/>
    <w:bookmarkStart w:id="301" w:name="_Toc52348933"/>
    <w:bookmarkStart w:id="302" w:name="_Toc510793664"/>
    <w:bookmarkStart w:id="303" w:name="_Toc484160665"/>
    <w:bookmarkEnd w:id="274"/>
    <w:p w14:paraId="698835A0"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B6B4E0B" w14:textId="77777777" w:rsidR="00A21ABA" w:rsidRPr="006F6DEB" w:rsidRDefault="00A21ABA" w:rsidP="006F6DEB">
      <w:pPr>
        <w:pStyle w:val="ProductList-Offering2Heading"/>
        <w:tabs>
          <w:tab w:val="clear" w:pos="360"/>
          <w:tab w:val="clear" w:pos="720"/>
          <w:tab w:val="clear" w:pos="1080"/>
        </w:tabs>
        <w:outlineLvl w:val="2"/>
      </w:pPr>
      <w:bookmarkStart w:id="304" w:name="_Toc239176490"/>
      <w:r w:rsidRPr="006F6DEB">
        <w:t>Clusters Automáticos do Serviço Azure Kubernetes (AKS)</w:t>
      </w:r>
      <w:bookmarkEnd w:id="304"/>
    </w:p>
    <w:p w14:paraId="5E9DE438" w14:textId="77777777" w:rsidR="00A21ABA" w:rsidRPr="000F64F6" w:rsidRDefault="00A21ABA" w:rsidP="00A21AB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Definições Adicionais</w:t>
      </w:r>
      <w:r>
        <w:rPr>
          <w:rFonts w:ascii="Calibri" w:eastAsia="Calibri" w:hAnsi="Calibri" w:cs="Arial"/>
          <w:sz w:val="18"/>
        </w:rPr>
        <w:t>:</w:t>
      </w:r>
    </w:p>
    <w:p w14:paraId="2B8CEBAE" w14:textId="77777777" w:rsidR="003C7432" w:rsidRPr="00BB7DD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Cluster Automático do Serviço Azure Kubernetes (AKS)</w:t>
      </w:r>
      <w:r>
        <w:rPr>
          <w:rFonts w:ascii="Calibri" w:eastAsia="Calibri" w:hAnsi="Calibri" w:cs="Calibri"/>
          <w:sz w:val="18"/>
          <w:szCs w:val="18"/>
        </w:rPr>
        <w:t>” ou “Cluster Automático” Um cluster do Serviço Azure Kubernetes do tipo “Automático” que inclui:</w:t>
      </w:r>
    </w:p>
    <w:p w14:paraId="583A3845" w14:textId="77777777" w:rsidR="003C7432" w:rsidRPr="00BB7DD2" w:rsidRDefault="003C7432" w:rsidP="003C7432">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Nós do plano de controlo que fornecem os principais serviços Azure Kubernetes e a orquestração das cargas de trabalho de aplicação; e</w:t>
      </w:r>
    </w:p>
    <w:p w14:paraId="4C8D8289" w14:textId="77777777" w:rsidR="003C7432" w:rsidRPr="00BB7DD2" w:rsidRDefault="003C7432" w:rsidP="003C7432">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alocação dinâmica de recursos de infraestrutura com base nos requisitos de carga de trabalho.</w:t>
      </w:r>
    </w:p>
    <w:p w14:paraId="6BD5A8F2" w14:textId="77777777" w:rsidR="003C743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Servidor de API de Kubernetes</w:t>
      </w:r>
      <w:r>
        <w:rPr>
          <w:rFonts w:ascii="Calibri" w:eastAsia="Calibri" w:hAnsi="Calibri" w:cs="Calibri"/>
          <w:sz w:val="18"/>
          <w:szCs w:val="18"/>
        </w:rPr>
        <w:t>” Quando é criado um Cluster Automático, é criado e configurado automaticamente um plano de controlo. O plano de controlo inclui o Servidor da API que expõe a API de Kubernetes subjacente.</w:t>
      </w:r>
    </w:p>
    <w:p w14:paraId="7EBF2A52" w14:textId="77777777" w:rsidR="003C7432" w:rsidRPr="00BB7DD2" w:rsidRDefault="003C7432" w:rsidP="003C7432">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Componentes do Sistema Gerido</w:t>
      </w:r>
      <w:r>
        <w:rPr>
          <w:rFonts w:ascii="Calibri" w:eastAsia="Calibri" w:hAnsi="Calibri" w:cs="Calibri"/>
          <w:sz w:val="18"/>
          <w:szCs w:val="18"/>
        </w:rPr>
        <w:t>” quando cria um Cluster Automático, é criado e configurado automaticamente um conjunto de nós do Sistema Gerido. O plano de controlo inclui o Servidor da API que expõe a API de Kubernetes subjacente.</w:t>
      </w:r>
    </w:p>
    <w:p w14:paraId="06C786E6" w14:textId="77777777" w:rsidR="003C7432" w:rsidRPr="00BB7DD2" w:rsidRDefault="003C7432" w:rsidP="003C7432">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Zona de Disponibilidade</w:t>
      </w:r>
      <w:r>
        <w:rPr>
          <w:rFonts w:ascii="Calibri" w:eastAsia="Calibri" w:hAnsi="Calibri" w:cs="Calibri"/>
          <w:sz w:val="18"/>
          <w:szCs w:val="18"/>
        </w:rPr>
        <w:t>” designa uma área isolada de falhas numa região do Azure que providencia alimentação, refrigeração e rede redundantes.</w:t>
      </w:r>
    </w:p>
    <w:p w14:paraId="2F8EE9D1" w14:textId="77777777" w:rsidR="003C7432" w:rsidRPr="00BB7DD2" w:rsidRDefault="003C7432" w:rsidP="003C7432">
      <w:pPr>
        <w:spacing w:after="0"/>
        <w:rPr>
          <w:rFonts w:ascii="Calibri" w:eastAsia="Calibri" w:hAnsi="Calibri" w:cs="Arial"/>
        </w:rPr>
      </w:pPr>
      <w:r>
        <w:rPr>
          <w:rFonts w:ascii="Calibri" w:eastAsia="Calibri" w:hAnsi="Calibri" w:cs="Calibri"/>
          <w:b/>
          <w:bCs/>
          <w:color w:val="00188F"/>
          <w:sz w:val="18"/>
          <w:szCs w:val="18"/>
        </w:rPr>
        <w:t>Cálculo de Tempo de Atividade e Níveis de Serviço para Clusters Automáticos que utilizam Zonas de Disponibilidade</w:t>
      </w:r>
    </w:p>
    <w:p w14:paraId="18ACBC9D" w14:textId="77777777" w:rsidR="003C7432" w:rsidRPr="00BB7DD2" w:rsidRDefault="003C7432" w:rsidP="003C7432">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Máximo de Minutos Disponíveis</w:t>
      </w:r>
      <w:r>
        <w:rPr>
          <w:rFonts w:ascii="Calibri" w:eastAsia="Calibri" w:hAnsi="Calibri" w:cs="Calibri"/>
          <w:sz w:val="18"/>
          <w:szCs w:val="18"/>
        </w:rPr>
        <w:t>” designa o total de minutos acumulados de um Cluster Automático ativado para a Zona de Disponibilidade até o momento em que o Cliente iniciou uma ação para parar ou eliminar o cluster durante um Período Aplicável.</w:t>
      </w:r>
    </w:p>
    <w:p w14:paraId="35CC83AA" w14:textId="77777777" w:rsidR="003C743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Tempo de Inatividade (Servidor da API de Kubernetes)</w:t>
      </w:r>
      <w:r>
        <w:rPr>
          <w:rFonts w:ascii="Calibri" w:eastAsia="Calibri" w:hAnsi="Calibri" w:cs="Calibri"/>
          <w:sz w:val="18"/>
          <w:szCs w:val="18"/>
        </w:rPr>
        <w:t>” designa o total de minutos acumulados que fazem parte do Máximo de Minutos Disponíveis sem conectividade ao Servidor de API de Kubernetes a partir do Cluster Automático ativado para a Zona de Disponibilidade aprovisionada na região.</w:t>
      </w:r>
    </w:p>
    <w:p w14:paraId="01E3E62E" w14:textId="77777777" w:rsidR="003C743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Tempo de Inatividade (Componentes do Sistema Gerido)</w:t>
      </w:r>
      <w:r>
        <w:rPr>
          <w:rFonts w:ascii="Calibri" w:eastAsia="Calibri" w:hAnsi="Calibri" w:cs="Calibri"/>
          <w:sz w:val="18"/>
          <w:szCs w:val="18"/>
        </w:rPr>
        <w:t>” é o total de minutos acumulados que fazem parte do Máximo de Minutos Disponíveis e que têm, pelo menos, um componente do sistema gerido que não tem um Pod de Sistema em execução.</w:t>
      </w:r>
    </w:p>
    <w:p w14:paraId="1F0228E3" w14:textId="77777777" w:rsidR="003C7432" w:rsidRPr="00BB7DD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Pod de Sistema</w:t>
      </w:r>
      <w:r>
        <w:rPr>
          <w:rFonts w:ascii="Calibri" w:eastAsia="Calibri" w:hAnsi="Calibri" w:cs="Calibri"/>
          <w:sz w:val="18"/>
          <w:szCs w:val="18"/>
        </w:rPr>
        <w:t>” é um pod que é executado no conjunto de nós do Sistema Gerido, como parte de uma implementação de um componente do sistema.</w:t>
      </w:r>
    </w:p>
    <w:p w14:paraId="30E74C75" w14:textId="77777777" w:rsidR="003C7432" w:rsidRDefault="003C7432" w:rsidP="003C7432">
      <w:pPr>
        <w:spacing w:after="0"/>
        <w:rPr>
          <w:rFonts w:ascii="Calibri" w:eastAsia="Calibri" w:hAnsi="Calibri" w:cs="Calibri"/>
          <w:sz w:val="18"/>
          <w:szCs w:val="18"/>
        </w:rPr>
      </w:pPr>
      <w:r w:rsidRPr="00451ABA">
        <w:rPr>
          <w:rFonts w:ascii="Calibri" w:eastAsia="Calibri" w:hAnsi="Calibri" w:cs="Calibri"/>
          <w:sz w:val="18"/>
          <w:szCs w:val="18"/>
        </w:rPr>
        <w:t xml:space="preserve">A </w:t>
      </w:r>
      <w:r>
        <w:rPr>
          <w:rFonts w:ascii="Calibri" w:eastAsia="Calibri" w:hAnsi="Calibri" w:cs="Calibri"/>
          <w:sz w:val="18"/>
          <w:szCs w:val="18"/>
        </w:rPr>
        <w:t>“</w:t>
      </w:r>
      <w:r>
        <w:rPr>
          <w:rFonts w:ascii="Calibri" w:eastAsia="Calibri" w:hAnsi="Calibri" w:cs="Calibri"/>
          <w:b/>
          <w:bCs/>
          <w:color w:val="00188F"/>
          <w:sz w:val="18"/>
          <w:szCs w:val="18"/>
        </w:rPr>
        <w:t>Percentagem de Tempo de Atividade</w:t>
      </w:r>
      <w:r>
        <w:rPr>
          <w:rFonts w:ascii="Calibri" w:eastAsia="Calibri" w:hAnsi="Calibri" w:cs="Calibri"/>
          <w:sz w:val="18"/>
          <w:szCs w:val="18"/>
        </w:rPr>
        <w:t>” para os Clusters Automático ativados para a Zona de Disponibilidade é calculada como o Máximo de Minutos Disponíveis menos o Tempo de Inatividade a dividir pelo Máximo de Minutos Disponíveis num Período Aplicável para uma determinada subscrição do Microsoft Azure. A Percentagem de Tempo de Atividade é representada pela seguinte fórmula:</w:t>
      </w:r>
    </w:p>
    <w:p w14:paraId="346CF3A1" w14:textId="77777777" w:rsidR="003C7432" w:rsidRPr="00064F9E" w:rsidRDefault="00000000" w:rsidP="003C7432">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Máximo Disponível Minutos - Tempo de Inatividade (Servidor da API de Kubernetes)</m:t>
              </m:r>
            </m:num>
            <m:den>
              <m:r>
                <m:rPr>
                  <m:nor/>
                </m:rPr>
                <w:rPr>
                  <w:rFonts w:ascii="Cambria Math" w:eastAsia="Calibri" w:hAnsi="Cambria Math" w:cs="Calibri"/>
                  <w:i/>
                  <w:sz w:val="18"/>
                  <w:szCs w:val="18"/>
                </w:rPr>
                <m:t>Máximo Disponível Minutos</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52CB3A22" w14:textId="77777777" w:rsidR="003C7432" w:rsidRPr="00064F9E" w:rsidRDefault="00000000" w:rsidP="003C7432">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Máximo Disponível Minutos - Tempo de Inatividade (Componentes do Sistema Geridos)</m:t>
              </m:r>
            </m:num>
            <m:den>
              <m:r>
                <m:rPr>
                  <m:nor/>
                </m:rPr>
                <w:rPr>
                  <w:rFonts w:ascii="Cambria Math" w:eastAsia="Calibri" w:hAnsi="Cambria Math" w:cs="Calibri"/>
                  <w:i/>
                  <w:sz w:val="18"/>
                  <w:szCs w:val="18"/>
                </w:rPr>
                <m:t>Máximo Disponível Minutos</m:t>
              </m:r>
            </m:den>
          </m:f>
          <m:r>
            <w:rPr>
              <w:rFonts w:ascii="Cambria Math" w:eastAsia="Calibri" w:hAnsi="Cambria Math" w:cs="Calibri"/>
              <w:sz w:val="18"/>
              <w:szCs w:val="18"/>
            </w:rPr>
            <m:t> x 100</m:t>
          </m:r>
        </m:oMath>
      </m:oMathPara>
    </w:p>
    <w:p w14:paraId="5982119A" w14:textId="77777777" w:rsidR="003C7432" w:rsidRPr="00BB7DD2" w:rsidRDefault="003C7432" w:rsidP="003C7432">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Os seguintes Níveis de Serviço e Créditos de Serviço são aplicáveis à utilização que o Cliente faz dos Clusters Automáticos que têm Zonas de Disponibilidade ativadas na região: Percentagem de Tempo de Atividade da API de Kubernetes, Crédito de Serviço</w:t>
      </w:r>
    </w:p>
    <w:tbl>
      <w:tblPr>
        <w:tblW w:w="10790" w:type="dxa"/>
        <w:tblLayout w:type="fixed"/>
        <w:tblLook w:val="04A0" w:firstRow="1" w:lastRow="0" w:firstColumn="1" w:lastColumn="0" w:noHBand="0" w:noVBand="1"/>
      </w:tblPr>
      <w:tblGrid>
        <w:gridCol w:w="5390"/>
        <w:gridCol w:w="5400"/>
      </w:tblGrid>
      <w:tr w:rsidR="003C7432" w:rsidRPr="00BB7DD2" w14:paraId="37BCACDA" w14:textId="77777777" w:rsidTr="00134B0B">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DEA2652" w14:textId="77777777" w:rsidR="003C7432" w:rsidRPr="00BB7DD2" w:rsidRDefault="003C7432" w:rsidP="00134B0B">
            <w:pPr>
              <w:spacing w:before="20" w:after="20"/>
              <w:ind w:left="-14" w:right="-101"/>
              <w:jc w:val="center"/>
              <w:rPr>
                <w:rFonts w:ascii="Calibri" w:eastAsia="Calibri" w:hAnsi="Calibri" w:cs="Arial"/>
              </w:rPr>
            </w:pPr>
            <w:r>
              <w:rPr>
                <w:rFonts w:ascii="Calibri" w:eastAsia="Calibri" w:hAnsi="Calibri" w:cs="Calibri"/>
                <w:color w:val="FFFFFF"/>
                <w:sz w:val="16"/>
                <w:szCs w:val="16"/>
              </w:rPr>
              <w:t>Percentagem de Tempo de Atividade</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4ACD0EC6" w14:textId="77777777" w:rsidR="003C7432" w:rsidRPr="00BB7DD2" w:rsidRDefault="003C7432" w:rsidP="00134B0B">
            <w:pPr>
              <w:spacing w:before="20" w:after="20"/>
              <w:ind w:left="-14" w:right="-101"/>
              <w:jc w:val="center"/>
              <w:rPr>
                <w:rFonts w:ascii="Calibri" w:eastAsia="Calibri" w:hAnsi="Calibri" w:cs="Arial"/>
              </w:rPr>
            </w:pPr>
            <w:r>
              <w:rPr>
                <w:rFonts w:ascii="Calibri" w:eastAsia="Calibri" w:hAnsi="Calibri" w:cs="Calibri"/>
                <w:color w:val="FFFFFF"/>
                <w:sz w:val="16"/>
                <w:szCs w:val="16"/>
              </w:rPr>
              <w:t>Crédito de Serviço</w:t>
            </w:r>
          </w:p>
        </w:tc>
      </w:tr>
      <w:tr w:rsidR="003C7432" w:rsidRPr="00BB7DD2" w14:paraId="55E49CAD" w14:textId="77777777" w:rsidTr="00134B0B">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C4008C0" w14:textId="77777777" w:rsidR="003C7432" w:rsidRPr="00BB7DD2" w:rsidRDefault="003C7432" w:rsidP="00134B0B">
            <w:pPr>
              <w:spacing w:before="20" w:after="20"/>
              <w:ind w:left="-14" w:right="-101"/>
              <w:jc w:val="center"/>
              <w:rPr>
                <w:rFonts w:ascii="Calibri" w:eastAsia="Calibri" w:hAnsi="Calibri" w:cs="Arial"/>
              </w:rPr>
            </w:pPr>
            <w:r>
              <w:rPr>
                <w:rFonts w:ascii="Calibri" w:eastAsia="Calibri" w:hAnsi="Calibri" w:cs="Calibri"/>
                <w:sz w:val="16"/>
                <w:szCs w:val="16"/>
              </w:rPr>
              <w:t>&lt; 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F9C9AA0" w14:textId="77777777" w:rsidR="003C7432" w:rsidRPr="00BB7DD2" w:rsidRDefault="003C7432" w:rsidP="00134B0B">
            <w:pPr>
              <w:spacing w:before="20" w:after="20"/>
              <w:ind w:left="-14" w:right="-101"/>
              <w:jc w:val="center"/>
              <w:rPr>
                <w:rFonts w:ascii="Calibri" w:eastAsia="Calibri" w:hAnsi="Calibri" w:cs="Arial"/>
              </w:rPr>
            </w:pPr>
            <w:r>
              <w:rPr>
                <w:rFonts w:ascii="Calibri" w:eastAsia="Calibri" w:hAnsi="Calibri" w:cs="Calibri"/>
                <w:sz w:val="16"/>
                <w:szCs w:val="16"/>
              </w:rPr>
              <w:t>10%</w:t>
            </w:r>
          </w:p>
        </w:tc>
      </w:tr>
      <w:tr w:rsidR="003C7432" w:rsidRPr="00BB7DD2" w14:paraId="63A271B3" w14:textId="77777777" w:rsidTr="00134B0B">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E5B8DA9" w14:textId="77777777" w:rsidR="003C7432" w:rsidRPr="00BB7DD2" w:rsidRDefault="003C7432" w:rsidP="00134B0B">
            <w:pPr>
              <w:spacing w:before="20" w:after="20"/>
              <w:ind w:left="-14" w:right="-101"/>
              <w:jc w:val="center"/>
              <w:rPr>
                <w:rFonts w:ascii="Calibri" w:eastAsia="Calibri" w:hAnsi="Calibri" w:cs="Arial"/>
              </w:rPr>
            </w:pPr>
            <w:r>
              <w:rPr>
                <w:rFonts w:ascii="Calibri" w:eastAsia="Calibri" w:hAnsi="Calibri" w:cs="Calibri"/>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9566D0D" w14:textId="77777777" w:rsidR="003C7432" w:rsidRPr="00BB7DD2" w:rsidRDefault="003C7432" w:rsidP="00134B0B">
            <w:pPr>
              <w:spacing w:before="20" w:after="20"/>
              <w:ind w:left="-14" w:right="-101"/>
              <w:jc w:val="center"/>
              <w:rPr>
                <w:rFonts w:ascii="Calibri" w:eastAsia="Calibri" w:hAnsi="Calibri" w:cs="Arial"/>
              </w:rPr>
            </w:pPr>
            <w:r>
              <w:rPr>
                <w:rFonts w:ascii="Calibri" w:eastAsia="Calibri" w:hAnsi="Calibri" w:cs="Calibri"/>
                <w:sz w:val="16"/>
                <w:szCs w:val="16"/>
              </w:rPr>
              <w:t>25%</w:t>
            </w:r>
          </w:p>
        </w:tc>
      </w:tr>
      <w:tr w:rsidR="003C7432" w:rsidRPr="00BB7DD2" w14:paraId="33AC7843" w14:textId="77777777" w:rsidTr="00134B0B">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9F0C208" w14:textId="77777777" w:rsidR="003C7432" w:rsidRPr="00BB7DD2" w:rsidRDefault="003C7432" w:rsidP="00134B0B">
            <w:pPr>
              <w:spacing w:before="20" w:after="20"/>
              <w:ind w:left="-14" w:right="-101"/>
              <w:jc w:val="center"/>
              <w:rPr>
                <w:rFonts w:ascii="Calibri" w:eastAsia="Calibri" w:hAnsi="Calibri" w:cs="Arial"/>
              </w:rPr>
            </w:pPr>
            <w:r>
              <w:rPr>
                <w:rFonts w:ascii="Calibri" w:eastAsia="Calibri" w:hAnsi="Calibri" w:cs="Calibri"/>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4509D39" w14:textId="77777777" w:rsidR="003C7432" w:rsidRPr="00BB7DD2" w:rsidRDefault="003C7432" w:rsidP="00134B0B">
            <w:pPr>
              <w:spacing w:before="20" w:after="20"/>
              <w:ind w:left="-14" w:right="-101"/>
              <w:jc w:val="center"/>
              <w:rPr>
                <w:rFonts w:ascii="Calibri" w:eastAsia="Calibri" w:hAnsi="Calibri" w:cs="Arial"/>
              </w:rPr>
            </w:pPr>
            <w:r>
              <w:rPr>
                <w:rFonts w:ascii="Calibri" w:eastAsia="Calibri" w:hAnsi="Calibri" w:cs="Calibri"/>
                <w:sz w:val="16"/>
                <w:szCs w:val="16"/>
              </w:rPr>
              <w:t>100%</w:t>
            </w:r>
          </w:p>
        </w:tc>
      </w:tr>
    </w:tbl>
    <w:p w14:paraId="7A8E7309" w14:textId="77777777" w:rsidR="003C7432" w:rsidRPr="00BB7DD2" w:rsidRDefault="003C7432" w:rsidP="003C7432">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Os seguintes Níveis de Serviço e Créditos de Serviço são aplicáveis à utilização que o Cliente faz dos Clusters Automáticos que têm Zonas de Disponibilidade ativadas na região: Percentagem de Tempo de Atividade dos Componentes do Sistema Gerido, Crédito de Serviço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3C7432" w:rsidRPr="00BB7DD2" w14:paraId="7B855FC2" w14:textId="77777777" w:rsidTr="00134B0B">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5E01229"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Percentagem de Tempo de Atividade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0258C55"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Crédito de Serviço </w:t>
            </w:r>
          </w:p>
        </w:tc>
      </w:tr>
      <w:tr w:rsidR="003C7432" w:rsidRPr="00BB7DD2" w14:paraId="6CA7D5C3" w14:textId="77777777" w:rsidTr="00134B0B">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6B78F3C" w14:textId="77777777" w:rsidR="003C7432" w:rsidRPr="00AC39A0" w:rsidRDefault="003C7432" w:rsidP="00134B0B">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0AFED115" w14:textId="77777777" w:rsidR="003C7432" w:rsidRPr="00AC39A0" w:rsidRDefault="003C7432" w:rsidP="00134B0B">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w:t>
            </w:r>
          </w:p>
        </w:tc>
      </w:tr>
      <w:tr w:rsidR="003C7432" w:rsidRPr="00BB7DD2" w14:paraId="45CA8C74" w14:textId="77777777" w:rsidTr="00134B0B">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DC09073" w14:textId="77777777" w:rsidR="003C7432" w:rsidRPr="00AC39A0" w:rsidRDefault="003C7432" w:rsidP="00134B0B">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F727A4C" w14:textId="77777777" w:rsidR="003C7432" w:rsidRPr="00AC39A0" w:rsidRDefault="003C7432" w:rsidP="00134B0B">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w:t>
            </w:r>
          </w:p>
        </w:tc>
      </w:tr>
      <w:tr w:rsidR="003C7432" w:rsidRPr="00BB7DD2" w14:paraId="0F1058BD" w14:textId="77777777" w:rsidTr="00134B0B">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067B05A0" w14:textId="77777777" w:rsidR="003C7432" w:rsidRPr="00AC39A0" w:rsidRDefault="003C7432" w:rsidP="00134B0B">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3893898B" w14:textId="77777777" w:rsidR="003C7432" w:rsidRPr="00AC39A0" w:rsidRDefault="003C7432" w:rsidP="00134B0B">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w:t>
            </w:r>
          </w:p>
        </w:tc>
      </w:tr>
    </w:tbl>
    <w:p w14:paraId="012909D4" w14:textId="77777777" w:rsidR="003C7432" w:rsidRPr="00BB7DD2" w:rsidRDefault="003C7432" w:rsidP="003C7432">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Cálculo de Prontidão e Níveis de Serviço para Clusters Automáticos</w:t>
      </w:r>
    </w:p>
    <w:p w14:paraId="1E6AC237" w14:textId="77777777" w:rsidR="003C7432" w:rsidRPr="00BB7DD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Honorários dos Serviços Aplicáveis</w:t>
      </w:r>
      <w:r>
        <w:rPr>
          <w:rFonts w:ascii="Calibri" w:eastAsia="Calibri" w:hAnsi="Calibri" w:cs="Calibri"/>
          <w:sz w:val="18"/>
          <w:szCs w:val="18"/>
        </w:rPr>
        <w:t>” designa o total dos honorários dos serviços por hora adicionais incorridas para máquinas virtuais no Cluster Automático durante o Período Aplicável para o qual é devido um Crédito de Serviço, excluindo quaisquer encargos pelas próprias máquinas virtuais.</w:t>
      </w:r>
    </w:p>
    <w:p w14:paraId="00A9744E" w14:textId="77777777" w:rsidR="003C7432" w:rsidRPr="00BB7DD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Pod Aplicável</w:t>
      </w:r>
      <w:r>
        <w:rPr>
          <w:rFonts w:ascii="Calibri" w:eastAsia="Calibri" w:hAnsi="Calibri" w:cs="Calibri"/>
          <w:sz w:val="18"/>
          <w:szCs w:val="18"/>
        </w:rPr>
        <w:t>” designa um pod que não monta volumes com origens que não sejam segredos, mapas de configuração, APIs descendentes e emptyDir, e não requer nós que incluam Windows, GPU, Confidencial ou outras SKU especiais.</w:t>
      </w:r>
    </w:p>
    <w:p w14:paraId="7FDF756A" w14:textId="77777777" w:rsidR="003C7432" w:rsidRPr="00BB7DD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Janela Excluída</w:t>
      </w:r>
      <w:r>
        <w:rPr>
          <w:rFonts w:ascii="Calibri" w:eastAsia="Calibri" w:hAnsi="Calibri" w:cs="Calibri"/>
          <w:sz w:val="18"/>
          <w:szCs w:val="18"/>
        </w:rPr>
        <w:t>“ designa qualquer intervalo de 5 minutos durante o qual operações de média a grande escala (envolvendo 100 ou mais nós) são iniciadas ou são observados erros de quota/subscrição no Cluster Automático.</w:t>
      </w:r>
    </w:p>
    <w:p w14:paraId="3AA857FC" w14:textId="77777777" w:rsidR="003C7432" w:rsidRPr="00BB7DD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Total de Operações de Pod</w:t>
      </w:r>
      <w:r>
        <w:rPr>
          <w:rFonts w:ascii="Calibri" w:eastAsia="Calibri" w:hAnsi="Calibri" w:cs="Calibri"/>
          <w:sz w:val="18"/>
          <w:szCs w:val="18"/>
        </w:rPr>
        <w:t>” designa o número total de operações de criação do Pod Aplicável iniciadas pelo cliente fora das Janelas Excluídas durante um Período Aplicável.</w:t>
      </w:r>
    </w:p>
    <w:p w14:paraId="67443E87" w14:textId="77777777" w:rsidR="003C7432" w:rsidRPr="00BB7DD2" w:rsidRDefault="003C7432" w:rsidP="003C743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Operações de Pod Atrasadas</w:t>
      </w:r>
      <w:r>
        <w:rPr>
          <w:rFonts w:ascii="Calibri" w:eastAsia="Calibri" w:hAnsi="Calibri" w:cs="Calibri"/>
          <w:sz w:val="18"/>
          <w:szCs w:val="18"/>
        </w:rPr>
        <w:t>” designa o número total de operações de criação de Pods Aplicáveis em que os contentores de um Pod Aplicável não são reportados como iniciados no prazo de cinco minutos, medido a partir do momento da criação do objeto pod, excluindo o tempo necessário para a extração de imagens e o runtime do contentor init.</w:t>
      </w:r>
    </w:p>
    <w:p w14:paraId="401FB508" w14:textId="77777777" w:rsidR="003C7432" w:rsidRDefault="003C7432" w:rsidP="003C7432">
      <w:pPr>
        <w:spacing w:after="0"/>
        <w:rPr>
          <w:rFonts w:ascii="Calibri" w:eastAsia="Calibri" w:hAnsi="Calibri" w:cs="Calibri"/>
          <w:sz w:val="18"/>
          <w:szCs w:val="18"/>
        </w:rPr>
      </w:pPr>
      <w:r w:rsidRPr="00451ABA">
        <w:rPr>
          <w:rFonts w:ascii="Calibri" w:eastAsia="Calibri" w:hAnsi="Calibri" w:cs="Calibri"/>
          <w:sz w:val="18"/>
          <w:szCs w:val="18"/>
        </w:rPr>
        <w:t xml:space="preserve">A </w:t>
      </w:r>
      <w:r>
        <w:rPr>
          <w:rFonts w:ascii="Calibri" w:eastAsia="Calibri" w:hAnsi="Calibri" w:cs="Calibri"/>
          <w:sz w:val="18"/>
          <w:szCs w:val="18"/>
        </w:rPr>
        <w:t>“</w:t>
      </w:r>
      <w:r>
        <w:rPr>
          <w:rFonts w:ascii="Calibri" w:eastAsia="Calibri" w:hAnsi="Calibri" w:cs="Calibri"/>
          <w:b/>
          <w:bCs/>
          <w:color w:val="00188F"/>
          <w:sz w:val="18"/>
          <w:szCs w:val="18"/>
        </w:rPr>
        <w:t>Percentagem de Prontidão</w:t>
      </w:r>
      <w:r>
        <w:rPr>
          <w:rFonts w:ascii="Calibri" w:eastAsia="Calibri" w:hAnsi="Calibri" w:cs="Calibri"/>
          <w:sz w:val="18"/>
          <w:szCs w:val="18"/>
        </w:rPr>
        <w:t xml:space="preserve">” para Clusters Automáticos é calculada como as Operações Totais de Pod </w:t>
      </w:r>
      <w:bookmarkStart w:id="305" w:name="_Int_ycDxSw3p"/>
      <w:r>
        <w:rPr>
          <w:rFonts w:ascii="Calibri" w:eastAsia="Calibri" w:hAnsi="Calibri" w:cs="Calibri"/>
          <w:sz w:val="18"/>
          <w:szCs w:val="18"/>
        </w:rPr>
        <w:t>menos</w:t>
      </w:r>
      <w:bookmarkEnd w:id="305"/>
      <w:r>
        <w:rPr>
          <w:rFonts w:ascii="Calibri" w:eastAsia="Calibri" w:hAnsi="Calibri" w:cs="Calibri"/>
          <w:sz w:val="18"/>
          <w:szCs w:val="18"/>
        </w:rPr>
        <w:t xml:space="preserve"> as Operações Atrasadas de Pod dividida pelas Operações Totais de Pod num Período Aplicável para uma determinada subscrição do Microsoft Azure. A Percentagem de Prontidão é representada pela seguinte fórmula: </w:t>
      </w:r>
    </w:p>
    <w:p w14:paraId="1B70D4A4" w14:textId="77777777" w:rsidR="003C7432" w:rsidRPr="00064F9E" w:rsidRDefault="00000000" w:rsidP="003C7432">
      <w:pPr>
        <w:spacing w:before="120" w:after="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Total de Operações de Pod - Operações de Pod Atrasadas</m:t>
              </m:r>
            </m:num>
            <m:den>
              <m:r>
                <m:rPr>
                  <m:nor/>
                </m:rPr>
                <w:rPr>
                  <w:rFonts w:ascii="Cambria Math" w:eastAsia="Calibri" w:hAnsi="Cambria Math" w:cs="Calibri"/>
                  <w:i/>
                  <w:sz w:val="18"/>
                  <w:szCs w:val="18"/>
                </w:rPr>
                <m:t>Total de Operações de Pod</m:t>
              </m:r>
            </m:den>
          </m:f>
          <m:r>
            <w:rPr>
              <w:rFonts w:ascii="Cambria Math" w:eastAsia="Calibri" w:hAnsi="Cambria Math" w:cs="Calibri"/>
              <w:sz w:val="18"/>
              <w:szCs w:val="18"/>
            </w:rPr>
            <m:t> x 100</m:t>
          </m:r>
        </m:oMath>
      </m:oMathPara>
    </w:p>
    <w:p w14:paraId="529A5E29" w14:textId="77777777" w:rsidR="003C7432" w:rsidRPr="00BB7DD2" w:rsidRDefault="003C7432" w:rsidP="003C7432">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Percentagem de Prontidão, Crédito de Serviço</w:t>
      </w:r>
    </w:p>
    <w:tbl>
      <w:tblPr>
        <w:tblW w:w="10790" w:type="dxa"/>
        <w:tblLayout w:type="fixed"/>
        <w:tblLook w:val="04A0" w:firstRow="1" w:lastRow="0" w:firstColumn="1" w:lastColumn="0" w:noHBand="0" w:noVBand="1"/>
      </w:tblPr>
      <w:tblGrid>
        <w:gridCol w:w="5168"/>
        <w:gridCol w:w="5622"/>
      </w:tblGrid>
      <w:tr w:rsidR="003C7432" w:rsidRPr="00BB7DD2" w14:paraId="4B618694" w14:textId="77777777" w:rsidTr="00134B0B">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71B28C9"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Percentagem de Prontidão</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7F84AFC" w14:textId="77777777" w:rsidR="003C7432" w:rsidRPr="00BB7DD2"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Crédito de Serviço</w:t>
            </w:r>
          </w:p>
        </w:tc>
      </w:tr>
      <w:tr w:rsidR="003C7432" w:rsidRPr="00BB7DD2" w14:paraId="59D12413" w14:textId="77777777" w:rsidTr="00134B0B">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774BE38"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4B25E1B"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w:t>
            </w:r>
          </w:p>
        </w:tc>
      </w:tr>
      <w:tr w:rsidR="003C7432" w:rsidRPr="00BB7DD2" w14:paraId="7D5C47F1" w14:textId="77777777" w:rsidTr="00134B0B">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761C6D1"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151892"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w:t>
            </w:r>
          </w:p>
        </w:tc>
      </w:tr>
      <w:tr w:rsidR="003C7432" w:rsidRPr="00BB7DD2" w14:paraId="5C619DAE" w14:textId="77777777" w:rsidTr="00134B0B">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840DD83"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B7ED942" w14:textId="77777777" w:rsidR="003C7432" w:rsidRPr="00AC39A0" w:rsidRDefault="003C7432" w:rsidP="00134B0B">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w:t>
            </w:r>
          </w:p>
        </w:tc>
      </w:tr>
    </w:tbl>
    <w:p w14:paraId="50B15DC2" w14:textId="77777777" w:rsidR="006F6DEB" w:rsidRPr="00EF7CF9" w:rsidRDefault="006F6DEB" w:rsidP="006F6DE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0DD97676" w14:textId="4832E4CE" w:rsidR="004005AF" w:rsidRPr="00EF7CF9" w:rsidRDefault="004005AF" w:rsidP="00F01ED6">
      <w:pPr>
        <w:pStyle w:val="ProductList-Offering2Heading"/>
        <w:tabs>
          <w:tab w:val="clear" w:pos="360"/>
          <w:tab w:val="clear" w:pos="720"/>
          <w:tab w:val="clear" w:pos="1080"/>
        </w:tabs>
        <w:outlineLvl w:val="2"/>
      </w:pPr>
      <w:bookmarkStart w:id="306" w:name="_Toc239176491"/>
      <w:r>
        <w:t>Azure Lab Services</w:t>
      </w:r>
      <w:bookmarkEnd w:id="300"/>
      <w:bookmarkEnd w:id="301"/>
      <w:bookmarkEnd w:id="306"/>
    </w:p>
    <w:p w14:paraId="6AA23733" w14:textId="77777777" w:rsidR="004005AF" w:rsidRPr="00EF7CF9" w:rsidRDefault="004005AF" w:rsidP="00F01ED6">
      <w:pPr>
        <w:pStyle w:val="ProductList-Body"/>
      </w:pPr>
      <w:r>
        <w:rPr>
          <w:b/>
          <w:color w:val="00188F"/>
        </w:rPr>
        <w:t>Definições Adicionais</w:t>
      </w:r>
      <w:r w:rsidRPr="00473DD3">
        <w:rPr>
          <w:b/>
          <w:color w:val="00188F"/>
        </w:rPr>
        <w:t>:</w:t>
      </w:r>
    </w:p>
    <w:p w14:paraId="6C2C916A" w14:textId="316ADECD" w:rsidR="004005AF" w:rsidRPr="00784894" w:rsidRDefault="00380305" w:rsidP="00F01ED6">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Máquina(s) Virtual(is) de Laboratório</w:t>
      </w:r>
      <w:r>
        <w:rPr>
          <w:rFonts w:asciiTheme="minorHAnsi" w:eastAsiaTheme="minorHAnsi" w:hAnsiTheme="minorHAnsi" w:cstheme="minorBidi"/>
          <w:sz w:val="18"/>
          <w:szCs w:val="22"/>
        </w:rPr>
        <w:t>”</w:t>
      </w:r>
      <w:r w:rsidR="004005AF">
        <w:rPr>
          <w:rFonts w:asciiTheme="minorHAnsi" w:eastAsiaTheme="minorHAnsi" w:hAnsiTheme="minorHAnsi" w:cstheme="minorBidi"/>
          <w:sz w:val="18"/>
          <w:szCs w:val="22"/>
        </w:rPr>
        <w:t xml:space="preserve"> é definido como qualquer máquina virtual aprovisionada dentro de um laboratório nos Azure Lab Services.</w:t>
      </w:r>
    </w:p>
    <w:p w14:paraId="04D39350" w14:textId="5194A615" w:rsidR="004005AF" w:rsidRPr="00784894" w:rsidRDefault="00380305" w:rsidP="00F01ED6">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Conectividade da Máquina Virtual de Laboratório</w:t>
      </w:r>
      <w:r>
        <w:rPr>
          <w:rFonts w:asciiTheme="minorHAnsi" w:eastAsiaTheme="minorHAnsi" w:hAnsiTheme="minorHAnsi" w:cstheme="minorBidi"/>
          <w:sz w:val="18"/>
          <w:szCs w:val="22"/>
        </w:rPr>
        <w:t>”</w:t>
      </w:r>
      <w:r w:rsidR="004005AF">
        <w:rPr>
          <w:color w:val="000000"/>
        </w:rPr>
        <w:t xml:space="preserve"> </w:t>
      </w:r>
      <w:r w:rsidR="004005AF">
        <w:rPr>
          <w:rFonts w:asciiTheme="minorHAnsi" w:eastAsiaTheme="minorHAnsi" w:hAnsiTheme="minorHAnsi" w:cstheme="minorBidi"/>
          <w:sz w:val="18"/>
          <w:szCs w:val="22"/>
        </w:rPr>
        <w:t>é o tráfego de rede bidirecional entre a Máquina Virtual de Laboratório e os outros endereços IP que utilizam os protocolos de rede TCP ou UDP em que a Máquina Virtual de Laboratório está configurada para o tráfego permitido. Os endereços IP podem ser endereços IP na mesma rede virtual que a Máquina Virtual de Laboratório ou endereços IP encaminháveis públicos.</w:t>
      </w:r>
    </w:p>
    <w:p w14:paraId="450A7B65" w14:textId="10AC90AD" w:rsidR="004005AF" w:rsidRPr="00ED4527" w:rsidRDefault="00EE6E3C" w:rsidP="00F01ED6">
      <w:pPr>
        <w:spacing w:after="0" w:line="240" w:lineRule="auto"/>
        <w:rPr>
          <w:b/>
          <w:bCs/>
          <w:color w:val="00188F"/>
          <w:sz w:val="18"/>
        </w:rPr>
      </w:pPr>
      <w:r>
        <w:rPr>
          <w:b/>
          <w:bCs/>
          <w:color w:val="00188F"/>
          <w:sz w:val="18"/>
        </w:rPr>
        <w:t>Cálculo do Período de Disponibilidade e Níveis de Serviço para os Azure Lab Services</w:t>
      </w:r>
    </w:p>
    <w:p w14:paraId="3E2CADC7" w14:textId="18E6AC71" w:rsidR="004005AF" w:rsidRDefault="00380305" w:rsidP="00F01ED6">
      <w:pPr>
        <w:spacing w:after="0" w:line="240" w:lineRule="auto"/>
        <w:rPr>
          <w:sz w:val="18"/>
        </w:rPr>
      </w:pPr>
      <w:r>
        <w:rPr>
          <w:sz w:val="18"/>
        </w:rPr>
        <w:t>“</w:t>
      </w:r>
      <w:r w:rsidR="004005AF">
        <w:rPr>
          <w:b/>
          <w:color w:val="00188F"/>
          <w:sz w:val="18"/>
        </w:rPr>
        <w:t>Minutos no Período Aplicável</w:t>
      </w:r>
      <w:r>
        <w:rPr>
          <w:sz w:val="18"/>
        </w:rPr>
        <w:t>”</w:t>
      </w:r>
      <w:r w:rsidR="004005AF">
        <w:rPr>
          <w:sz w:val="18"/>
        </w:rPr>
        <w:t xml:space="preserve"> designa o número total de minutos num determinado Período Aplicável.</w:t>
      </w:r>
    </w:p>
    <w:p w14:paraId="53138E33" w14:textId="3C82072C" w:rsidR="004005AF" w:rsidRPr="00EF7CF9" w:rsidRDefault="00380305" w:rsidP="00F01ED6">
      <w:pPr>
        <w:spacing w:after="0" w:line="240" w:lineRule="auto"/>
        <w:rPr>
          <w:sz w:val="18"/>
        </w:rPr>
      </w:pPr>
      <w:r>
        <w:rPr>
          <w:sz w:val="18"/>
        </w:rPr>
        <w:t>“</w:t>
      </w:r>
      <w:r w:rsidR="004005AF">
        <w:rPr>
          <w:b/>
          <w:color w:val="00188F"/>
          <w:sz w:val="18"/>
        </w:rPr>
        <w:t>Período de Indisponibilidade</w:t>
      </w:r>
      <w:r>
        <w:rPr>
          <w:sz w:val="18"/>
        </w:rPr>
        <w:t>”</w:t>
      </w:r>
      <w:r w:rsidR="004005AF">
        <w:rPr>
          <w:sz w:val="18"/>
        </w:rPr>
        <w:t xml:space="preserve"> é o total de minutos acumulados que fazem parte dos Minutos no Período Aplicável sem Conectividade da</w:t>
      </w:r>
      <w:r w:rsidR="006A17CA">
        <w:rPr>
          <w:sz w:val="18"/>
        </w:rPr>
        <w:t> </w:t>
      </w:r>
      <w:r w:rsidR="004005AF">
        <w:rPr>
          <w:sz w:val="18"/>
        </w:rPr>
        <w:t>Máquina Virtual de Laboratório.</w:t>
      </w:r>
    </w:p>
    <w:p w14:paraId="30430B60" w14:textId="076ACAC4" w:rsidR="004005AF" w:rsidRDefault="00380305" w:rsidP="00F01ED6">
      <w:pPr>
        <w:pStyle w:val="ProductList-Body"/>
      </w:pPr>
      <w:r w:rsidRPr="00CB7596">
        <w:lastRenderedPageBreak/>
        <w:t>“</w:t>
      </w:r>
      <w:r w:rsidR="004005AF">
        <w:rPr>
          <w:b/>
          <w:color w:val="00188F"/>
        </w:rPr>
        <w:t>Percentagem de Período de Disponibilidade</w:t>
      </w:r>
      <w:r>
        <w:t>”</w:t>
      </w:r>
      <w:r w:rsidR="004005AF">
        <w:t xml:space="preserve"> é calculada pela percentagem de minutos num Período Aplicável para uma determinada subscrição Microsoft Azure, em que qualquer Máquina Virtual de Laboratório teve Período de Indisponibilidade.</w:t>
      </w:r>
    </w:p>
    <w:p w14:paraId="17183B58" w14:textId="10C81411" w:rsidR="004005AF" w:rsidRPr="00EF7CF9" w:rsidRDefault="004005AF" w:rsidP="00F01ED6">
      <w:pPr>
        <w:pStyle w:val="ProductList-Body"/>
      </w:pPr>
      <w:r>
        <w:t xml:space="preserve">A Percentagem de Período de Disponibilidade é calculada através da seguinte fórmula: </w:t>
      </w:r>
    </w:p>
    <w:p w14:paraId="551A791A" w14:textId="08F36FDD" w:rsidR="004005AF" w:rsidRPr="00A2017D" w:rsidRDefault="00000000" w:rsidP="005D1414">
      <w:pPr>
        <w:pStyle w:val="ListParagraph"/>
        <w:spacing w:before="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Minutos no Período Aplicável - Período de Indisponibilidade</m:t>
              </m:r>
            </m:num>
            <m:den>
              <m:r>
                <m:rPr>
                  <m:nor/>
                </m:rPr>
                <w:rPr>
                  <w:rFonts w:ascii="Cambria Math" w:hAnsi="Cambria Math" w:cs="Tahoma"/>
                  <w:i/>
                  <w:sz w:val="18"/>
                  <w:szCs w:val="18"/>
                </w:rPr>
                <m:t>Minutos no Período Aplicável</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F01ED6">
      <w:pPr>
        <w:pStyle w:val="ProductList-Body"/>
        <w:keepNext/>
        <w:keepLines/>
      </w:pPr>
      <w:r>
        <w:rPr>
          <w:b/>
          <w:color w:val="00188F"/>
        </w:rPr>
        <w:t>Os seguintes Níveis de Serviço e Créditos de Serviço são aplicáveis à utilização que o Cliente faz das Máquinas Virtuais de Laboratório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F01ED6">
            <w:pPr>
              <w:pStyle w:val="ProductList-OfferingBody"/>
              <w:keepNext/>
              <w:keepLines/>
              <w:jc w:val="center"/>
              <w:rPr>
                <w:color w:val="FFFFFF" w:themeColor="background1"/>
              </w:rPr>
            </w:pPr>
            <w:r>
              <w:rPr>
                <w:color w:val="FFFFFF" w:themeColor="background1"/>
              </w:rPr>
              <w:t>Percentagem de Período de Disponibilidade</w:t>
            </w:r>
          </w:p>
        </w:tc>
        <w:tc>
          <w:tcPr>
            <w:tcW w:w="5400" w:type="dxa"/>
            <w:shd w:val="clear" w:color="auto" w:fill="0072C6"/>
          </w:tcPr>
          <w:p w14:paraId="2E08530B" w14:textId="77777777" w:rsidR="004005AF" w:rsidRPr="00EF7CF9" w:rsidRDefault="004005AF" w:rsidP="00F01ED6">
            <w:pPr>
              <w:pStyle w:val="ProductList-OfferingBody"/>
              <w:keepNext/>
              <w:keepLines/>
              <w:jc w:val="center"/>
              <w:rPr>
                <w:color w:val="FFFFFF" w:themeColor="background1"/>
              </w:rPr>
            </w:pPr>
            <w:r>
              <w:rPr>
                <w:color w:val="FFFFFF" w:themeColor="background1"/>
              </w:rPr>
              <w:t>Crédito de Serviço</w:t>
            </w:r>
          </w:p>
        </w:tc>
      </w:tr>
      <w:tr w:rsidR="004005AF" w:rsidRPr="00B44CF9" w14:paraId="4B7BD564" w14:textId="77777777" w:rsidTr="00277097">
        <w:tc>
          <w:tcPr>
            <w:tcW w:w="5400" w:type="dxa"/>
          </w:tcPr>
          <w:p w14:paraId="4918FF95" w14:textId="77777777" w:rsidR="004005AF" w:rsidRPr="00EF7CF9" w:rsidRDefault="004005AF" w:rsidP="00F01ED6">
            <w:pPr>
              <w:pStyle w:val="ProductList-OfferingBody"/>
              <w:keepNext/>
              <w:keepLines/>
              <w:jc w:val="center"/>
            </w:pPr>
            <w:r>
              <w:t>&lt; 99,9%</w:t>
            </w:r>
          </w:p>
        </w:tc>
        <w:tc>
          <w:tcPr>
            <w:tcW w:w="5400" w:type="dxa"/>
          </w:tcPr>
          <w:p w14:paraId="5F11DDEE" w14:textId="77777777" w:rsidR="004005AF" w:rsidRPr="00EF7CF9" w:rsidRDefault="004005AF" w:rsidP="00F01ED6">
            <w:pPr>
              <w:pStyle w:val="ProductList-OfferingBody"/>
              <w:keepNext/>
              <w:keepLines/>
              <w:jc w:val="center"/>
            </w:pPr>
            <w:r>
              <w:t>10%</w:t>
            </w:r>
          </w:p>
        </w:tc>
      </w:tr>
      <w:tr w:rsidR="004005AF" w:rsidRPr="00B44CF9" w14:paraId="3EA53C01" w14:textId="77777777" w:rsidTr="00277097">
        <w:tc>
          <w:tcPr>
            <w:tcW w:w="5400" w:type="dxa"/>
          </w:tcPr>
          <w:p w14:paraId="68B646AD" w14:textId="77777777" w:rsidR="004005AF" w:rsidRPr="00EF7CF9" w:rsidRDefault="004005AF" w:rsidP="00F01ED6">
            <w:pPr>
              <w:pStyle w:val="ProductList-OfferingBody"/>
              <w:keepNext/>
              <w:keepLines/>
              <w:jc w:val="center"/>
            </w:pPr>
            <w:r>
              <w:t>&lt; 99%</w:t>
            </w:r>
          </w:p>
        </w:tc>
        <w:tc>
          <w:tcPr>
            <w:tcW w:w="5400" w:type="dxa"/>
          </w:tcPr>
          <w:p w14:paraId="33C24386" w14:textId="77777777" w:rsidR="004005AF" w:rsidRPr="00EF7CF9" w:rsidRDefault="004005AF" w:rsidP="00F01ED6">
            <w:pPr>
              <w:pStyle w:val="ProductList-OfferingBody"/>
              <w:keepNext/>
              <w:keepLines/>
              <w:jc w:val="center"/>
            </w:pPr>
            <w:r>
              <w:t>25%</w:t>
            </w:r>
          </w:p>
        </w:tc>
      </w:tr>
    </w:tbl>
    <w:bookmarkStart w:id="307" w:name="_Toc52348934"/>
    <w:p w14:paraId="51FC73F1"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4C37CB2F" w14:textId="4D67CDB5" w:rsidR="004005AF" w:rsidRDefault="004005AF" w:rsidP="00F01ED6">
      <w:pPr>
        <w:pStyle w:val="ProductList-Offering2Heading"/>
        <w:tabs>
          <w:tab w:val="clear" w:pos="360"/>
          <w:tab w:val="clear" w:pos="720"/>
          <w:tab w:val="clear" w:pos="1080"/>
        </w:tabs>
        <w:outlineLvl w:val="2"/>
      </w:pPr>
      <w:bookmarkStart w:id="308" w:name="_Toc239176492"/>
      <w:r>
        <w:t>Balanceador de Carga do Azure</w:t>
      </w:r>
      <w:bookmarkEnd w:id="302"/>
      <w:bookmarkEnd w:id="307"/>
      <w:bookmarkEnd w:id="308"/>
    </w:p>
    <w:p w14:paraId="137AB573" w14:textId="77777777" w:rsidR="004005AF" w:rsidRPr="00911548" w:rsidRDefault="004005AF" w:rsidP="00F01ED6">
      <w:pPr>
        <w:pStyle w:val="ProductList-Body"/>
      </w:pPr>
      <w:r>
        <w:rPr>
          <w:b/>
          <w:color w:val="00188F"/>
        </w:rPr>
        <w:t>Definições Adicionais</w:t>
      </w:r>
      <w:r w:rsidRPr="00473DD3">
        <w:rPr>
          <w:b/>
          <w:color w:val="00188F"/>
        </w:rPr>
        <w:t>:</w:t>
      </w:r>
    </w:p>
    <w:p w14:paraId="658FBB6A" w14:textId="74E8B8B6" w:rsidR="004005AF" w:rsidRPr="00EB0868" w:rsidRDefault="00380305" w:rsidP="00F01ED6">
      <w:pPr>
        <w:spacing w:after="0" w:line="240" w:lineRule="auto"/>
        <w:rPr>
          <w:sz w:val="18"/>
        </w:rPr>
      </w:pPr>
      <w:r>
        <w:rPr>
          <w:sz w:val="18"/>
        </w:rPr>
        <w:t>“</w:t>
      </w:r>
      <w:r w:rsidR="004005AF">
        <w:rPr>
          <w:b/>
          <w:color w:val="00188F"/>
          <w:sz w:val="18"/>
        </w:rPr>
        <w:t>Ponto Final com Balanceamento de Carga</w:t>
      </w:r>
      <w:r>
        <w:rPr>
          <w:sz w:val="18"/>
        </w:rPr>
        <w:t>”</w:t>
      </w:r>
      <w:r w:rsidR="004005AF">
        <w:rPr>
          <w:sz w:val="18"/>
        </w:rPr>
        <w:t xml:space="preserve"> designa um endereço IP e a definição da porta de transporte IP associada.</w:t>
      </w:r>
    </w:p>
    <w:p w14:paraId="5615CC04" w14:textId="3B6A7F45" w:rsidR="004005AF" w:rsidRPr="00EB0868" w:rsidRDefault="00380305" w:rsidP="00F01ED6">
      <w:pPr>
        <w:spacing w:after="0" w:line="240" w:lineRule="auto"/>
        <w:rPr>
          <w:sz w:val="18"/>
        </w:rPr>
      </w:pPr>
      <w:r>
        <w:rPr>
          <w:sz w:val="18"/>
        </w:rPr>
        <w:t>“</w:t>
      </w:r>
      <w:r w:rsidR="004005AF">
        <w:rPr>
          <w:b/>
          <w:color w:val="00188F"/>
          <w:sz w:val="18"/>
        </w:rPr>
        <w:t>Máquina Virtual em Bom Estado de Funcionamento</w:t>
      </w:r>
      <w:r>
        <w:rPr>
          <w:sz w:val="18"/>
        </w:rPr>
        <w:t>”</w:t>
      </w:r>
      <w:r w:rsidR="004005AF">
        <w:rPr>
          <w:sz w:val="18"/>
        </w:rPr>
        <w:t xml:space="preserve"> designa uma Máquina Virtual que devolve um Código de Sucesso à sonda de estado de funcionamento através do Balanceador de Carga Standard do Azure. A Máquina Virtual tem de ter regras do Grupo de Segurança de Rede que permitem a comunicação com a porta com balanceamento de carga.</w:t>
      </w:r>
    </w:p>
    <w:p w14:paraId="1D408E9F" w14:textId="484E90D9" w:rsidR="004005AF" w:rsidRPr="00EB0868" w:rsidRDefault="00380305" w:rsidP="00F01ED6">
      <w:pPr>
        <w:spacing w:after="0" w:line="240" w:lineRule="auto"/>
        <w:rPr>
          <w:sz w:val="18"/>
        </w:rPr>
      </w:pPr>
      <w:r>
        <w:rPr>
          <w:sz w:val="18"/>
        </w:rPr>
        <w:t>“</w:t>
      </w:r>
      <w:r w:rsidR="004005AF">
        <w:rPr>
          <w:b/>
          <w:color w:val="00188F"/>
          <w:sz w:val="18"/>
        </w:rPr>
        <w:t>Conectividade</w:t>
      </w:r>
      <w:r>
        <w:rPr>
          <w:sz w:val="18"/>
        </w:rPr>
        <w:t>”</w:t>
      </w:r>
      <w:r w:rsidR="004005AF">
        <w:rPr>
          <w:sz w:val="18"/>
        </w:rPr>
        <w:t xml:space="preserve"> designa o tráfego de rede bidirecional através de protocolos de transporte IP suportados que podem ser enviados e recebidos de</w:t>
      </w:r>
      <w:r w:rsidR="004D6ED7">
        <w:rPr>
          <w:sz w:val="18"/>
        </w:rPr>
        <w:t> </w:t>
      </w:r>
      <w:r w:rsidR="004005AF">
        <w:rPr>
          <w:sz w:val="18"/>
        </w:rPr>
        <w:t>qualquer endereço IP configurado para permitir o tráfego.</w:t>
      </w:r>
    </w:p>
    <w:p w14:paraId="50AC2315" w14:textId="77777777" w:rsidR="004005AF" w:rsidRDefault="004005AF" w:rsidP="00F01ED6">
      <w:pPr>
        <w:spacing w:after="0" w:line="240" w:lineRule="auto"/>
        <w:rPr>
          <w:sz w:val="18"/>
        </w:rPr>
      </w:pPr>
    </w:p>
    <w:p w14:paraId="76CAB4BE" w14:textId="7D249216" w:rsidR="004005AF" w:rsidRPr="00ED4527" w:rsidRDefault="00EE6E3C" w:rsidP="00F01ED6">
      <w:pPr>
        <w:spacing w:after="0" w:line="240" w:lineRule="auto"/>
        <w:rPr>
          <w:b/>
          <w:bCs/>
          <w:color w:val="00188F"/>
          <w:sz w:val="18"/>
        </w:rPr>
      </w:pPr>
      <w:r>
        <w:rPr>
          <w:b/>
          <w:bCs/>
          <w:color w:val="00188F"/>
          <w:sz w:val="18"/>
        </w:rPr>
        <w:t>Cálculo do Período de Disponibilidade e Níveis de Serviço para o Balanceador de Carga do Azure</w:t>
      </w:r>
    </w:p>
    <w:p w14:paraId="5984CE3D" w14:textId="394C7D7D" w:rsidR="004005AF" w:rsidRPr="006C1AC0" w:rsidRDefault="00380305" w:rsidP="00F01ED6">
      <w:pPr>
        <w:spacing w:after="0" w:line="240" w:lineRule="auto"/>
        <w:rPr>
          <w:sz w:val="18"/>
        </w:rPr>
      </w:pPr>
      <w:r>
        <w:rPr>
          <w:sz w:val="18"/>
        </w:rPr>
        <w:t>“</w:t>
      </w:r>
      <w:r w:rsidR="004005AF">
        <w:rPr>
          <w:b/>
          <w:color w:val="00188F"/>
          <w:sz w:val="18"/>
        </w:rPr>
        <w:t>Máximo de Minutos Disponíveis</w:t>
      </w:r>
      <w:r>
        <w:rPr>
          <w:sz w:val="18"/>
        </w:rPr>
        <w:t>”</w:t>
      </w:r>
      <w:r w:rsidR="004005AF">
        <w:rPr>
          <w:sz w:val="18"/>
        </w:rPr>
        <w:t xml:space="preserve"> designa o número total de minutos durante os quais um determinado Balanceador de Carga Standard do Azure (que serve duas ou mais Máquinas Virtuais em Bom Estado de Funcionamento) foi implementado pelo Cliente numa subscrição do Microsoft Azure durante um Período Aplicável.</w:t>
      </w:r>
    </w:p>
    <w:p w14:paraId="56E8E5AE" w14:textId="3CADA36C" w:rsidR="004005AF" w:rsidRPr="006C1AC0" w:rsidRDefault="00380305" w:rsidP="00F01ED6">
      <w:pPr>
        <w:spacing w:after="0" w:line="240" w:lineRule="auto"/>
        <w:rPr>
          <w:sz w:val="18"/>
        </w:rPr>
      </w:pPr>
      <w:r>
        <w:rPr>
          <w:sz w:val="18"/>
        </w:rPr>
        <w:t>“</w:t>
      </w:r>
      <w:r w:rsidR="004005AF">
        <w:rPr>
          <w:b/>
          <w:color w:val="00188F"/>
          <w:sz w:val="18"/>
        </w:rPr>
        <w:t>Período de Indisponibilidade</w:t>
      </w:r>
      <w:r>
        <w:rPr>
          <w:sz w:val="18"/>
        </w:rPr>
        <w:t>”</w:t>
      </w:r>
      <w:r w:rsidR="004005AF">
        <w:rPr>
          <w:sz w:val="18"/>
        </w:rPr>
        <w:t xml:space="preserve"> designa o número total de minutos durante o Máximo de Minutos Disponíveis durante os quais o Balanceador de Carga Standard do Azure está indisponível. Um minuto é considerado indisponível se todas as Máquinas Virtuais Saudáveis não têm Conectividade através do Ponto Final Equilibrado de Carga. O Período de Indisponibilidade não inclui minutos resultantes de esgotamentos de portas SNAT.</w:t>
      </w:r>
    </w:p>
    <w:p w14:paraId="3FC03727" w14:textId="47ADF572" w:rsidR="004005AF" w:rsidRPr="00ED4527" w:rsidRDefault="004005AF" w:rsidP="00F01ED6">
      <w:pPr>
        <w:pStyle w:val="ProductList-Body"/>
        <w:rPr>
          <w:color w:val="000000" w:themeColor="text1"/>
        </w:rPr>
      </w:pPr>
      <w:r>
        <w:t xml:space="preserve">A </w:t>
      </w:r>
      <w:r w:rsidR="00380305" w:rsidRPr="00CB7596">
        <w:t>“</w:t>
      </w:r>
      <w:r>
        <w:rPr>
          <w:b/>
          <w:bCs/>
          <w:color w:val="00188F"/>
        </w:rPr>
        <w:t>Percentagem de Período de Disponibilidade</w:t>
      </w:r>
      <w:r w:rsidR="00380305" w:rsidRPr="00CB7596">
        <w:t>”</w:t>
      </w:r>
      <w:r>
        <w:rPr>
          <w:color w:val="000000" w:themeColor="text1"/>
        </w:rPr>
        <w:t xml:space="preserve"> para o Balanceador de Carga Standard do Azure é calculada como o Máximo de Minutos Disponíveis menos o Período de Indisponibilidade a dividir pelo Máximo de Minutos Disponíveis multiplicado por 100.</w:t>
      </w:r>
    </w:p>
    <w:p w14:paraId="4C109F12" w14:textId="7B357005" w:rsidR="004005AF"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5DFBEDC7" w14:textId="17DD377C" w:rsidR="004005AF" w:rsidRPr="00434BE0" w:rsidRDefault="00000000" w:rsidP="00DD0B5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4DDE6ED" w14:textId="77777777" w:rsidR="004005AF" w:rsidRDefault="004005AF" w:rsidP="00F01ED6">
      <w:pPr>
        <w:pStyle w:val="ProductList-Body"/>
      </w:pPr>
      <w:r>
        <w:rPr>
          <w:b/>
          <w:color w:val="00188F"/>
        </w:rPr>
        <w:t>Os seguintes Níveis de Serviço e Crédito de Serviço são aplicáveis à utilização do Equilibrador de Carga do Azure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6E8FB43"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4DDF6E3A" w14:textId="77777777" w:rsidTr="00277097">
        <w:tc>
          <w:tcPr>
            <w:tcW w:w="5400" w:type="dxa"/>
          </w:tcPr>
          <w:p w14:paraId="064E58E0" w14:textId="77777777" w:rsidR="004005AF" w:rsidRPr="0076238C" w:rsidRDefault="004005AF" w:rsidP="00F01ED6">
            <w:pPr>
              <w:pStyle w:val="ProductList-OfferingBody"/>
              <w:jc w:val="center"/>
            </w:pPr>
            <w:r>
              <w:t>&lt; 99,99%</w:t>
            </w:r>
          </w:p>
        </w:tc>
        <w:tc>
          <w:tcPr>
            <w:tcW w:w="5400" w:type="dxa"/>
          </w:tcPr>
          <w:p w14:paraId="06B44C4A" w14:textId="77777777" w:rsidR="004005AF" w:rsidRPr="0076238C" w:rsidRDefault="004005AF" w:rsidP="00F01ED6">
            <w:pPr>
              <w:pStyle w:val="ProductList-OfferingBody"/>
              <w:jc w:val="center"/>
            </w:pPr>
            <w:r>
              <w:t>10%</w:t>
            </w:r>
          </w:p>
        </w:tc>
      </w:tr>
      <w:tr w:rsidR="004005AF" w:rsidRPr="00B44CF9" w14:paraId="6BA300AF" w14:textId="77777777" w:rsidTr="00277097">
        <w:tc>
          <w:tcPr>
            <w:tcW w:w="5400" w:type="dxa"/>
          </w:tcPr>
          <w:p w14:paraId="0F947B85" w14:textId="77777777" w:rsidR="004005AF" w:rsidRPr="0076238C" w:rsidRDefault="004005AF" w:rsidP="00F01ED6">
            <w:pPr>
              <w:pStyle w:val="ProductList-OfferingBody"/>
              <w:jc w:val="center"/>
            </w:pPr>
            <w:r>
              <w:t>&lt; 99,9%</w:t>
            </w:r>
          </w:p>
        </w:tc>
        <w:tc>
          <w:tcPr>
            <w:tcW w:w="5400" w:type="dxa"/>
          </w:tcPr>
          <w:p w14:paraId="4E5345A1" w14:textId="77777777" w:rsidR="004005AF" w:rsidRPr="0076238C" w:rsidRDefault="004005AF" w:rsidP="00F01ED6">
            <w:pPr>
              <w:pStyle w:val="ProductList-OfferingBody"/>
              <w:jc w:val="center"/>
            </w:pPr>
            <w:r>
              <w:t>25%</w:t>
            </w:r>
          </w:p>
        </w:tc>
      </w:tr>
    </w:tbl>
    <w:p w14:paraId="24D2B95B" w14:textId="77777777" w:rsidR="004005AF" w:rsidRDefault="004005AF" w:rsidP="00DD0B52">
      <w:pPr>
        <w:pStyle w:val="ProductList-Body"/>
        <w:spacing w:before="120"/>
      </w:pPr>
      <w:r>
        <w:rPr>
          <w:b/>
          <w:color w:val="00188F"/>
        </w:rPr>
        <w:t>Exceções de Nível de Serviço</w:t>
      </w:r>
      <w:r w:rsidRPr="00473DD3">
        <w:rPr>
          <w:b/>
          <w:color w:val="00188F"/>
        </w:rPr>
        <w:t>:</w:t>
      </w:r>
      <w:r>
        <w:t xml:space="preserve"> Não é fornecido nenhum SLA para o Equilibrador de Carga Básico.</w:t>
      </w:r>
    </w:p>
    <w:bookmarkStart w:id="309" w:name="_Toc457806469"/>
    <w:bookmarkStart w:id="310" w:name="_Toc457821556"/>
    <w:bookmarkStart w:id="311" w:name="_Toc52348963"/>
    <w:bookmarkStart w:id="312" w:name="_Toc513395515"/>
    <w:bookmarkStart w:id="313" w:name="_Toc52348935"/>
    <w:bookmarkStart w:id="314" w:name="_Hlk513540130"/>
    <w:p w14:paraId="029C7015"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DF6C59B" w14:textId="77777777" w:rsidR="00BC2A9C" w:rsidRDefault="00BC2A9C" w:rsidP="00F01ED6">
      <w:pPr>
        <w:pStyle w:val="ProductList-Offering2Heading"/>
        <w:keepNext/>
        <w:tabs>
          <w:tab w:val="clear" w:pos="360"/>
        </w:tabs>
        <w:outlineLvl w:val="2"/>
      </w:pPr>
      <w:bookmarkStart w:id="315" w:name="_Toc239176493"/>
      <w:r>
        <w:t>Azure Load Testing</w:t>
      </w:r>
      <w:bookmarkEnd w:id="315"/>
    </w:p>
    <w:p w14:paraId="3F07AB71" w14:textId="77777777" w:rsidR="00BC2A9C" w:rsidRDefault="00BC2A9C" w:rsidP="00F01ED6">
      <w:pPr>
        <w:pStyle w:val="ProductList-Body"/>
        <w:rPr>
          <w:b/>
          <w:color w:val="00188F"/>
        </w:rPr>
      </w:pPr>
      <w:r>
        <w:rPr>
          <w:b/>
          <w:color w:val="00188F"/>
        </w:rPr>
        <w:t>Definições Adicionais</w:t>
      </w:r>
    </w:p>
    <w:p w14:paraId="2448E99D" w14:textId="2B043D5B" w:rsidR="00BC2A9C" w:rsidRDefault="00380305" w:rsidP="00F01ED6">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CB7596">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Minutos de Implementação</w:t>
      </w:r>
      <w:r w:rsidRPr="00CB7596">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designa o número total de minutos durante os quais um determinado Recurso do Serviço Azure Load Testing foi implementado no Microsoft Azure durante um Período Aplicável.</w:t>
      </w:r>
      <w:r w:rsidR="000514F4">
        <w:rPr>
          <w:rFonts w:asciiTheme="minorHAnsi" w:eastAsiaTheme="minorHAnsi" w:hAnsiTheme="minorHAnsi" w:cstheme="minorBidi"/>
          <w:sz w:val="18"/>
          <w:szCs w:val="22"/>
        </w:rPr>
        <w:t xml:space="preserve"> </w:t>
      </w:r>
    </w:p>
    <w:p w14:paraId="1C370487" w14:textId="5531CE1F" w:rsidR="00BC2A9C" w:rsidRDefault="00380305" w:rsidP="00F01ED6">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CB7596">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Máximo de Minutos Disponíveis</w:t>
      </w:r>
      <w:r w:rsidRPr="00CB7596">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designa a soma de todos os Minutos de Implementação em todos os Recursos do Serviço Azure Load Testing implementados pelo Cliente numa determinada subscrição do Microsoft Azure durante um Período Aplicável. </w:t>
      </w:r>
    </w:p>
    <w:p w14:paraId="05B57661" w14:textId="4CC41807" w:rsidR="00BC2A9C" w:rsidRDefault="00380305" w:rsidP="00F01ED6">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CB7596">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Período de Indisponibilidade</w:t>
      </w:r>
      <w:r w:rsidRPr="00CB7596">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designa a soma de todos os Minutos de Implementação em todos os Recursos do Serviço Azure Load Testing implementados pelo Cliente numa determinada subscrição do Microsoft Azure durante um Período Aplicável durante o qual o Recurso do Teste de Carga está indisponível. Um minuto é considerado indisponível para um determinado Serviço se todos os pedidos de HTTP contínuos para executar operações nesse minuto resultarem num Código de Erro ou se não devolverem uma resposta ao fim de 5 minutos.</w:t>
      </w:r>
      <w:r w:rsidR="000514F4">
        <w:rPr>
          <w:rFonts w:asciiTheme="minorHAnsi" w:eastAsiaTheme="minorHAnsi" w:hAnsiTheme="minorHAnsi" w:cstheme="minorBidi"/>
          <w:sz w:val="18"/>
          <w:szCs w:val="22"/>
        </w:rPr>
        <w:t xml:space="preserve"> </w:t>
      </w:r>
    </w:p>
    <w:p w14:paraId="1D8B17B8" w14:textId="38D310D5" w:rsidR="00BC2A9C" w:rsidRDefault="00380305" w:rsidP="00F01ED6">
      <w:pPr>
        <w:pStyle w:val="ProductList-Body"/>
      </w:pPr>
      <w:r>
        <w:t>“</w:t>
      </w:r>
      <w:r w:rsidR="00BC2A9C">
        <w:rPr>
          <w:b/>
          <w:bCs/>
          <w:color w:val="00188F"/>
        </w:rPr>
        <w:t>Percentagem de Período de Disponibilidade</w:t>
      </w:r>
      <w:r>
        <w:t>”</w:t>
      </w:r>
      <w:r w:rsidR="00BC2A9C">
        <w:t xml:space="preserve"> A Percentagem de Período de Disponibilidade é calculada utilizando a seguinte fórmula:</w:t>
      </w:r>
    </w:p>
    <w:p w14:paraId="014E15EF" w14:textId="362756AC" w:rsidR="00BC2A9C" w:rsidRDefault="00000000" w:rsidP="00DD0B5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BAC3124" w14:textId="77777777" w:rsidR="00BC2A9C" w:rsidRDefault="00BC2A9C" w:rsidP="00F01ED6">
      <w:pPr>
        <w:pStyle w:val="ProductList-Body"/>
        <w:keepNext/>
        <w:rPr>
          <w:b/>
          <w:bCs/>
          <w:color w:val="00188F"/>
        </w:rPr>
      </w:pPr>
      <w:r>
        <w:rPr>
          <w:b/>
          <w:bCs/>
          <w:color w:val="00188F"/>
        </w:rPr>
        <w:t>Os seguintes Níveis de Serviço e Crédito de Serviço são aplicáveis à utilização do Azure Load Testing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rsidP="00F01ED6">
            <w:pPr>
              <w:pStyle w:val="ProductList-OfferingBody"/>
              <w:jc w:val="center"/>
              <w:rPr>
                <w:color w:val="FFFFFF" w:themeColor="background1"/>
              </w:rPr>
            </w:pPr>
            <w:r>
              <w:rPr>
                <w:color w:val="FFFFFF" w:themeColor="background1"/>
              </w:rPr>
              <w:t>Crédito de Serviço</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rsidP="00F01ED6">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rsidP="00F01ED6">
            <w:pPr>
              <w:pStyle w:val="ProductList-OfferingBody"/>
              <w:jc w:val="center"/>
            </w:pPr>
            <w:r>
              <w:t>10%</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rsidP="00F01ED6">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rsidP="00F01ED6">
            <w:pPr>
              <w:pStyle w:val="ProductList-OfferingBody"/>
              <w:jc w:val="center"/>
            </w:pPr>
            <w:r>
              <w:t>25%</w:t>
            </w:r>
          </w:p>
        </w:tc>
      </w:tr>
    </w:tbl>
    <w:bookmarkStart w:id="316" w:name="_Toc52348962"/>
    <w:p w14:paraId="5B108B60"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4CC165B" w14:textId="4294ED1C" w:rsidR="00C215C5" w:rsidRDefault="00C215C5" w:rsidP="00F01ED6">
      <w:pPr>
        <w:pStyle w:val="ProductList-Offering2Heading"/>
        <w:tabs>
          <w:tab w:val="clear" w:pos="360"/>
        </w:tabs>
        <w:outlineLvl w:val="2"/>
      </w:pPr>
      <w:bookmarkStart w:id="317" w:name="_Toc239176494"/>
      <w:r>
        <w:t>Log Analytics (SLA de Disponibilidade de Consultas)</w:t>
      </w:r>
      <w:bookmarkEnd w:id="316"/>
      <w:bookmarkEnd w:id="317"/>
    </w:p>
    <w:p w14:paraId="448258F5" w14:textId="77777777" w:rsidR="00C215C5" w:rsidRDefault="00C215C5" w:rsidP="00F01ED6">
      <w:pPr>
        <w:pStyle w:val="ProductList-Body"/>
      </w:pPr>
      <w:r>
        <w:rPr>
          <w:b/>
          <w:color w:val="00188F"/>
        </w:rPr>
        <w:t>Definições Adicionais</w:t>
      </w:r>
      <w:r w:rsidRPr="00473DD3">
        <w:rPr>
          <w:b/>
          <w:color w:val="00188F"/>
        </w:rPr>
        <w:t>:</w:t>
      </w:r>
    </w:p>
    <w:p w14:paraId="579B75CF" w14:textId="28736413" w:rsidR="00C215C5" w:rsidRDefault="00380305" w:rsidP="00F01ED6">
      <w:pPr>
        <w:pStyle w:val="ProductList-Body"/>
      </w:pPr>
      <w:r w:rsidRPr="00CB7596">
        <w:t>“</w:t>
      </w:r>
      <w:r w:rsidR="00C215C5">
        <w:rPr>
          <w:b/>
          <w:color w:val="00188F"/>
        </w:rPr>
        <w:t>Máximo de Minutos Disponíveis</w:t>
      </w:r>
      <w:r w:rsidRPr="00CB7596">
        <w:t>”</w:t>
      </w:r>
      <w:r w:rsidR="00C215C5">
        <w:t xml:space="preserve"> designa o número total de minutos que uma determinada Área de Trabalho do Log Analytics esteve implementada pelo Cliente numa subscrição do Microsoft Azure durante um Período Aplicável.</w:t>
      </w:r>
    </w:p>
    <w:p w14:paraId="020378FE" w14:textId="3029A787" w:rsidR="00C215C5" w:rsidRDefault="00380305" w:rsidP="00F01ED6">
      <w:pPr>
        <w:pStyle w:val="ProductList-Body"/>
      </w:pPr>
      <w:r w:rsidRPr="00CB7596">
        <w:t>“</w:t>
      </w:r>
      <w:r w:rsidR="00C215C5">
        <w:rPr>
          <w:b/>
          <w:color w:val="00188F"/>
        </w:rPr>
        <w:t>Período de Indisponibilidade</w:t>
      </w:r>
      <w:r w:rsidRPr="00CB7596">
        <w:t>”</w:t>
      </w:r>
      <w:r w:rsidR="00C215C5">
        <w:t xml:space="preserve"> designa o número total de minutos durante o Máximo de Minutos Disponíveis que os dados numa Área de</w:t>
      </w:r>
      <w:r w:rsidR="007E1901">
        <w:t> </w:t>
      </w:r>
      <w:r w:rsidR="00C215C5">
        <w:t>Trabalho do Log Analytics estão indisponíveis. Um minuto de indisponibilidade de uma determinada Área de Trabalho do Log Analytics consiste</w:t>
      </w:r>
      <w:r w:rsidR="007E1901">
        <w:t> </w:t>
      </w:r>
      <w:r w:rsidR="00C215C5">
        <w:t xml:space="preserve">no período de tempo durante o qual não se registou qualquer operação de HTTP que tenha resultado num Código de Sucesso. </w:t>
      </w:r>
    </w:p>
    <w:p w14:paraId="5A45663D" w14:textId="55746A16" w:rsidR="00C215C5" w:rsidRDefault="00C215C5" w:rsidP="00F01ED6">
      <w:pPr>
        <w:pStyle w:val="ProductList-Body"/>
      </w:pPr>
      <w:r>
        <w:t xml:space="preserve">A </w:t>
      </w:r>
      <w:r w:rsidR="00380305" w:rsidRPr="00CB7596">
        <w:t>“</w:t>
      </w:r>
      <w:r>
        <w:rPr>
          <w:b/>
          <w:color w:val="00188F"/>
        </w:rPr>
        <w:t>Percentagem de Disponibilidade para Consulta</w:t>
      </w:r>
      <w:r w:rsidR="00380305" w:rsidRPr="00CB7596">
        <w:t>”</w:t>
      </w:r>
      <w:r>
        <w:t xml:space="preserve"> de uma determinada Área de Trabalho do Log Analytics é calculada como o Máximo de</w:t>
      </w:r>
      <w:r w:rsidR="00B75BF8">
        <w:t> </w:t>
      </w:r>
      <w:r>
        <w:t>Minutos Disponíveis menos o Período de Indisponibilidade, a dividir pelo Máximo de Minutos Disponíveis a multiplicar por 100.</w:t>
      </w:r>
    </w:p>
    <w:p w14:paraId="6DC85651" w14:textId="202902D0" w:rsidR="00C215C5" w:rsidRDefault="00C215C5" w:rsidP="00F01ED6">
      <w:pPr>
        <w:pStyle w:val="ProductList-Body"/>
      </w:pPr>
      <w:r>
        <w:rPr>
          <w:b/>
          <w:color w:val="00188F"/>
        </w:rPr>
        <w:t>Percentagem de Disponibilidade para Consulta</w:t>
      </w:r>
      <w:r w:rsidRPr="00473DD3">
        <w:rPr>
          <w:b/>
          <w:color w:val="00188F"/>
        </w:rPr>
        <w:t>:</w:t>
      </w:r>
      <w:r>
        <w:t xml:space="preserve"> A Percentagem de Disponibilidade para Consulta é calculada utilizando a seguinte fórmula:</w:t>
      </w:r>
    </w:p>
    <w:p w14:paraId="71453A9D" w14:textId="68DBF484" w:rsidR="00C215C5" w:rsidRDefault="00000000" w:rsidP="00DD0B52">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7E68AC8" w14:textId="77777777" w:rsidR="00C215C5" w:rsidRDefault="00C215C5" w:rsidP="00F01ED6">
      <w:pPr>
        <w:pStyle w:val="ProductList-ClauseHeading"/>
        <w:keepNext/>
      </w:pPr>
      <w:r>
        <w:t>Crédito de Serviço</w:t>
      </w:r>
      <w:r w:rsidRPr="00473DD3">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C215C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rsidP="00F01ED6">
            <w:pPr>
              <w:pStyle w:val="ProductList-OfferingBody"/>
              <w:jc w:val="center"/>
              <w:rPr>
                <w:color w:val="FFFFFF" w:themeColor="background1"/>
              </w:rPr>
            </w:pPr>
            <w:r>
              <w:rPr>
                <w:color w:val="FFFFFF" w:themeColor="background1"/>
              </w:rPr>
              <w:t>Percentagem de Disponibilidade para Consulta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rsidP="00F01ED6">
            <w:pPr>
              <w:pStyle w:val="ProductList-OfferingBody"/>
              <w:jc w:val="center"/>
              <w:rPr>
                <w:color w:val="FFFFFF" w:themeColor="background1"/>
              </w:rPr>
            </w:pPr>
            <w:r>
              <w:rPr>
                <w:color w:val="FFFFFF" w:themeColor="background1"/>
              </w:rPr>
              <w:t>Crédito de Serviço</w:t>
            </w:r>
          </w:p>
        </w:tc>
      </w:tr>
      <w:tr w:rsidR="00C215C5" w14:paraId="4CB23734"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rsidP="00F01ED6">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rsidP="00F01ED6">
            <w:pPr>
              <w:pStyle w:val="ProductList-OfferingBody"/>
              <w:jc w:val="center"/>
            </w:pPr>
            <w:r>
              <w:t>10%</w:t>
            </w:r>
          </w:p>
        </w:tc>
      </w:tr>
      <w:tr w:rsidR="00C215C5" w14:paraId="3517034E"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rsidP="00F01ED6">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rsidP="00F01ED6">
            <w:pPr>
              <w:pStyle w:val="ProductList-OfferingBody"/>
              <w:jc w:val="center"/>
            </w:pPr>
            <w:r>
              <w:t>25%</w:t>
            </w:r>
          </w:p>
        </w:tc>
      </w:tr>
    </w:tbl>
    <w:p w14:paraId="182BF3EE"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28F3FBF" w14:textId="77777777" w:rsidR="0018185B" w:rsidRPr="00EF7CF9" w:rsidRDefault="0018185B" w:rsidP="00F01ED6">
      <w:pPr>
        <w:pStyle w:val="ProductList-Offering2Heading"/>
        <w:keepNext/>
        <w:tabs>
          <w:tab w:val="clear" w:pos="360"/>
          <w:tab w:val="clear" w:pos="720"/>
          <w:tab w:val="clear" w:pos="1080"/>
        </w:tabs>
        <w:outlineLvl w:val="2"/>
      </w:pPr>
      <w:bookmarkStart w:id="318" w:name="_Toc239176495"/>
      <w:r>
        <w:t>Aplicações Lógicas</w:t>
      </w:r>
      <w:bookmarkEnd w:id="309"/>
      <w:bookmarkEnd w:id="310"/>
      <w:bookmarkEnd w:id="311"/>
      <w:bookmarkEnd w:id="318"/>
    </w:p>
    <w:p w14:paraId="1C8D405B" w14:textId="77777777" w:rsidR="0018185B" w:rsidRPr="00EF7CF9" w:rsidRDefault="0018185B" w:rsidP="00F01ED6">
      <w:pPr>
        <w:pStyle w:val="ProductList-Body"/>
        <w:keepNext/>
      </w:pPr>
      <w:r>
        <w:rPr>
          <w:b/>
          <w:color w:val="00188F"/>
        </w:rPr>
        <w:t>Definições Adicionais</w:t>
      </w:r>
      <w:r w:rsidRPr="00473DD3">
        <w:rPr>
          <w:b/>
          <w:color w:val="00188F"/>
        </w:rPr>
        <w:t>:</w:t>
      </w:r>
    </w:p>
    <w:p w14:paraId="71EA9ED9" w14:textId="26016095" w:rsidR="0018185B" w:rsidRPr="00EF7CF9" w:rsidRDefault="00380305" w:rsidP="00F01ED6">
      <w:pPr>
        <w:pStyle w:val="ProductList-Body"/>
      </w:pPr>
      <w:r>
        <w:t>“</w:t>
      </w:r>
      <w:r w:rsidR="0018185B">
        <w:rPr>
          <w:b/>
          <w:color w:val="00188F"/>
        </w:rPr>
        <w:t>Minutos de Implementação</w:t>
      </w:r>
      <w:r>
        <w:t>”</w:t>
      </w:r>
      <w:r w:rsidR="0018185B">
        <w:t xml:space="preserve"> designa o número total de minutos durante os quais uma determinada Aplicação Lógica foi definida para ser executada no Microsoft Azure durante um Período Aplicável. Os Minutos de Implementação são calculados a partir do momento em que a</w:t>
      </w:r>
      <w:r w:rsidR="008B2475">
        <w:t> </w:t>
      </w:r>
      <w:r w:rsidR="0018185B">
        <w:t>Aplicação Lógica foi criada ou o Cliente iniciou uma ação que resultaria na execução da Aplicação Lógica até ao momento em que o Cliente iniciou</w:t>
      </w:r>
      <w:r w:rsidR="008B2475">
        <w:t> </w:t>
      </w:r>
      <w:r w:rsidR="0018185B">
        <w:t xml:space="preserve">uma ação que resultaria na interrupção ou eliminação da Aplicação Lógica. </w:t>
      </w:r>
    </w:p>
    <w:p w14:paraId="50DCE916" w14:textId="5B1399CE" w:rsidR="0018185B" w:rsidRPr="00EF7CF9" w:rsidRDefault="00380305" w:rsidP="00F01ED6">
      <w:pPr>
        <w:spacing w:after="0" w:line="240" w:lineRule="auto"/>
        <w:rPr>
          <w:sz w:val="18"/>
        </w:rPr>
      </w:pPr>
      <w:r>
        <w:rPr>
          <w:sz w:val="18"/>
          <w:szCs w:val="18"/>
        </w:rPr>
        <w:t>“</w:t>
      </w:r>
      <w:r w:rsidR="0018185B">
        <w:rPr>
          <w:b/>
          <w:color w:val="00188F"/>
          <w:sz w:val="18"/>
        </w:rPr>
        <w:t>Máximo de Minutos Disponíveis</w:t>
      </w:r>
      <w:r>
        <w:rPr>
          <w:sz w:val="18"/>
          <w:szCs w:val="18"/>
        </w:rPr>
        <w:t>”</w:t>
      </w:r>
      <w:r w:rsidR="0018185B">
        <w:rPr>
          <w:b/>
          <w:color w:val="00188F"/>
          <w:sz w:val="18"/>
          <w:szCs w:val="18"/>
        </w:rPr>
        <w:t xml:space="preserve"> </w:t>
      </w:r>
      <w:r w:rsidR="0018185B">
        <w:rPr>
          <w:sz w:val="18"/>
        </w:rPr>
        <w:t>designa a soma de todos os Minutos de Implementação em todas as Aplicações Lógicas implementadas pelo</w:t>
      </w:r>
      <w:r w:rsidR="00D36A29">
        <w:rPr>
          <w:sz w:val="18"/>
        </w:rPr>
        <w:t> </w:t>
      </w:r>
      <w:r w:rsidR="0018185B">
        <w:rPr>
          <w:sz w:val="18"/>
        </w:rPr>
        <w:t>Cliente numa determinada subscrição do Microsoft Azure durante um Período Aplicável.</w:t>
      </w:r>
    </w:p>
    <w:p w14:paraId="45E6CD61" w14:textId="3782791F" w:rsidR="0018185B" w:rsidRPr="00EF7CF9" w:rsidRDefault="00380305" w:rsidP="00F01ED6">
      <w:pPr>
        <w:pStyle w:val="ProductList-Body"/>
      </w:pPr>
      <w:r>
        <w:t>“</w:t>
      </w:r>
      <w:r w:rsidR="0018185B">
        <w:rPr>
          <w:b/>
          <w:color w:val="00188F"/>
        </w:rPr>
        <w:t>Período de Indisponibilidade</w:t>
      </w:r>
      <w:r>
        <w:t>”</w:t>
      </w:r>
      <w:r w:rsidR="0018185B">
        <w:rPr>
          <w:b/>
          <w:color w:val="00188F"/>
        </w:rPr>
        <w:t xml:space="preserve"> </w:t>
      </w:r>
      <w:r w:rsidR="0018185B">
        <w:t>designa o total de Minutos de Implementação acumulados, em todas as Aplicações Lógicas implementadas pelo Cliente numa determinada subscrição do Microsoft Azure, na qual a Aplicação Lógica está indisponível. Um minuto é considerado indisponível para uma determinada Aplicação Lógica quando não existe nenhuma conectividade entre a Aplicação Lógica e o gateway de Internet da Microsoft.</w:t>
      </w:r>
    </w:p>
    <w:p w14:paraId="4261DAA7" w14:textId="558012BE" w:rsidR="0018185B"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1BD740A8" w14:textId="50D1124F" w:rsidR="0018185B" w:rsidRPr="00EF7CF9" w:rsidRDefault="00000000" w:rsidP="00DD0B52">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BD83424" w14:textId="77777777" w:rsidR="0018185B" w:rsidRPr="00EF7CF9" w:rsidRDefault="0018185B" w:rsidP="00F01ED6">
      <w:pPr>
        <w:pStyle w:val="ProductList-Body"/>
        <w:rPr>
          <w:szCs w:val="18"/>
        </w:rPr>
      </w:pPr>
      <w:r>
        <w:rPr>
          <w:b/>
          <w:color w:val="00188F"/>
          <w:szCs w:val="18"/>
        </w:rPr>
        <w:t>Crédito de Serviço</w:t>
      </w:r>
      <w:r w:rsidRPr="00473DD3">
        <w:rPr>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9946C4B" w14:textId="77777777" w:rsidR="0018185B" w:rsidRPr="00EF7CF9" w:rsidRDefault="0018185B" w:rsidP="00F01ED6">
            <w:pPr>
              <w:pStyle w:val="ProductList-OfferingBody"/>
              <w:jc w:val="center"/>
              <w:rPr>
                <w:color w:val="FFFFFF" w:themeColor="background1"/>
              </w:rPr>
            </w:pPr>
            <w:r>
              <w:rPr>
                <w:color w:val="FFFFFF" w:themeColor="background1"/>
              </w:rPr>
              <w:t>Crédito de Serviço</w:t>
            </w:r>
          </w:p>
        </w:tc>
      </w:tr>
      <w:tr w:rsidR="0018185B" w:rsidRPr="00B44CF9" w14:paraId="5DAB5130" w14:textId="77777777" w:rsidTr="00277097">
        <w:tc>
          <w:tcPr>
            <w:tcW w:w="5400" w:type="dxa"/>
          </w:tcPr>
          <w:p w14:paraId="2AB791A9" w14:textId="77777777" w:rsidR="0018185B" w:rsidRPr="00EF7CF9" w:rsidRDefault="0018185B" w:rsidP="00F01ED6">
            <w:pPr>
              <w:pStyle w:val="ProductList-OfferingBody"/>
              <w:jc w:val="center"/>
            </w:pPr>
            <w:r>
              <w:t>&lt; 99,9%</w:t>
            </w:r>
          </w:p>
        </w:tc>
        <w:tc>
          <w:tcPr>
            <w:tcW w:w="5400" w:type="dxa"/>
          </w:tcPr>
          <w:p w14:paraId="5F5BBE95" w14:textId="77777777" w:rsidR="0018185B" w:rsidRPr="00EF7CF9" w:rsidRDefault="0018185B" w:rsidP="00F01ED6">
            <w:pPr>
              <w:pStyle w:val="ProductList-OfferingBody"/>
              <w:jc w:val="center"/>
            </w:pPr>
            <w:r>
              <w:t>10%</w:t>
            </w:r>
          </w:p>
        </w:tc>
      </w:tr>
      <w:tr w:rsidR="0018185B" w:rsidRPr="00B44CF9" w14:paraId="66C92E85" w14:textId="77777777" w:rsidTr="00277097">
        <w:tc>
          <w:tcPr>
            <w:tcW w:w="5400" w:type="dxa"/>
          </w:tcPr>
          <w:p w14:paraId="10569055" w14:textId="77777777" w:rsidR="0018185B" w:rsidRPr="00EF7CF9" w:rsidRDefault="0018185B" w:rsidP="00F01ED6">
            <w:pPr>
              <w:pStyle w:val="ProductList-OfferingBody"/>
              <w:jc w:val="center"/>
            </w:pPr>
            <w:r>
              <w:t>&lt; 99%</w:t>
            </w:r>
          </w:p>
        </w:tc>
        <w:tc>
          <w:tcPr>
            <w:tcW w:w="5400" w:type="dxa"/>
          </w:tcPr>
          <w:p w14:paraId="63EBC3F3" w14:textId="77777777" w:rsidR="0018185B" w:rsidRPr="00EF7CF9" w:rsidRDefault="0018185B" w:rsidP="00F01ED6">
            <w:pPr>
              <w:pStyle w:val="ProductList-OfferingBody"/>
              <w:jc w:val="center"/>
            </w:pPr>
            <w:r>
              <w:t>25%</w:t>
            </w:r>
          </w:p>
        </w:tc>
      </w:tr>
    </w:tbl>
    <w:p w14:paraId="5B529FE5" w14:textId="77777777" w:rsidR="00521CBF" w:rsidRDefault="00521CBF" w:rsidP="00AB785C">
      <w:pPr>
        <w:keepNext/>
        <w:spacing w:before="120" w:after="0" w:line="240" w:lineRule="auto"/>
        <w:rPr>
          <w:rFonts w:ascii="Calibri" w:hAnsi="Calibri" w:cs="Calibri"/>
          <w:sz w:val="18"/>
          <w:szCs w:val="18"/>
        </w:rPr>
      </w:pPr>
      <w:r>
        <w:rPr>
          <w:rFonts w:ascii="Calibri" w:hAnsi="Calibri" w:cs="Calibri"/>
          <w:sz w:val="18"/>
          <w:szCs w:val="18"/>
        </w:rPr>
        <w:t>A partir de 1 de setembro de 2024, o Ambiente de Serviços de Integração é uma funcionalidade do Serviço retirada e o seu Intervalo de Suporte expirou. O Logic Apps implementado num Ambiente de Serviços de Integração já não oferece quaisquer garantias de Nível de Serviço e, por extensão, Créditos de Serviço, para problemas de desempenho ou disponibilidade relacionados com o Logic Apps em execução no Ambiente de Serviços de Integração.</w:t>
      </w:r>
    </w:p>
    <w:p w14:paraId="3C1D8F9D" w14:textId="77777777" w:rsidR="00AD56BC" w:rsidRPr="00EF7CF9" w:rsidRDefault="00AD56BC" w:rsidP="00AD56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16F48B3" w14:textId="21876A24" w:rsidR="00AD6527" w:rsidRPr="00AD6527" w:rsidRDefault="00AD6527" w:rsidP="00F01ED6">
      <w:pPr>
        <w:pStyle w:val="ProductList-Offering2Heading"/>
        <w:keepNext/>
        <w:tabs>
          <w:tab w:val="clear" w:pos="360"/>
          <w:tab w:val="clear" w:pos="720"/>
          <w:tab w:val="clear" w:pos="1080"/>
        </w:tabs>
        <w:outlineLvl w:val="2"/>
      </w:pPr>
      <w:bookmarkStart w:id="319" w:name="_Toc239176496"/>
      <w:r>
        <w:lastRenderedPageBreak/>
        <w:t>Azure Machine Learning</w:t>
      </w:r>
      <w:bookmarkEnd w:id="319"/>
    </w:p>
    <w:p w14:paraId="0544D758" w14:textId="3AD85D91" w:rsidR="00AD6527" w:rsidRPr="00AD6527" w:rsidRDefault="00EE6E3C" w:rsidP="00F01ED6">
      <w:pPr>
        <w:pStyle w:val="ProductList-Body"/>
        <w:rPr>
          <w:b/>
          <w:bCs/>
          <w:color w:val="00188F"/>
        </w:rPr>
      </w:pPr>
      <w:r>
        <w:rPr>
          <w:b/>
          <w:bCs/>
          <w:color w:val="00188F"/>
        </w:rPr>
        <w:t>Cálculo do Período de Disponibilidade e Níveis de Serviço para a Classificação em Tempo Real do Machine Learning</w:t>
      </w:r>
    </w:p>
    <w:p w14:paraId="3D05F60E" w14:textId="4AC9D686" w:rsidR="00AD6527" w:rsidRDefault="00380305" w:rsidP="00F01ED6">
      <w:pPr>
        <w:pStyle w:val="ProductList-Body"/>
      </w:pPr>
      <w:r>
        <w:t>“</w:t>
      </w:r>
      <w:r w:rsidR="00AD6527">
        <w:rPr>
          <w:b/>
          <w:bCs/>
          <w:color w:val="00188F"/>
        </w:rPr>
        <w:t>Total de Tentativas de Transação</w:t>
      </w:r>
      <w:r>
        <w:t>”</w:t>
      </w:r>
      <w:r w:rsidR="00AD6527">
        <w:t xml:space="preserve"> é o número total de pedidos da API efetuado pelo Cliente durante um Período Aplicável para uma determinada subscrição do Microsoft Azure.</w:t>
      </w:r>
    </w:p>
    <w:p w14:paraId="7EA32AA0" w14:textId="7A5AE360" w:rsidR="00AD6527" w:rsidRDefault="00380305" w:rsidP="00F01ED6">
      <w:pPr>
        <w:pStyle w:val="ProductList-Body"/>
      </w:pPr>
      <w:r>
        <w:t>“</w:t>
      </w:r>
      <w:r w:rsidR="00AD6527">
        <w:rPr>
          <w:b/>
          <w:bCs/>
          <w:color w:val="00188F"/>
        </w:rPr>
        <w:t>Transações Falhadas</w:t>
      </w:r>
      <w:r>
        <w:t>”</w:t>
      </w:r>
      <w:r w:rsidR="00AD6527">
        <w:t xml:space="preserve"> é o conjunto de todos os pedidos de Tentativas de Transação que devolvem um Código de Erro ou um código de estado HTTP 4xx ou uma falha em devolver um Código de Êxito num prazo de 600 segundos.</w:t>
      </w:r>
    </w:p>
    <w:p w14:paraId="2C7AAE71" w14:textId="65361CE5" w:rsidR="00AD6527" w:rsidRDefault="00380305" w:rsidP="00F01ED6">
      <w:pPr>
        <w:pStyle w:val="ProductList-Body"/>
      </w:pPr>
      <w:r>
        <w:t>“</w:t>
      </w:r>
      <w:r w:rsidR="00AD6527">
        <w:rPr>
          <w:b/>
          <w:bCs/>
          <w:color w:val="00188F"/>
        </w:rPr>
        <w:t>Percentagem de Período de Disponibilidade</w:t>
      </w:r>
      <w:r>
        <w:t>”</w:t>
      </w:r>
      <w:r w:rsidR="00AD6527">
        <w:t xml:space="preserve"> é calculada como o Total de Tentativas de Transação menos as Transações com Falha a dividir pelo Total de Tentativas de Transação num Período Aplicável para uma determinada subscrição do Microsoft Azure. A Percentagem de Período de Disponibilidade é representada pela seguinte fórmula:</w:t>
      </w:r>
    </w:p>
    <w:p w14:paraId="4A63CAC2" w14:textId="7764EDD1" w:rsidR="00AD6527" w:rsidRPr="00EF7CF9" w:rsidRDefault="00000000" w:rsidP="009B6B6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77777777" w:rsidR="00AD6527" w:rsidRPr="00A63636" w:rsidRDefault="00AD6527" w:rsidP="00F01ED6">
      <w:pPr>
        <w:pStyle w:val="ProductList-Body"/>
        <w:rPr>
          <w:b/>
          <w:bCs/>
          <w:color w:val="00188F"/>
        </w:rPr>
      </w:pPr>
      <w:r>
        <w:rPr>
          <w:b/>
          <w:bCs/>
          <w:color w:val="00188F"/>
        </w:rPr>
        <w:t>Os seguintes Níveis de Serviço e Créditos de Serviço são aplicáveis à utilização que o Cliente faz da Classificação em Tempo Real do Machine Learning.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E19E054" w14:textId="77777777" w:rsidR="00A63636" w:rsidRPr="00EF7CF9" w:rsidRDefault="00A63636" w:rsidP="00F01ED6">
            <w:pPr>
              <w:pStyle w:val="ProductList-OfferingBody"/>
              <w:jc w:val="center"/>
              <w:rPr>
                <w:color w:val="FFFFFF" w:themeColor="background1"/>
              </w:rPr>
            </w:pPr>
            <w:r>
              <w:rPr>
                <w:color w:val="FFFFFF" w:themeColor="background1"/>
              </w:rPr>
              <w:t>Crédito de Serviço</w:t>
            </w:r>
          </w:p>
        </w:tc>
      </w:tr>
      <w:tr w:rsidR="00A63636" w:rsidRPr="00B44CF9" w14:paraId="17078817" w14:textId="77777777" w:rsidTr="00277097">
        <w:tc>
          <w:tcPr>
            <w:tcW w:w="5400" w:type="dxa"/>
          </w:tcPr>
          <w:p w14:paraId="009BAA71" w14:textId="77777777" w:rsidR="00A63636" w:rsidRPr="00EF7CF9" w:rsidRDefault="00A63636" w:rsidP="00F01ED6">
            <w:pPr>
              <w:pStyle w:val="ProductList-OfferingBody"/>
              <w:jc w:val="center"/>
            </w:pPr>
            <w:r>
              <w:t>&lt; 99,9%</w:t>
            </w:r>
          </w:p>
        </w:tc>
        <w:tc>
          <w:tcPr>
            <w:tcW w:w="5400" w:type="dxa"/>
          </w:tcPr>
          <w:p w14:paraId="6EE66041" w14:textId="77777777" w:rsidR="00A63636" w:rsidRPr="00EF7CF9" w:rsidRDefault="00A63636" w:rsidP="00F01ED6">
            <w:pPr>
              <w:pStyle w:val="ProductList-OfferingBody"/>
              <w:jc w:val="center"/>
            </w:pPr>
            <w:r>
              <w:t>10%</w:t>
            </w:r>
          </w:p>
        </w:tc>
      </w:tr>
      <w:tr w:rsidR="00A63636" w:rsidRPr="00B44CF9" w14:paraId="2410DAEF" w14:textId="77777777" w:rsidTr="00277097">
        <w:tc>
          <w:tcPr>
            <w:tcW w:w="5400" w:type="dxa"/>
          </w:tcPr>
          <w:p w14:paraId="16FC9DB8" w14:textId="77777777" w:rsidR="00A63636" w:rsidRPr="00EF7CF9" w:rsidRDefault="00A63636" w:rsidP="00F01ED6">
            <w:pPr>
              <w:pStyle w:val="ProductList-OfferingBody"/>
              <w:jc w:val="center"/>
            </w:pPr>
            <w:r>
              <w:t>&lt; 99%</w:t>
            </w:r>
          </w:p>
        </w:tc>
        <w:tc>
          <w:tcPr>
            <w:tcW w:w="5400" w:type="dxa"/>
          </w:tcPr>
          <w:p w14:paraId="743B5AA1" w14:textId="77777777" w:rsidR="00A63636" w:rsidRPr="00EF7CF9" w:rsidRDefault="00A63636" w:rsidP="00F01ED6">
            <w:pPr>
              <w:pStyle w:val="ProductList-OfferingBody"/>
              <w:jc w:val="center"/>
            </w:pPr>
            <w:r>
              <w:t>25%</w:t>
            </w:r>
          </w:p>
        </w:tc>
      </w:tr>
    </w:tbl>
    <w:p w14:paraId="084EC24C" w14:textId="4E8D96CC" w:rsidR="00AD6527" w:rsidRPr="00A63636" w:rsidRDefault="00EE6E3C" w:rsidP="00011653">
      <w:pPr>
        <w:pStyle w:val="ProductList-Body"/>
        <w:spacing w:before="120"/>
        <w:rPr>
          <w:b/>
          <w:bCs/>
          <w:color w:val="00188F"/>
        </w:rPr>
      </w:pPr>
      <w:r>
        <w:rPr>
          <w:b/>
          <w:bCs/>
          <w:color w:val="00188F"/>
        </w:rPr>
        <w:t>Cálculo do Período de Disponibilidade e Níveis de Serviço para Gestão de Computação do Machine Learning</w:t>
      </w:r>
    </w:p>
    <w:p w14:paraId="508098E1" w14:textId="248CC981" w:rsidR="00AD6527" w:rsidRDefault="00380305" w:rsidP="00F01ED6">
      <w:pPr>
        <w:pStyle w:val="ProductList-Body"/>
      </w:pPr>
      <w:r>
        <w:t>“</w:t>
      </w:r>
      <w:r w:rsidR="00AD6527">
        <w:rPr>
          <w:b/>
          <w:bCs/>
          <w:color w:val="00188F"/>
        </w:rPr>
        <w:t>Total de Tentativas de Transação</w:t>
      </w:r>
      <w:r>
        <w:t>”</w:t>
      </w:r>
      <w:r w:rsidR="00AD6527">
        <w:t xml:space="preserve"> é o número total de pedidos da API efetuado pelo Cliente durante um Período Aplicável para uma determinada subscrição do Microsoft Azure.</w:t>
      </w:r>
    </w:p>
    <w:p w14:paraId="6FE8B9C6" w14:textId="0748E631" w:rsidR="00AD6527" w:rsidRDefault="00380305" w:rsidP="00F01ED6">
      <w:pPr>
        <w:pStyle w:val="ProductList-Body"/>
      </w:pPr>
      <w:r>
        <w:t>“</w:t>
      </w:r>
      <w:r w:rsidR="00AD6527">
        <w:rPr>
          <w:b/>
          <w:bCs/>
          <w:color w:val="00188F"/>
        </w:rPr>
        <w:t>Transações Falhadas</w:t>
      </w:r>
      <w:r>
        <w:t>”</w:t>
      </w:r>
      <w:r w:rsidR="00AD6527">
        <w:t xml:space="preserve"> é o conjunto de todos os pedidos no Total de Pedidos que devolvem um Código de Erro ou um código de estado HTTP 408 ou uma falha em devolver um Código de Êxito num prazo de 30 segundos.</w:t>
      </w:r>
    </w:p>
    <w:p w14:paraId="02C4F9FC" w14:textId="155466EF" w:rsidR="00AD6527" w:rsidRDefault="00380305" w:rsidP="00F01ED6">
      <w:pPr>
        <w:pStyle w:val="ProductList-Body"/>
      </w:pPr>
      <w:r>
        <w:t>“</w:t>
      </w:r>
      <w:r w:rsidR="00AD6527">
        <w:rPr>
          <w:b/>
          <w:bCs/>
          <w:color w:val="00188F"/>
        </w:rPr>
        <w:t>Percentagem de Período de Disponibilidade</w:t>
      </w:r>
      <w:r>
        <w:t>”</w:t>
      </w:r>
      <w:r w:rsidR="00AD6527">
        <w:t xml:space="preserve"> é calculada como o Total de Tentativas de Transação menos as Transações com Falha a dividir pelo</w:t>
      </w:r>
      <w:r w:rsidR="00FE3A87">
        <w:t> </w:t>
      </w:r>
      <w:r w:rsidR="00AD6527">
        <w:t>Total de Tentativas de Transação num Período Aplicável para uma determinada subscrição do Microsoft Azure. A Percentagem de Período de</w:t>
      </w:r>
      <w:r w:rsidR="00FE3A87">
        <w:t> </w:t>
      </w:r>
      <w:r w:rsidR="00AD6527">
        <w:t>Disponibilidade é representada pela seguinte fórmula:</w:t>
      </w:r>
    </w:p>
    <w:p w14:paraId="4A36D646" w14:textId="0F82D9AF" w:rsidR="00A63636" w:rsidRPr="00EF7CF9" w:rsidRDefault="00000000" w:rsidP="00ED650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77777777" w:rsidR="00AD6527" w:rsidRPr="00A63636" w:rsidRDefault="00AD6527" w:rsidP="00F01ED6">
      <w:pPr>
        <w:pStyle w:val="ProductList-Body"/>
        <w:rPr>
          <w:b/>
          <w:bCs/>
          <w:color w:val="00188F"/>
        </w:rPr>
      </w:pPr>
      <w:r>
        <w:rPr>
          <w:b/>
          <w:bCs/>
          <w:color w:val="00188F"/>
        </w:rPr>
        <w:t>Os seguintes Níveis de Serviço e Créditos de Serviço são aplicáveis à utilização que o Cliente faz das Operações do Plano de Gestão do Machine Learning.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AA1B0EE" w14:textId="77777777" w:rsidR="00A63636" w:rsidRPr="00EF7CF9" w:rsidRDefault="00A63636" w:rsidP="00F01ED6">
            <w:pPr>
              <w:pStyle w:val="ProductList-OfferingBody"/>
              <w:jc w:val="center"/>
              <w:rPr>
                <w:color w:val="FFFFFF" w:themeColor="background1"/>
              </w:rPr>
            </w:pPr>
            <w:r>
              <w:rPr>
                <w:color w:val="FFFFFF" w:themeColor="background1"/>
              </w:rPr>
              <w:t>Crédito de Serviço</w:t>
            </w:r>
          </w:p>
        </w:tc>
      </w:tr>
      <w:tr w:rsidR="00A63636" w:rsidRPr="00B44CF9" w14:paraId="52F67945" w14:textId="77777777" w:rsidTr="00277097">
        <w:tc>
          <w:tcPr>
            <w:tcW w:w="5400" w:type="dxa"/>
          </w:tcPr>
          <w:p w14:paraId="657033F2" w14:textId="77777777" w:rsidR="00A63636" w:rsidRPr="00EF7CF9" w:rsidRDefault="00A63636" w:rsidP="00F01ED6">
            <w:pPr>
              <w:pStyle w:val="ProductList-OfferingBody"/>
              <w:jc w:val="center"/>
            </w:pPr>
            <w:r>
              <w:t>&lt; 99,9%</w:t>
            </w:r>
          </w:p>
        </w:tc>
        <w:tc>
          <w:tcPr>
            <w:tcW w:w="5400" w:type="dxa"/>
          </w:tcPr>
          <w:p w14:paraId="1C85C580" w14:textId="77777777" w:rsidR="00A63636" w:rsidRPr="00EF7CF9" w:rsidRDefault="00A63636" w:rsidP="00F01ED6">
            <w:pPr>
              <w:pStyle w:val="ProductList-OfferingBody"/>
              <w:jc w:val="center"/>
            </w:pPr>
            <w:r>
              <w:t>10%</w:t>
            </w:r>
          </w:p>
        </w:tc>
      </w:tr>
      <w:tr w:rsidR="00A63636" w:rsidRPr="00B44CF9" w14:paraId="0FE91B85" w14:textId="77777777" w:rsidTr="00277097">
        <w:tc>
          <w:tcPr>
            <w:tcW w:w="5400" w:type="dxa"/>
          </w:tcPr>
          <w:p w14:paraId="549727A1" w14:textId="77777777" w:rsidR="00A63636" w:rsidRPr="00EF7CF9" w:rsidRDefault="00A63636" w:rsidP="00F01ED6">
            <w:pPr>
              <w:pStyle w:val="ProductList-OfferingBody"/>
              <w:jc w:val="center"/>
            </w:pPr>
            <w:r>
              <w:t>&lt; 99%</w:t>
            </w:r>
          </w:p>
        </w:tc>
        <w:tc>
          <w:tcPr>
            <w:tcW w:w="5400" w:type="dxa"/>
          </w:tcPr>
          <w:p w14:paraId="45D823FB" w14:textId="77777777" w:rsidR="00A63636" w:rsidRPr="00EF7CF9" w:rsidRDefault="00A63636" w:rsidP="00F01ED6">
            <w:pPr>
              <w:pStyle w:val="ProductList-OfferingBody"/>
              <w:jc w:val="center"/>
            </w:pPr>
            <w:r>
              <w:t>25%</w:t>
            </w:r>
          </w:p>
        </w:tc>
      </w:tr>
    </w:tbl>
    <w:bookmarkStart w:id="320" w:name="_Toc412532194"/>
    <w:bookmarkStart w:id="321" w:name="_Toc457821557"/>
    <w:bookmarkStart w:id="322" w:name="_Toc52348964"/>
    <w:bookmarkStart w:id="323" w:name="MachineLearningStudio_BES"/>
    <w:p w14:paraId="71E7821D"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A6B9017" w14:textId="31CEA1F5" w:rsidR="00354321" w:rsidRDefault="001D6A79" w:rsidP="00F01ED6">
      <w:pPr>
        <w:pStyle w:val="ProductList-Offering2Heading"/>
        <w:tabs>
          <w:tab w:val="clear" w:pos="360"/>
        </w:tabs>
        <w:outlineLvl w:val="2"/>
      </w:pPr>
      <w:bookmarkStart w:id="324" w:name="_Toc239176497"/>
      <w:bookmarkStart w:id="325" w:name="_Toc136456117"/>
      <w:bookmarkEnd w:id="320"/>
      <w:bookmarkEnd w:id="321"/>
      <w:bookmarkEnd w:id="322"/>
      <w:bookmarkEnd w:id="323"/>
      <w:r>
        <w:t>Azure Managed Grafana</w:t>
      </w:r>
      <w:bookmarkEnd w:id="324"/>
    </w:p>
    <w:p w14:paraId="581F7A2A" w14:textId="77777777" w:rsidR="00576F3A" w:rsidRPr="009F364A" w:rsidRDefault="00576F3A" w:rsidP="00576F3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Definições Adicionais</w:t>
      </w:r>
      <w:r w:rsidRPr="009B5FEC">
        <w:rPr>
          <w:rFonts w:ascii="Calibri" w:eastAsia="Calibri" w:hAnsi="Calibri" w:cs="Arial"/>
          <w:b/>
          <w:bCs/>
          <w:sz w:val="18"/>
        </w:rPr>
        <w:t>:</w:t>
      </w:r>
    </w:p>
    <w:p w14:paraId="4A9E90DF" w14:textId="77777777" w:rsidR="00576F3A" w:rsidRPr="009F364A" w:rsidRDefault="00576F3A" w:rsidP="00576F3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Área de Trabalho</w:t>
      </w:r>
      <w:r>
        <w:rPr>
          <w:rFonts w:ascii="Calibri" w:eastAsia="Calibri" w:hAnsi="Calibri" w:cs="Arial"/>
          <w:sz w:val="18"/>
        </w:rPr>
        <w:t>” designa uma implementação de um ou mais servidores Grafana.</w:t>
      </w:r>
    </w:p>
    <w:p w14:paraId="40289F44" w14:textId="77777777" w:rsidR="00576F3A" w:rsidRPr="009F364A" w:rsidRDefault="00576F3A" w:rsidP="00576F3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Cálculo do Período de Disponibilidade Mensal e Níveis de Serviço para o Azure Managed Grafana</w:t>
      </w:r>
    </w:p>
    <w:p w14:paraId="7172CEE3" w14:textId="77777777" w:rsidR="00576F3A" w:rsidRPr="009F364A" w:rsidRDefault="00576F3A" w:rsidP="00576F3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Minutos de Implementação</w:t>
      </w:r>
      <w:r>
        <w:rPr>
          <w:rFonts w:ascii="Calibri" w:eastAsia="Calibri" w:hAnsi="Calibri" w:cs="Arial"/>
          <w:sz w:val="18"/>
        </w:rPr>
        <w:t>” designa o número total de minutos durante os quais uma determinada Área de Trabalho esteve em execução no Microsoft Azure durante um mês de faturação.</w:t>
      </w:r>
    </w:p>
    <w:p w14:paraId="5C77DCD7" w14:textId="77777777" w:rsidR="00576F3A" w:rsidRPr="009F364A" w:rsidRDefault="00576F3A" w:rsidP="00576F3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Máximo de Minutos Disponíveis</w:t>
      </w:r>
      <w:r>
        <w:rPr>
          <w:rFonts w:ascii="Calibri" w:eastAsia="Calibri" w:hAnsi="Calibri" w:cs="Arial"/>
          <w:sz w:val="18"/>
        </w:rPr>
        <w:t>” designa a soma de todos os Minutos de Implementação em todos as Áreas de Trabalho implementadas pelo Cliente numa determinada subscrição do Microsoft Azure num mês de faturação.</w:t>
      </w:r>
    </w:p>
    <w:p w14:paraId="7D60000A" w14:textId="77777777" w:rsidR="00576F3A" w:rsidRPr="009F364A" w:rsidRDefault="00576F3A" w:rsidP="00576F3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Período de Indisponibilidade</w:t>
      </w:r>
      <w:r>
        <w:rPr>
          <w:rFonts w:ascii="Calibri" w:eastAsia="Calibri" w:hAnsi="Calibri" w:cs="Arial"/>
          <w:sz w:val="18"/>
        </w:rPr>
        <w:t>” designa a soma de todos os Minutos de Implementação, em todas as Áreas de Trabalho implementadas pelo Cliente numa determinada subscrição do Microsoft Azure, durante um mês de faturação no qual a Área de Trabalho está indisponível. Um minuto é considerado indisponível para uma determinada Área de Trabalho se todos os pedidos de HTTP contínuos para executar operações nesse minuto resultarem num Código de Erro ou se não devolverem uma resposta.</w:t>
      </w:r>
    </w:p>
    <w:p w14:paraId="66EE7AF6" w14:textId="77777777" w:rsidR="00576F3A" w:rsidRPr="00616092" w:rsidRDefault="00576F3A" w:rsidP="00576F3A">
      <w:pPr>
        <w:tabs>
          <w:tab w:val="left" w:pos="360"/>
          <w:tab w:val="left" w:pos="720"/>
          <w:tab w:val="left" w:pos="1080"/>
        </w:tabs>
        <w:spacing w:after="0" w:line="240" w:lineRule="auto"/>
        <w:rPr>
          <w:rFonts w:ascii="Calibri" w:eastAsia="Calibri" w:hAnsi="Calibri" w:cs="Calibri"/>
          <w:sz w:val="18"/>
          <w:szCs w:val="18"/>
        </w:rPr>
      </w:pPr>
      <w:r w:rsidRPr="00616092">
        <w:rPr>
          <w:rFonts w:ascii="Calibri" w:hAnsi="Calibri" w:cs="Calibri"/>
          <w:sz w:val="18"/>
          <w:szCs w:val="18"/>
        </w:rPr>
        <w:t xml:space="preserve">A </w:t>
      </w:r>
      <w:r w:rsidRPr="00616092">
        <w:rPr>
          <w:rFonts w:ascii="Calibri" w:eastAsia="Calibri" w:hAnsi="Calibri" w:cs="Calibri"/>
          <w:sz w:val="18"/>
          <w:szCs w:val="18"/>
        </w:rPr>
        <w:t>“</w:t>
      </w:r>
      <w:r w:rsidRPr="00616092">
        <w:rPr>
          <w:rFonts w:ascii="Calibri" w:eastAsia="Calibri" w:hAnsi="Calibri" w:cs="Calibri"/>
          <w:b/>
          <w:color w:val="00188F"/>
          <w:sz w:val="18"/>
          <w:szCs w:val="18"/>
        </w:rPr>
        <w:t>Percentagem de Período de Disponibilidade Mensal</w:t>
      </w:r>
      <w:r w:rsidRPr="00616092">
        <w:rPr>
          <w:rFonts w:ascii="Calibri" w:eastAsia="Calibri" w:hAnsi="Calibri" w:cs="Calibri"/>
          <w:sz w:val="18"/>
          <w:szCs w:val="18"/>
        </w:rPr>
        <w:t>” para o Azure Managed Grafana é calculada como o Máximo de Minutos Disponíveis menos o Período de Indisponibilidade a dividir pelo Máximo de Minutos Disponíveis. A Percentagem de Período de Disponibilidade Mensal é representada pela seguinte fórmula:</w:t>
      </w:r>
    </w:p>
    <w:p w14:paraId="4A46C6BF" w14:textId="77777777" w:rsidR="00576F3A" w:rsidRPr="009F364A" w:rsidRDefault="00000000" w:rsidP="0092246B">
      <w:pPr>
        <w:spacing w:before="120"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Máximo de Minutos Disponíveis - Período de Indisponibilidade</m:t>
              </m:r>
            </m:num>
            <m:den>
              <m:r>
                <m:rPr>
                  <m:nor/>
                </m:rPr>
                <w:rPr>
                  <w:rFonts w:ascii="Cambria Math" w:eastAsia="Calibri" w:hAnsi="Cambria Math" w:cs="Tahoma"/>
                  <w:i/>
                  <w:sz w:val="18"/>
                  <w:szCs w:val="18"/>
                </w:rPr>
                <m:t>Máximo de Minutos Disponíveis</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6BFBB7D4" w14:textId="77777777" w:rsidR="00576F3A" w:rsidRPr="00576F3A" w:rsidRDefault="00576F3A" w:rsidP="00576F3A">
      <w:pPr>
        <w:tabs>
          <w:tab w:val="left" w:pos="360"/>
          <w:tab w:val="left" w:pos="720"/>
          <w:tab w:val="left" w:pos="1080"/>
        </w:tabs>
        <w:spacing w:after="0" w:line="240" w:lineRule="auto"/>
        <w:rPr>
          <w:b/>
          <w:color w:val="00188F"/>
          <w:sz w:val="18"/>
        </w:rPr>
      </w:pPr>
      <w:r w:rsidRPr="00576F3A">
        <w:rPr>
          <w:b/>
          <w:color w:val="00188F"/>
          <w:sz w:val="18"/>
        </w:rPr>
        <w:t>Os seguintes Níveis de Serviço e Créditos de Serviço são aplicáveis à utilização que o Cliente faz do Azure Managed Grafana: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576F3A" w:rsidRPr="009F364A" w14:paraId="7D252C23" w14:textId="77777777" w:rsidTr="006F6E13">
        <w:trPr>
          <w:tblHeader/>
        </w:trPr>
        <w:tc>
          <w:tcPr>
            <w:tcW w:w="2500" w:type="pct"/>
            <w:shd w:val="clear" w:color="auto" w:fill="0072C6"/>
          </w:tcPr>
          <w:p w14:paraId="32C827F1" w14:textId="77777777" w:rsidR="00576F3A" w:rsidRPr="009F364A" w:rsidRDefault="00576F3A"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lastRenderedPageBreak/>
              <w:t>Percentagem de Período de Disponibilidade Mensal</w:t>
            </w:r>
          </w:p>
        </w:tc>
        <w:tc>
          <w:tcPr>
            <w:tcW w:w="2500" w:type="pct"/>
            <w:shd w:val="clear" w:color="auto" w:fill="0072C6"/>
          </w:tcPr>
          <w:p w14:paraId="43B11FFE" w14:textId="77777777" w:rsidR="00576F3A" w:rsidRPr="009F364A" w:rsidRDefault="00576F3A"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576F3A" w:rsidRPr="009F364A" w14:paraId="332F9267" w14:textId="77777777" w:rsidTr="006F6E13">
        <w:tc>
          <w:tcPr>
            <w:tcW w:w="2500" w:type="pct"/>
          </w:tcPr>
          <w:p w14:paraId="161B24E4" w14:textId="77777777" w:rsidR="00576F3A" w:rsidRPr="009F364A" w:rsidRDefault="00576F3A"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2500" w:type="pct"/>
          </w:tcPr>
          <w:p w14:paraId="2A630124" w14:textId="77777777" w:rsidR="00576F3A" w:rsidRPr="009F364A" w:rsidRDefault="00576F3A"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576F3A" w:rsidRPr="009F364A" w14:paraId="6BC01570" w14:textId="77777777" w:rsidTr="006F6E13">
        <w:tc>
          <w:tcPr>
            <w:tcW w:w="2500" w:type="pct"/>
          </w:tcPr>
          <w:p w14:paraId="43104878" w14:textId="77777777" w:rsidR="00576F3A" w:rsidRPr="009F364A" w:rsidRDefault="00576F3A"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2500" w:type="pct"/>
          </w:tcPr>
          <w:p w14:paraId="62B8EF45" w14:textId="77777777" w:rsidR="00576F3A" w:rsidRPr="009F364A" w:rsidRDefault="00576F3A"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4EA28697" w14:textId="77777777" w:rsidR="00576F3A" w:rsidRPr="00EF7CF9" w:rsidRDefault="00576F3A" w:rsidP="00576F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8630501" w14:textId="429DCA6D" w:rsidR="00B22605" w:rsidRDefault="00B22605" w:rsidP="00F01ED6">
      <w:pPr>
        <w:pStyle w:val="ProductList-Offering2Heading"/>
        <w:tabs>
          <w:tab w:val="clear" w:pos="360"/>
        </w:tabs>
        <w:outlineLvl w:val="2"/>
      </w:pPr>
      <w:bookmarkStart w:id="326" w:name="_Toc239176498"/>
      <w:r>
        <w:t>Azure Managed Instance para Apache Cassandra</w:t>
      </w:r>
      <w:bookmarkEnd w:id="325"/>
      <w:bookmarkEnd w:id="326"/>
    </w:p>
    <w:p w14:paraId="19C3C8E3" w14:textId="77777777" w:rsidR="00B22605" w:rsidRDefault="00B22605" w:rsidP="00F01ED6">
      <w:pPr>
        <w:pStyle w:val="ProductList-Body"/>
      </w:pPr>
      <w:r>
        <w:rPr>
          <w:b/>
          <w:color w:val="00188F"/>
        </w:rPr>
        <w:t>Definições Adicionais</w:t>
      </w:r>
      <w:r w:rsidRPr="00473DD3">
        <w:rPr>
          <w:b/>
          <w:color w:val="00188F"/>
        </w:rPr>
        <w:t>:</w:t>
      </w:r>
    </w:p>
    <w:p w14:paraId="06FE77EC" w14:textId="7B55CD6E" w:rsidR="00B22605" w:rsidRPr="001C1F84" w:rsidRDefault="00380305" w:rsidP="00F01ED6">
      <w:pPr>
        <w:pStyle w:val="ProductList-Body"/>
        <w:rPr>
          <w:spacing w:val="-3"/>
        </w:rPr>
      </w:pPr>
      <w:r>
        <w:rPr>
          <w:spacing w:val="-3"/>
        </w:rPr>
        <w:t>“</w:t>
      </w:r>
      <w:r w:rsidR="00B22605" w:rsidRPr="001C1F84">
        <w:rPr>
          <w:b/>
          <w:color w:val="00188F"/>
          <w:spacing w:val="-3"/>
        </w:rPr>
        <w:t>Zona de Disponibilidade</w:t>
      </w:r>
      <w:r>
        <w:rPr>
          <w:spacing w:val="-3"/>
        </w:rPr>
        <w:t>”</w:t>
      </w:r>
      <w:r w:rsidR="00B22605" w:rsidRPr="001C1F84">
        <w:rPr>
          <w:spacing w:val="-3"/>
        </w:rPr>
        <w:t xml:space="preserve"> designa uma área isolada de falhas numa região do Azure que providencia alimentação, refrigeração e rede redundantes.</w:t>
      </w:r>
    </w:p>
    <w:p w14:paraId="6B4B48D6" w14:textId="089EEFF1" w:rsidR="00B22605" w:rsidRDefault="00380305" w:rsidP="00F01ED6">
      <w:pPr>
        <w:pStyle w:val="ProductList-Body"/>
      </w:pPr>
      <w:r>
        <w:t>“</w:t>
      </w:r>
      <w:r w:rsidR="00B22605">
        <w:rPr>
          <w:b/>
          <w:color w:val="00188F"/>
        </w:rPr>
        <w:t>Centro de Dados Cassandra</w:t>
      </w:r>
      <w:r>
        <w:t>”</w:t>
      </w:r>
      <w:r w:rsidR="00B22605">
        <w:t xml:space="preserve"> designa três ou mais Nós implementados numa região através do Azure Managed Instance para Apache Cassandra com uma configuração comum e o nome do Centro de Dados Cassandra.</w:t>
      </w:r>
    </w:p>
    <w:p w14:paraId="42362B1C" w14:textId="3CB463B3" w:rsidR="00B22605" w:rsidRDefault="00380305" w:rsidP="00F01ED6">
      <w:pPr>
        <w:pStyle w:val="ProductList-Body"/>
      </w:pPr>
      <w:r>
        <w:t>“</w:t>
      </w:r>
      <w:r w:rsidR="00B22605">
        <w:rPr>
          <w:b/>
          <w:color w:val="00188F"/>
        </w:rPr>
        <w:t>Nó</w:t>
      </w:r>
      <w:r>
        <w:t>”</w:t>
      </w:r>
      <w:r w:rsidR="00B22605">
        <w:t xml:space="preserve"> designa uma única máquina virtual implementada numa região através do Azure Managed Instance para Apache Cassandra.</w:t>
      </w:r>
    </w:p>
    <w:p w14:paraId="3320A445" w14:textId="5CFF9281" w:rsidR="00B22605" w:rsidRDefault="00380305" w:rsidP="00F01ED6">
      <w:pPr>
        <w:pStyle w:val="ProductList-Body"/>
      </w:pPr>
      <w:r>
        <w:t>“</w:t>
      </w:r>
      <w:r w:rsidR="00B22605">
        <w:rPr>
          <w:b/>
          <w:color w:val="00188F"/>
        </w:rPr>
        <w:t>Configuração de Rede Compatível</w:t>
      </w:r>
      <w:r>
        <w:t>”</w:t>
      </w:r>
      <w:r w:rsidR="00B22605">
        <w:t xml:space="preserve"> designa o conjunto completo de configurações necessárias da Rede Virtual do Microsoft Azure que aloja o</w:t>
      </w:r>
      <w:r w:rsidR="005E5DC2">
        <w:t> </w:t>
      </w:r>
      <w:r w:rsidR="00B22605">
        <w:t>Centro de Dados Cassandra, incluindo as regras de segurança de entrada do Grupo de Segurança de Rede do Microsoft Azure e as Redes Definidas pelo Utilizador obrigatórias do Microsoft Azure da Sub-rede da Rede Virtual do Microsoft Azure que aloja o Centro de Dados Cassandra, o</w:t>
      </w:r>
      <w:r w:rsidR="005E5DC2">
        <w:t> </w:t>
      </w:r>
      <w:r w:rsidR="00B22605">
        <w:t>que permite um fluxo ininterrupto do trânsito de gestão e o tráfego de dados para o gateway dedicado colocado na Sub-rede da Rede Virtual do Microsoft Azure Virtual que aloja o Centro de Dados Cassandra.</w:t>
      </w:r>
    </w:p>
    <w:p w14:paraId="7A37CF11" w14:textId="1F91BE2E" w:rsidR="00B22605" w:rsidRPr="00FC0DFA" w:rsidRDefault="00B22605" w:rsidP="00F01ED6">
      <w:pPr>
        <w:pStyle w:val="ProductList-Body"/>
        <w:rPr>
          <w:b/>
          <w:color w:val="00188F"/>
        </w:rPr>
      </w:pPr>
      <w:r>
        <w:rPr>
          <w:b/>
          <w:color w:val="00188F"/>
        </w:rPr>
        <w:t>Cálculo do Período de Disponibilidade e Níveis de Serviço para o Azure Managed Instance para Centros de Dados Cassandra</w:t>
      </w:r>
    </w:p>
    <w:p w14:paraId="4A0FB869" w14:textId="6FB65DFC" w:rsidR="00B22605" w:rsidRDefault="00380305" w:rsidP="00F01ED6">
      <w:pPr>
        <w:pStyle w:val="ProductList-Body"/>
      </w:pPr>
      <w:r>
        <w:t>“</w:t>
      </w:r>
      <w:r w:rsidR="00B22605">
        <w:rPr>
          <w:b/>
          <w:color w:val="00188F"/>
        </w:rPr>
        <w:t>Máximo de Minutos Disponíveis</w:t>
      </w:r>
      <w:r>
        <w:t>”</w:t>
      </w:r>
      <w:r w:rsidR="00B22605">
        <w:t xml:space="preserve"> designa o total de minutos acumulados durante um mês de faturação para todos os Centros de Dados Cassandra que têm três ou mais Nós implementados. O Máximo de Minutos Disponíveis é calculado a partir do momento em que pelo menos três Nós no mesmo Centro de Dados Cassandra foram iniciadas como resultado da ação iniciada pelo Cliente até ao momento em que o Cliente iniciou uma ação que resultaria na interrupção ou eliminação do Centro de Dados Cassandra.</w:t>
      </w:r>
    </w:p>
    <w:p w14:paraId="58226A16" w14:textId="78135504" w:rsidR="00B22605" w:rsidRDefault="00380305" w:rsidP="00F01ED6">
      <w:pPr>
        <w:pStyle w:val="ProductList-Body"/>
      </w:pPr>
      <w:r>
        <w:t>“</w:t>
      </w:r>
      <w:r w:rsidR="00B22605">
        <w:rPr>
          <w:b/>
          <w:color w:val="00188F"/>
        </w:rPr>
        <w:t>Período de Indisponibilidade</w:t>
      </w:r>
      <w:r>
        <w:t>”</w:t>
      </w:r>
      <w:r w:rsidR="00B22605">
        <w:t xml:space="preserve"> é o total de minutos acumulados que fazem parte do Máximo de Minutos Disponíveis que continuamente não têm conectividade para um quorum de Nós no Centro de Dados Cassandra numa região.</w:t>
      </w:r>
    </w:p>
    <w:p w14:paraId="3B4CB4F2" w14:textId="5D6B0B35" w:rsidR="00B22605" w:rsidRDefault="00B22605" w:rsidP="00F01ED6">
      <w:pPr>
        <w:pStyle w:val="ProductList-Body"/>
      </w:pPr>
      <w:r>
        <w:t xml:space="preserve">A </w:t>
      </w:r>
      <w:r w:rsidR="00380305">
        <w:t>“</w:t>
      </w:r>
      <w:r>
        <w:rPr>
          <w:b/>
          <w:color w:val="00188F"/>
        </w:rPr>
        <w:t>Percentagem de Período de Disponibilidade</w:t>
      </w:r>
      <w:r w:rsidR="00380305">
        <w:t>”</w:t>
      </w:r>
      <w:r>
        <w:t xml:space="preserve"> para Centros de Dados Cassandra é calculada como o Máximo de Minutos Disponíveis menos o</w:t>
      </w:r>
      <w:r w:rsidR="005E5DC2">
        <w:t> </w:t>
      </w:r>
      <w:r>
        <w:t>Período de Indisponibilidade a dividir pelo Máximo de Minutos Disponíveis num Período Aplicável para uma determinada subscrição do Microsoft Azure. A Percentagem de Período de Disponibilidade é representada pela seguinte fórmula:</w:t>
      </w:r>
    </w:p>
    <w:p w14:paraId="3FF9F6FA" w14:textId="0515E3BC" w:rsidR="00B22605" w:rsidRPr="005D67E8" w:rsidRDefault="00000000" w:rsidP="002E530C">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83402B" w14:textId="77777777" w:rsidR="00B22605" w:rsidRPr="00FC0DFA" w:rsidRDefault="00B22605" w:rsidP="00F01ED6">
      <w:pPr>
        <w:pStyle w:val="ProductList-Body"/>
        <w:rPr>
          <w:b/>
          <w:color w:val="00188F"/>
        </w:rPr>
      </w:pPr>
      <w:r>
        <w:rPr>
          <w:b/>
          <w:color w:val="00188F"/>
        </w:rPr>
        <w:t>Os seguintes Níveis de Serviço e Créditos de Serviço são aplicáveis à utilização que o Cliente faz de um Centro de Dados Cassandra com Configuração de Rede Compatível: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1D4B6B">
        <w:trPr>
          <w:tblHeader/>
        </w:trPr>
        <w:tc>
          <w:tcPr>
            <w:tcW w:w="5400" w:type="dxa"/>
            <w:shd w:val="clear" w:color="auto" w:fill="0072C6"/>
          </w:tcPr>
          <w:p w14:paraId="34417DF9" w14:textId="15D21924" w:rsidR="00B22605" w:rsidRPr="00EF7CF9" w:rsidRDefault="00B22605"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F8A96D1" w14:textId="77777777" w:rsidR="00B22605" w:rsidRPr="00EF7CF9" w:rsidRDefault="00B22605" w:rsidP="00F01ED6">
            <w:pPr>
              <w:pStyle w:val="ProductList-OfferingBody"/>
              <w:jc w:val="center"/>
              <w:rPr>
                <w:color w:val="FFFFFF" w:themeColor="background1"/>
              </w:rPr>
            </w:pPr>
            <w:r>
              <w:rPr>
                <w:color w:val="FFFFFF" w:themeColor="background1"/>
              </w:rPr>
              <w:t>Crédito de Serviço</w:t>
            </w:r>
          </w:p>
        </w:tc>
      </w:tr>
      <w:tr w:rsidR="00B22605" w:rsidRPr="00B44CF9" w14:paraId="38C1AE17" w14:textId="77777777" w:rsidTr="001D4B6B">
        <w:tc>
          <w:tcPr>
            <w:tcW w:w="5400" w:type="dxa"/>
          </w:tcPr>
          <w:p w14:paraId="3902C068" w14:textId="77777777" w:rsidR="00B22605" w:rsidRPr="00EF7CF9" w:rsidRDefault="00B22605" w:rsidP="00F01ED6">
            <w:pPr>
              <w:pStyle w:val="ProductList-OfferingBody"/>
              <w:jc w:val="center"/>
            </w:pPr>
            <w:r>
              <w:t>&lt; 99,95%</w:t>
            </w:r>
          </w:p>
        </w:tc>
        <w:tc>
          <w:tcPr>
            <w:tcW w:w="5400" w:type="dxa"/>
          </w:tcPr>
          <w:p w14:paraId="399C359E" w14:textId="77777777" w:rsidR="00B22605" w:rsidRPr="00EF7CF9" w:rsidRDefault="00B22605" w:rsidP="00F01ED6">
            <w:pPr>
              <w:pStyle w:val="ProductList-OfferingBody"/>
              <w:jc w:val="center"/>
            </w:pPr>
            <w:r>
              <w:t>10%</w:t>
            </w:r>
          </w:p>
        </w:tc>
      </w:tr>
      <w:tr w:rsidR="00B22605" w:rsidRPr="00B44CF9" w14:paraId="3DA37607" w14:textId="77777777" w:rsidTr="001D4B6B">
        <w:tc>
          <w:tcPr>
            <w:tcW w:w="5400" w:type="dxa"/>
          </w:tcPr>
          <w:p w14:paraId="79406AF7" w14:textId="77777777" w:rsidR="00B22605" w:rsidRPr="00EF7CF9" w:rsidRDefault="00B22605" w:rsidP="00F01ED6">
            <w:pPr>
              <w:pStyle w:val="ProductList-OfferingBody"/>
              <w:jc w:val="center"/>
            </w:pPr>
            <w:r>
              <w:t>&lt; 99%</w:t>
            </w:r>
          </w:p>
        </w:tc>
        <w:tc>
          <w:tcPr>
            <w:tcW w:w="5400" w:type="dxa"/>
          </w:tcPr>
          <w:p w14:paraId="375471EE" w14:textId="77777777" w:rsidR="00B22605" w:rsidRPr="00EF7CF9" w:rsidRDefault="00B22605" w:rsidP="00F01ED6">
            <w:pPr>
              <w:pStyle w:val="ProductList-OfferingBody"/>
              <w:jc w:val="center"/>
            </w:pPr>
            <w:r>
              <w:t>25%</w:t>
            </w:r>
          </w:p>
        </w:tc>
      </w:tr>
    </w:tbl>
    <w:p w14:paraId="1ADBEB22" w14:textId="77777777" w:rsidR="00B22605" w:rsidRDefault="00B22605" w:rsidP="005D1414">
      <w:pPr>
        <w:pStyle w:val="ProductList-Body"/>
        <w:spacing w:before="120"/>
        <w:rPr>
          <w:b/>
          <w:color w:val="00188F"/>
        </w:rPr>
      </w:pPr>
      <w:r>
        <w:rPr>
          <w:b/>
          <w:color w:val="00188F"/>
        </w:rPr>
        <w:t>Para um Centro de Dados Cassandra implementado com suporte para a Zona de Disponibilidade ativada numa região do Azure que suporta Zonas de Disponibilidade, os seguintes Níveis de Serviço e Créditos de Serviço são aplicáveis à utilização que o Cliente faz de um Centro de Dados Cassandra com Configuração de Rede Compatível: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1D4B6B">
        <w:trPr>
          <w:tblHeader/>
        </w:trPr>
        <w:tc>
          <w:tcPr>
            <w:tcW w:w="5400" w:type="dxa"/>
            <w:shd w:val="clear" w:color="auto" w:fill="0072C6"/>
          </w:tcPr>
          <w:p w14:paraId="01D8304D" w14:textId="381B2A68" w:rsidR="00B22605" w:rsidRPr="00EF7CF9" w:rsidRDefault="00B22605"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DC1AF3F" w14:textId="77777777" w:rsidR="00B22605" w:rsidRPr="00EF7CF9" w:rsidRDefault="00B22605" w:rsidP="00F01ED6">
            <w:pPr>
              <w:pStyle w:val="ProductList-OfferingBody"/>
              <w:jc w:val="center"/>
              <w:rPr>
                <w:color w:val="FFFFFF" w:themeColor="background1"/>
              </w:rPr>
            </w:pPr>
            <w:r>
              <w:rPr>
                <w:color w:val="FFFFFF" w:themeColor="background1"/>
              </w:rPr>
              <w:t>Crédito de Serviço</w:t>
            </w:r>
          </w:p>
        </w:tc>
      </w:tr>
      <w:tr w:rsidR="00B22605" w:rsidRPr="00B44CF9" w14:paraId="25A15BF3" w14:textId="77777777" w:rsidTr="001D4B6B">
        <w:tc>
          <w:tcPr>
            <w:tcW w:w="5400" w:type="dxa"/>
          </w:tcPr>
          <w:p w14:paraId="6E5AA78B" w14:textId="77777777" w:rsidR="00B22605" w:rsidRPr="00EF7CF9" w:rsidRDefault="00B22605" w:rsidP="00F01ED6">
            <w:pPr>
              <w:pStyle w:val="ProductList-OfferingBody"/>
              <w:jc w:val="center"/>
            </w:pPr>
            <w:r>
              <w:t>&lt; 99,99%</w:t>
            </w:r>
          </w:p>
        </w:tc>
        <w:tc>
          <w:tcPr>
            <w:tcW w:w="5400" w:type="dxa"/>
          </w:tcPr>
          <w:p w14:paraId="26DA7403" w14:textId="77777777" w:rsidR="00B22605" w:rsidRPr="00EF7CF9" w:rsidRDefault="00B22605" w:rsidP="00F01ED6">
            <w:pPr>
              <w:pStyle w:val="ProductList-OfferingBody"/>
              <w:jc w:val="center"/>
            </w:pPr>
            <w:r>
              <w:t>10%</w:t>
            </w:r>
          </w:p>
        </w:tc>
      </w:tr>
      <w:tr w:rsidR="00B22605" w:rsidRPr="00B44CF9" w14:paraId="5340A779" w14:textId="77777777" w:rsidTr="001D4B6B">
        <w:tc>
          <w:tcPr>
            <w:tcW w:w="5400" w:type="dxa"/>
          </w:tcPr>
          <w:p w14:paraId="3A515058" w14:textId="77777777" w:rsidR="00B22605" w:rsidRPr="00EF7CF9" w:rsidRDefault="00B22605" w:rsidP="00F01ED6">
            <w:pPr>
              <w:pStyle w:val="ProductList-OfferingBody"/>
              <w:jc w:val="center"/>
            </w:pPr>
            <w:r>
              <w:t>&lt; 99%</w:t>
            </w:r>
          </w:p>
        </w:tc>
        <w:tc>
          <w:tcPr>
            <w:tcW w:w="5400" w:type="dxa"/>
          </w:tcPr>
          <w:p w14:paraId="5C841C5B" w14:textId="77777777" w:rsidR="00B22605" w:rsidRPr="00EF7CF9" w:rsidRDefault="00B22605" w:rsidP="00F01ED6">
            <w:pPr>
              <w:pStyle w:val="ProductList-OfferingBody"/>
              <w:jc w:val="center"/>
            </w:pPr>
            <w:r>
              <w:t>25%</w:t>
            </w:r>
          </w:p>
        </w:tc>
      </w:tr>
    </w:tbl>
    <w:p w14:paraId="79927BDB" w14:textId="3C25ECEF" w:rsidR="007553FE" w:rsidRPr="009A3360" w:rsidRDefault="007553FE" w:rsidP="005D1414">
      <w:pPr>
        <w:pStyle w:val="ProductList-Body"/>
        <w:spacing w:before="120"/>
        <w:rPr>
          <w:rFonts w:ascii="Calibri" w:hAnsi="Calibri" w:cs="Calibri"/>
          <w:b/>
          <w:bCs/>
          <w:color w:val="00188F"/>
        </w:rPr>
      </w:pPr>
      <w:r>
        <w:rPr>
          <w:rFonts w:ascii="Calibri" w:hAnsi="Calibri" w:cs="Calibri"/>
          <w:b/>
          <w:bCs/>
          <w:color w:val="00188F"/>
        </w:rPr>
        <w:t>Para um Cluster Cassandra implementado com datacenters em várias regiões e na Zona de Disponibilidade ativada numa região do Azure que suporta Zonas de Disponibilidade, os seguintes Níveis de Serviço e Créditos de Serviço são aplicáveis à utilização que o Cliente faz de um Datacenter Cassandra com Configuração de Rede Compatível: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7553FE" w:rsidRPr="006B307B" w14:paraId="5813E1AD" w14:textId="77777777" w:rsidTr="00661DF9">
        <w:trPr>
          <w:trHeight w:val="265"/>
          <w:tblHeader/>
        </w:trPr>
        <w:tc>
          <w:tcPr>
            <w:tcW w:w="5234" w:type="dxa"/>
            <w:shd w:val="clear" w:color="auto" w:fill="0072C6"/>
          </w:tcPr>
          <w:p w14:paraId="03A673F4" w14:textId="77777777" w:rsidR="007553FE" w:rsidRPr="00762BE9" w:rsidRDefault="007553FE" w:rsidP="00661DF9">
            <w:pPr>
              <w:pStyle w:val="ProductList-OfferingBody"/>
              <w:jc w:val="center"/>
              <w:rPr>
                <w:rFonts w:ascii="Calibri" w:hAnsi="Calibri" w:cs="Calibri"/>
                <w:color w:val="FFFFFF" w:themeColor="background1"/>
              </w:rPr>
            </w:pPr>
            <w:r>
              <w:rPr>
                <w:rFonts w:ascii="Calibri" w:hAnsi="Calibri" w:cs="Calibri"/>
                <w:color w:val="FFFFFF" w:themeColor="background1"/>
              </w:rPr>
              <w:t>Percentagem de Disponibilidade de Múltiplas Localizações de Escrita</w:t>
            </w:r>
          </w:p>
        </w:tc>
        <w:tc>
          <w:tcPr>
            <w:tcW w:w="5566" w:type="dxa"/>
            <w:shd w:val="clear" w:color="auto" w:fill="0072C6"/>
          </w:tcPr>
          <w:p w14:paraId="23BB00A1" w14:textId="77777777" w:rsidR="007553FE" w:rsidRPr="00762BE9" w:rsidRDefault="007553FE" w:rsidP="00661DF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7553FE" w:rsidRPr="006B307B" w14:paraId="304BAC88" w14:textId="77777777" w:rsidTr="00661DF9">
        <w:trPr>
          <w:trHeight w:val="284"/>
        </w:trPr>
        <w:tc>
          <w:tcPr>
            <w:tcW w:w="5234" w:type="dxa"/>
          </w:tcPr>
          <w:p w14:paraId="0DC584BD" w14:textId="77777777" w:rsidR="007553FE" w:rsidRPr="00762BE9" w:rsidRDefault="007553FE" w:rsidP="00661DF9">
            <w:pPr>
              <w:pStyle w:val="ProductList-OfferingBody"/>
              <w:jc w:val="center"/>
              <w:rPr>
                <w:rFonts w:ascii="Calibri" w:hAnsi="Calibri" w:cs="Calibri"/>
              </w:rPr>
            </w:pPr>
            <w:r>
              <w:rPr>
                <w:rFonts w:ascii="Calibri" w:hAnsi="Calibri" w:cs="Calibri"/>
              </w:rPr>
              <w:t>&lt; 99,999%</w:t>
            </w:r>
          </w:p>
        </w:tc>
        <w:tc>
          <w:tcPr>
            <w:tcW w:w="5566" w:type="dxa"/>
          </w:tcPr>
          <w:p w14:paraId="6D8206CC" w14:textId="77777777" w:rsidR="007553FE" w:rsidRPr="00762BE9" w:rsidRDefault="007553FE" w:rsidP="00661DF9">
            <w:pPr>
              <w:pStyle w:val="ProductList-OfferingBody"/>
              <w:jc w:val="center"/>
              <w:rPr>
                <w:rFonts w:ascii="Calibri" w:hAnsi="Calibri" w:cs="Calibri"/>
              </w:rPr>
            </w:pPr>
            <w:r>
              <w:rPr>
                <w:rFonts w:ascii="Calibri" w:hAnsi="Calibri" w:cs="Calibri"/>
              </w:rPr>
              <w:t>10%</w:t>
            </w:r>
          </w:p>
        </w:tc>
      </w:tr>
      <w:tr w:rsidR="007553FE" w:rsidRPr="006B307B" w14:paraId="3F6A3186" w14:textId="77777777" w:rsidTr="00661DF9">
        <w:trPr>
          <w:trHeight w:val="265"/>
        </w:trPr>
        <w:tc>
          <w:tcPr>
            <w:tcW w:w="5234" w:type="dxa"/>
          </w:tcPr>
          <w:p w14:paraId="6226B0F3" w14:textId="77777777" w:rsidR="007553FE" w:rsidRPr="00762BE9" w:rsidRDefault="007553FE" w:rsidP="00661DF9">
            <w:pPr>
              <w:pStyle w:val="ProductList-OfferingBody"/>
              <w:jc w:val="center"/>
              <w:rPr>
                <w:rFonts w:ascii="Calibri" w:hAnsi="Calibri" w:cs="Calibri"/>
              </w:rPr>
            </w:pPr>
            <w:r>
              <w:rPr>
                <w:rFonts w:ascii="Calibri" w:hAnsi="Calibri" w:cs="Calibri"/>
              </w:rPr>
              <w:t>&lt; 99%</w:t>
            </w:r>
          </w:p>
        </w:tc>
        <w:tc>
          <w:tcPr>
            <w:tcW w:w="5566" w:type="dxa"/>
          </w:tcPr>
          <w:p w14:paraId="015F486D" w14:textId="77777777" w:rsidR="007553FE" w:rsidRPr="00762BE9" w:rsidRDefault="007553FE" w:rsidP="00661DF9">
            <w:pPr>
              <w:pStyle w:val="ProductList-OfferingBody"/>
              <w:jc w:val="center"/>
              <w:rPr>
                <w:rFonts w:ascii="Calibri" w:hAnsi="Calibri" w:cs="Calibri"/>
              </w:rPr>
            </w:pPr>
            <w:r>
              <w:rPr>
                <w:rFonts w:ascii="Calibri" w:hAnsi="Calibri" w:cs="Calibri"/>
              </w:rPr>
              <w:t>25%</w:t>
            </w:r>
          </w:p>
        </w:tc>
      </w:tr>
    </w:tbl>
    <w:p w14:paraId="1843A29A" w14:textId="77777777" w:rsidR="007553FE" w:rsidRPr="009A3360" w:rsidRDefault="007553FE" w:rsidP="005D1414">
      <w:pPr>
        <w:pStyle w:val="ProductList-Body"/>
        <w:keepNext/>
        <w:spacing w:before="120"/>
        <w:rPr>
          <w:rFonts w:ascii="Calibri" w:hAnsi="Calibri" w:cs="Calibri"/>
          <w:color w:val="0072C6"/>
        </w:rPr>
      </w:pPr>
      <w:r>
        <w:rPr>
          <w:rFonts w:ascii="Calibri" w:hAnsi="Calibri" w:cs="Calibri"/>
          <w:b/>
          <w:color w:val="00188F"/>
        </w:rPr>
        <w:t>Para um Datacenter Cassandra implementado com Região Única e Zona de Disponibilidade NÃO está ativada</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7553FE" w:rsidRPr="006B307B" w14:paraId="67A0D834" w14:textId="77777777" w:rsidTr="00661DF9">
        <w:trPr>
          <w:tblHeader/>
        </w:trPr>
        <w:tc>
          <w:tcPr>
            <w:tcW w:w="5220" w:type="dxa"/>
            <w:shd w:val="clear" w:color="auto" w:fill="0072C6"/>
          </w:tcPr>
          <w:p w14:paraId="75C1B666" w14:textId="77777777" w:rsidR="007553FE" w:rsidRPr="00762BE9" w:rsidRDefault="007553FE" w:rsidP="00661DF9">
            <w:pPr>
              <w:pStyle w:val="ProductList-OfferingBody"/>
              <w:jc w:val="center"/>
              <w:rPr>
                <w:rFonts w:ascii="Calibri" w:hAnsi="Calibri" w:cs="Calibri"/>
                <w:color w:val="FFFFFF" w:themeColor="background1"/>
              </w:rPr>
            </w:pPr>
            <w:r>
              <w:rPr>
                <w:rFonts w:ascii="Calibri" w:hAnsi="Calibri" w:cs="Calibri"/>
                <w:color w:val="FFFFFF" w:themeColor="background1"/>
              </w:rPr>
              <w:t>Percentagem de Disponibilidade</w:t>
            </w:r>
          </w:p>
        </w:tc>
        <w:tc>
          <w:tcPr>
            <w:tcW w:w="5579" w:type="dxa"/>
            <w:shd w:val="clear" w:color="auto" w:fill="0072C6"/>
          </w:tcPr>
          <w:p w14:paraId="237F59B2" w14:textId="77777777" w:rsidR="007553FE" w:rsidRPr="00762BE9" w:rsidRDefault="007553FE" w:rsidP="00661DF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7553FE" w:rsidRPr="006B307B" w14:paraId="6E038432" w14:textId="77777777" w:rsidTr="00661DF9">
        <w:tc>
          <w:tcPr>
            <w:tcW w:w="5220" w:type="dxa"/>
          </w:tcPr>
          <w:p w14:paraId="20933B3A" w14:textId="77777777" w:rsidR="007553FE" w:rsidRPr="00762BE9" w:rsidRDefault="007553FE" w:rsidP="00661DF9">
            <w:pPr>
              <w:pStyle w:val="ProductList-OfferingBody"/>
              <w:jc w:val="center"/>
              <w:rPr>
                <w:rFonts w:ascii="Calibri" w:hAnsi="Calibri" w:cs="Calibri"/>
              </w:rPr>
            </w:pPr>
            <w:r>
              <w:rPr>
                <w:rFonts w:ascii="Calibri" w:hAnsi="Calibri" w:cs="Calibri"/>
              </w:rPr>
              <w:t>&lt; 99,995%</w:t>
            </w:r>
          </w:p>
        </w:tc>
        <w:tc>
          <w:tcPr>
            <w:tcW w:w="5579" w:type="dxa"/>
          </w:tcPr>
          <w:p w14:paraId="4B53EEF8" w14:textId="77777777" w:rsidR="007553FE" w:rsidRPr="00762BE9" w:rsidRDefault="007553FE" w:rsidP="00661DF9">
            <w:pPr>
              <w:pStyle w:val="ProductList-OfferingBody"/>
              <w:jc w:val="center"/>
              <w:rPr>
                <w:rFonts w:ascii="Calibri" w:hAnsi="Calibri" w:cs="Calibri"/>
              </w:rPr>
            </w:pPr>
            <w:r>
              <w:rPr>
                <w:rFonts w:ascii="Calibri" w:hAnsi="Calibri" w:cs="Calibri"/>
              </w:rPr>
              <w:t>10%</w:t>
            </w:r>
          </w:p>
        </w:tc>
      </w:tr>
      <w:tr w:rsidR="007553FE" w:rsidRPr="006B307B" w14:paraId="2B5820EB" w14:textId="77777777" w:rsidTr="00661DF9">
        <w:tc>
          <w:tcPr>
            <w:tcW w:w="5220" w:type="dxa"/>
          </w:tcPr>
          <w:p w14:paraId="17F365C8" w14:textId="77777777" w:rsidR="007553FE" w:rsidRPr="00762BE9" w:rsidRDefault="007553FE" w:rsidP="00661DF9">
            <w:pPr>
              <w:pStyle w:val="ProductList-OfferingBody"/>
              <w:jc w:val="center"/>
              <w:rPr>
                <w:rFonts w:ascii="Calibri" w:hAnsi="Calibri" w:cs="Calibri"/>
              </w:rPr>
            </w:pPr>
            <w:r>
              <w:rPr>
                <w:rFonts w:ascii="Calibri" w:hAnsi="Calibri" w:cs="Calibri"/>
              </w:rPr>
              <w:t>&lt; 99%</w:t>
            </w:r>
          </w:p>
        </w:tc>
        <w:tc>
          <w:tcPr>
            <w:tcW w:w="5579" w:type="dxa"/>
          </w:tcPr>
          <w:p w14:paraId="6F94679F" w14:textId="77777777" w:rsidR="007553FE" w:rsidRPr="00762BE9" w:rsidRDefault="007553FE" w:rsidP="00661DF9">
            <w:pPr>
              <w:pStyle w:val="ProductList-OfferingBody"/>
              <w:jc w:val="center"/>
              <w:rPr>
                <w:rFonts w:ascii="Calibri" w:hAnsi="Calibri" w:cs="Calibri"/>
              </w:rPr>
            </w:pPr>
            <w:r>
              <w:rPr>
                <w:rFonts w:ascii="Calibri" w:hAnsi="Calibri" w:cs="Calibri"/>
              </w:rPr>
              <w:t>25%</w:t>
            </w:r>
          </w:p>
        </w:tc>
      </w:tr>
    </w:tbl>
    <w:p w14:paraId="159D3965" w14:textId="77777777" w:rsidR="007553FE" w:rsidRPr="00762BE9" w:rsidRDefault="007553FE" w:rsidP="005D1414">
      <w:pPr>
        <w:pStyle w:val="ProductList-Body"/>
        <w:keepNext/>
        <w:spacing w:before="120"/>
        <w:rPr>
          <w:rFonts w:ascii="Calibri" w:hAnsi="Calibri" w:cs="Calibri"/>
          <w:color w:val="0072C6"/>
        </w:rPr>
      </w:pPr>
      <w:r>
        <w:rPr>
          <w:rFonts w:ascii="Calibri" w:hAnsi="Calibri" w:cs="Calibri"/>
          <w:b/>
          <w:color w:val="00188F"/>
        </w:rPr>
        <w:lastRenderedPageBreak/>
        <w:t xml:space="preserve">Para um Datacenter Cassandra implementado numa Região Única com Zona de Disponibilidade ativada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7553FE" w:rsidRPr="006B307B" w14:paraId="50CD58B5" w14:textId="77777777" w:rsidTr="00661DF9">
        <w:trPr>
          <w:tblHeader/>
        </w:trPr>
        <w:tc>
          <w:tcPr>
            <w:tcW w:w="5220" w:type="dxa"/>
            <w:shd w:val="clear" w:color="auto" w:fill="0072C6"/>
          </w:tcPr>
          <w:p w14:paraId="4BAFA10C" w14:textId="77777777" w:rsidR="007553FE" w:rsidRPr="00762BE9" w:rsidRDefault="007553FE" w:rsidP="00661DF9">
            <w:pPr>
              <w:pStyle w:val="ProductList-OfferingBody"/>
              <w:jc w:val="center"/>
              <w:rPr>
                <w:rFonts w:ascii="Calibri" w:hAnsi="Calibri" w:cs="Calibri"/>
                <w:color w:val="FFFFFF" w:themeColor="background1"/>
              </w:rPr>
            </w:pPr>
            <w:r>
              <w:rPr>
                <w:rFonts w:ascii="Calibri" w:hAnsi="Calibri" w:cs="Calibri"/>
                <w:color w:val="FFFFFF" w:themeColor="background1"/>
              </w:rPr>
              <w:t>Percentagem de Disponibilidade (SR-AZ)</w:t>
            </w:r>
          </w:p>
        </w:tc>
        <w:tc>
          <w:tcPr>
            <w:tcW w:w="5579" w:type="dxa"/>
            <w:shd w:val="clear" w:color="auto" w:fill="0072C6"/>
          </w:tcPr>
          <w:p w14:paraId="2BC21C88" w14:textId="77777777" w:rsidR="007553FE" w:rsidRPr="00762BE9" w:rsidRDefault="007553FE" w:rsidP="00661DF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7553FE" w:rsidRPr="006B307B" w14:paraId="6FF1B091" w14:textId="77777777" w:rsidTr="00661DF9">
        <w:tc>
          <w:tcPr>
            <w:tcW w:w="5220" w:type="dxa"/>
          </w:tcPr>
          <w:p w14:paraId="70D106A5" w14:textId="77777777" w:rsidR="007553FE" w:rsidRPr="00762BE9" w:rsidRDefault="007553FE" w:rsidP="00661DF9">
            <w:pPr>
              <w:pStyle w:val="ProductList-OfferingBody"/>
              <w:jc w:val="center"/>
              <w:rPr>
                <w:rFonts w:ascii="Calibri" w:hAnsi="Calibri" w:cs="Calibri"/>
              </w:rPr>
            </w:pPr>
            <w:r>
              <w:rPr>
                <w:rFonts w:ascii="Calibri" w:hAnsi="Calibri" w:cs="Calibri"/>
              </w:rPr>
              <w:t>&lt; 99,995%</w:t>
            </w:r>
          </w:p>
        </w:tc>
        <w:tc>
          <w:tcPr>
            <w:tcW w:w="5579" w:type="dxa"/>
          </w:tcPr>
          <w:p w14:paraId="1DF8E18D" w14:textId="77777777" w:rsidR="007553FE" w:rsidRPr="00762BE9" w:rsidRDefault="007553FE" w:rsidP="00661DF9">
            <w:pPr>
              <w:pStyle w:val="ProductList-OfferingBody"/>
              <w:jc w:val="center"/>
              <w:rPr>
                <w:rFonts w:ascii="Calibri" w:hAnsi="Calibri" w:cs="Calibri"/>
              </w:rPr>
            </w:pPr>
            <w:r>
              <w:rPr>
                <w:rFonts w:ascii="Calibri" w:hAnsi="Calibri" w:cs="Calibri"/>
              </w:rPr>
              <w:t>10%</w:t>
            </w:r>
          </w:p>
        </w:tc>
      </w:tr>
      <w:tr w:rsidR="007553FE" w:rsidRPr="00B44CF9" w14:paraId="0918BF62" w14:textId="77777777" w:rsidTr="00661DF9">
        <w:tc>
          <w:tcPr>
            <w:tcW w:w="5220" w:type="dxa"/>
          </w:tcPr>
          <w:p w14:paraId="260F9C6B" w14:textId="77777777" w:rsidR="007553FE" w:rsidRPr="00762BE9" w:rsidRDefault="007553FE" w:rsidP="00661DF9">
            <w:pPr>
              <w:pStyle w:val="ProductList-OfferingBody"/>
              <w:jc w:val="center"/>
              <w:rPr>
                <w:rFonts w:ascii="Calibri" w:hAnsi="Calibri" w:cs="Calibri"/>
              </w:rPr>
            </w:pPr>
            <w:r>
              <w:rPr>
                <w:rFonts w:ascii="Calibri" w:hAnsi="Calibri" w:cs="Calibri"/>
              </w:rPr>
              <w:t>&lt; 99%</w:t>
            </w:r>
          </w:p>
        </w:tc>
        <w:tc>
          <w:tcPr>
            <w:tcW w:w="5579" w:type="dxa"/>
          </w:tcPr>
          <w:p w14:paraId="3FF08485" w14:textId="77777777" w:rsidR="007553FE" w:rsidRPr="00762BE9" w:rsidRDefault="007553FE" w:rsidP="00661DF9">
            <w:pPr>
              <w:pStyle w:val="ProductList-OfferingBody"/>
              <w:jc w:val="center"/>
              <w:rPr>
                <w:rFonts w:ascii="Calibri" w:hAnsi="Calibri" w:cs="Calibri"/>
              </w:rPr>
            </w:pPr>
            <w:r>
              <w:rPr>
                <w:rFonts w:ascii="Calibri" w:hAnsi="Calibri" w:cs="Calibri"/>
              </w:rPr>
              <w:t>25%</w:t>
            </w:r>
          </w:p>
        </w:tc>
      </w:tr>
    </w:tbl>
    <w:p w14:paraId="6E99E716"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147E3E0" w14:textId="08506889" w:rsidR="004005AF" w:rsidRDefault="004005AF" w:rsidP="00F01ED6">
      <w:pPr>
        <w:pStyle w:val="ProductList-Offering2Heading"/>
        <w:tabs>
          <w:tab w:val="clear" w:pos="360"/>
          <w:tab w:val="clear" w:pos="720"/>
          <w:tab w:val="clear" w:pos="1080"/>
        </w:tabs>
        <w:outlineLvl w:val="2"/>
      </w:pPr>
      <w:bookmarkStart w:id="327" w:name="_Toc239176499"/>
      <w:r>
        <w:t>Azure Maps</w:t>
      </w:r>
      <w:bookmarkEnd w:id="312"/>
      <w:bookmarkEnd w:id="313"/>
      <w:bookmarkEnd w:id="327"/>
    </w:p>
    <w:p w14:paraId="1DFE050F" w14:textId="77777777" w:rsidR="004005AF" w:rsidRPr="00DA6241" w:rsidRDefault="004005AF" w:rsidP="00F01ED6">
      <w:pPr>
        <w:pStyle w:val="ProductList-Body"/>
      </w:pPr>
      <w:r>
        <w:rPr>
          <w:b/>
          <w:color w:val="00188F"/>
        </w:rPr>
        <w:t>Definições Adicionais</w:t>
      </w:r>
      <w:r w:rsidRPr="00473DD3">
        <w:rPr>
          <w:b/>
          <w:color w:val="00188F"/>
        </w:rPr>
        <w:t>:</w:t>
      </w:r>
    </w:p>
    <w:p w14:paraId="3514CD84" w14:textId="522506E8" w:rsidR="004005AF" w:rsidRDefault="00380305" w:rsidP="00F01ED6">
      <w:pPr>
        <w:spacing w:after="0" w:line="240" w:lineRule="auto"/>
        <w:rPr>
          <w:sz w:val="18"/>
        </w:rPr>
      </w:pPr>
      <w:r>
        <w:rPr>
          <w:sz w:val="18"/>
        </w:rPr>
        <w:t>“</w:t>
      </w:r>
      <w:r w:rsidR="004005AF">
        <w:rPr>
          <w:b/>
          <w:color w:val="00188F"/>
          <w:sz w:val="18"/>
        </w:rPr>
        <w:t>Total de Tentativas de Transação</w:t>
      </w:r>
      <w:r>
        <w:rPr>
          <w:sz w:val="18"/>
        </w:rPr>
        <w:t>”</w:t>
      </w:r>
      <w:r w:rsidR="004005AF">
        <w:rPr>
          <w:rFonts w:eastAsiaTheme="minorEastAsia"/>
          <w:sz w:val="18"/>
          <w:szCs w:val="18"/>
        </w:rPr>
        <w:t xml:space="preserve"> </w:t>
      </w:r>
      <w:r w:rsidR="004005AF">
        <w:rPr>
          <w:sz w:val="18"/>
        </w:rPr>
        <w:t>designa o número total de pedidos da API autenticadas efetuados pelo Cliente para uma determinada API do</w:t>
      </w:r>
      <w:r w:rsidR="003671E6">
        <w:rPr>
          <w:sz w:val="18"/>
        </w:rPr>
        <w:t> </w:t>
      </w:r>
      <w:r w:rsidR="004005AF">
        <w:rPr>
          <w:sz w:val="18"/>
        </w:rPr>
        <w:t>Azure Map durante um Período Aplicável numa determinada subscrição do Microsoft Azure. O Total de Tentativas de Transação não inclui os pedidos de API que devolvem um Código de Erro e que são repetidos continuamente num intervalo de cinco minutos após a receção do primeiro Código de Erro.</w:t>
      </w:r>
    </w:p>
    <w:p w14:paraId="7A1D1C36" w14:textId="5B09B62A" w:rsidR="004005AF" w:rsidRPr="001E2554" w:rsidRDefault="00380305" w:rsidP="00F01ED6">
      <w:pPr>
        <w:spacing w:after="0" w:line="240" w:lineRule="auto"/>
        <w:rPr>
          <w:sz w:val="18"/>
        </w:rPr>
      </w:pPr>
      <w:r>
        <w:rPr>
          <w:sz w:val="18"/>
        </w:rPr>
        <w:t>“</w:t>
      </w:r>
      <w:r w:rsidR="004005AF">
        <w:rPr>
          <w:b/>
          <w:color w:val="00188F"/>
          <w:sz w:val="18"/>
        </w:rPr>
        <w:t>Transações com Falha</w:t>
      </w:r>
      <w:r>
        <w:rPr>
          <w:sz w:val="18"/>
        </w:rPr>
        <w:t>”</w:t>
      </w:r>
      <w:r w:rsidR="004005AF">
        <w:rPr>
          <w:rFonts w:eastAsiaTheme="minorEastAsia"/>
          <w:sz w:val="18"/>
          <w:szCs w:val="18"/>
        </w:rPr>
        <w:t xml:space="preserve"> </w:t>
      </w:r>
      <w:r w:rsidR="004005AF">
        <w:rPr>
          <w:sz w:val="18"/>
        </w:rPr>
        <w:t>designa o conjunto de todos os pedidos no Total de Tentativas de Transação que resultam num Código de Erro ou que, de</w:t>
      </w:r>
      <w:r w:rsidR="003671E6">
        <w:rPr>
          <w:sz w:val="18"/>
        </w:rPr>
        <w:t> </w:t>
      </w:r>
      <w:r w:rsidR="004005AF">
        <w:rPr>
          <w:sz w:val="18"/>
        </w:rPr>
        <w:t>outro modo, não devolvem um Código de Êxito no prazo de 60 segundos após a receção por parte do Serviço.</w:t>
      </w:r>
    </w:p>
    <w:p w14:paraId="49D04CF6" w14:textId="30DAB182" w:rsidR="004005AF" w:rsidRDefault="004005AF" w:rsidP="00F01ED6">
      <w:pPr>
        <w:pStyle w:val="ProductList-Body"/>
      </w:pPr>
      <w:r>
        <w:t xml:space="preserve">A </w:t>
      </w:r>
      <w:r w:rsidR="00380305" w:rsidRPr="00CB7596">
        <w:t>“</w:t>
      </w:r>
      <w:r>
        <w:rPr>
          <w:b/>
          <w:color w:val="00188F"/>
        </w:rPr>
        <w:t>Percentagem de Período de Disponibilidade</w:t>
      </w:r>
      <w:r w:rsidR="00380305">
        <w:t>”</w:t>
      </w:r>
      <w:r>
        <w:t xml:space="preserve"> para uma determinada API do Azure Map é calculada como o Total de Tentativas de Transação menos as Transações com Falha a dividir pelo Total de Tentativas de Transação multiplicado por 100.</w:t>
      </w:r>
    </w:p>
    <w:p w14:paraId="57255142" w14:textId="53D0E6DB" w:rsidR="004005AF" w:rsidRDefault="004005AF" w:rsidP="00F01ED6">
      <w:pPr>
        <w:pStyle w:val="ProductList-Body"/>
      </w:pPr>
      <w:r>
        <w:t>A Percentagem de Período de Disponibilidade é calculada através da seguinte fórmula:</w:t>
      </w:r>
    </w:p>
    <w:p w14:paraId="3AF54155" w14:textId="6F3A2F1C" w:rsidR="004005AF" w:rsidRPr="005D67E8" w:rsidRDefault="00000000" w:rsidP="002A5D1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F01ED6">
      <w:pPr>
        <w:pStyle w:val="ProductList-Body"/>
        <w:keepNext/>
      </w:pPr>
      <w:r>
        <w:rPr>
          <w:b/>
          <w:color w:val="00188F"/>
        </w:rPr>
        <w:t>Os seguintes Níveis de Serviço e Créditos de Serviço são aplicáveis à utilização que o Cliente faz da API do Azure Maps: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F01ED6">
            <w:pPr>
              <w:pStyle w:val="ProductList-OfferingBody"/>
              <w:keepNext/>
              <w:jc w:val="center"/>
              <w:rPr>
                <w:color w:val="FFFFFF" w:themeColor="background1"/>
              </w:rPr>
            </w:pPr>
            <w:r>
              <w:rPr>
                <w:color w:val="FFFFFF" w:themeColor="background1"/>
              </w:rPr>
              <w:t>Percentagem de Período de Disponibilidade</w:t>
            </w:r>
          </w:p>
        </w:tc>
        <w:tc>
          <w:tcPr>
            <w:tcW w:w="5400" w:type="dxa"/>
            <w:shd w:val="clear" w:color="auto" w:fill="0072C6"/>
          </w:tcPr>
          <w:p w14:paraId="1CA81D95" w14:textId="77777777" w:rsidR="004005AF" w:rsidRPr="001A0074" w:rsidRDefault="004005AF" w:rsidP="00F01ED6">
            <w:pPr>
              <w:pStyle w:val="ProductList-OfferingBody"/>
              <w:keepNext/>
              <w:jc w:val="center"/>
              <w:rPr>
                <w:color w:val="FFFFFF" w:themeColor="background1"/>
              </w:rPr>
            </w:pPr>
            <w:r>
              <w:rPr>
                <w:color w:val="FFFFFF" w:themeColor="background1"/>
              </w:rPr>
              <w:t>Crédito de Serviço</w:t>
            </w:r>
          </w:p>
        </w:tc>
      </w:tr>
      <w:tr w:rsidR="004005AF" w:rsidRPr="00B44CF9" w14:paraId="0F176083" w14:textId="77777777" w:rsidTr="00277097">
        <w:tc>
          <w:tcPr>
            <w:tcW w:w="5400" w:type="dxa"/>
          </w:tcPr>
          <w:p w14:paraId="6ADC35A4" w14:textId="77777777" w:rsidR="004005AF" w:rsidRPr="0076238C" w:rsidRDefault="004005AF" w:rsidP="00F01ED6">
            <w:pPr>
              <w:pStyle w:val="ProductList-OfferingBody"/>
              <w:keepNext/>
              <w:jc w:val="center"/>
            </w:pPr>
            <w:r>
              <w:t>&lt; 99,9%</w:t>
            </w:r>
          </w:p>
        </w:tc>
        <w:tc>
          <w:tcPr>
            <w:tcW w:w="5400" w:type="dxa"/>
          </w:tcPr>
          <w:p w14:paraId="1D02CA4B" w14:textId="77777777" w:rsidR="004005AF" w:rsidRPr="0076238C" w:rsidRDefault="004005AF" w:rsidP="00F01ED6">
            <w:pPr>
              <w:pStyle w:val="ProductList-OfferingBody"/>
              <w:keepNext/>
              <w:jc w:val="center"/>
            </w:pPr>
            <w:r>
              <w:t>10%</w:t>
            </w:r>
          </w:p>
        </w:tc>
      </w:tr>
      <w:tr w:rsidR="004005AF" w:rsidRPr="00B44CF9" w14:paraId="13970687" w14:textId="77777777" w:rsidTr="00277097">
        <w:tc>
          <w:tcPr>
            <w:tcW w:w="5400" w:type="dxa"/>
          </w:tcPr>
          <w:p w14:paraId="0EDE3D16" w14:textId="77777777" w:rsidR="004005AF" w:rsidRPr="0076238C" w:rsidRDefault="004005AF" w:rsidP="00F01ED6">
            <w:pPr>
              <w:pStyle w:val="ProductList-OfferingBody"/>
              <w:keepNext/>
              <w:jc w:val="center"/>
            </w:pPr>
            <w:r>
              <w:t>&lt; 99%</w:t>
            </w:r>
          </w:p>
        </w:tc>
        <w:tc>
          <w:tcPr>
            <w:tcW w:w="5400" w:type="dxa"/>
          </w:tcPr>
          <w:p w14:paraId="7EDA3102" w14:textId="77777777" w:rsidR="004005AF" w:rsidRPr="0076238C" w:rsidRDefault="004005AF" w:rsidP="00F01ED6">
            <w:pPr>
              <w:pStyle w:val="ProductList-OfferingBody"/>
              <w:keepNext/>
              <w:jc w:val="center"/>
            </w:pPr>
            <w:r>
              <w:t>25%</w:t>
            </w:r>
          </w:p>
        </w:tc>
      </w:tr>
    </w:tbl>
    <w:bookmarkStart w:id="328" w:name="_Toc457821559"/>
    <w:bookmarkStart w:id="329" w:name="_Toc52348966"/>
    <w:bookmarkStart w:id="330" w:name="_Toc52348936"/>
    <w:bookmarkEnd w:id="314"/>
    <w:p w14:paraId="3CFA9B61"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0D125996" w14:textId="77777777" w:rsidR="0005465C" w:rsidRPr="00EF7CF9" w:rsidRDefault="0005465C" w:rsidP="00F01ED6">
      <w:pPr>
        <w:pStyle w:val="ProductList-Offering2Heading"/>
        <w:tabs>
          <w:tab w:val="clear" w:pos="360"/>
          <w:tab w:val="clear" w:pos="720"/>
          <w:tab w:val="clear" w:pos="1080"/>
        </w:tabs>
        <w:outlineLvl w:val="2"/>
      </w:pPr>
      <w:bookmarkStart w:id="331" w:name="_Toc239176500"/>
      <w:r>
        <w:t>Serviços de Multimédia</w:t>
      </w:r>
      <w:bookmarkEnd w:id="328"/>
      <w:bookmarkEnd w:id="329"/>
      <w:bookmarkEnd w:id="331"/>
    </w:p>
    <w:p w14:paraId="14038FDC" w14:textId="77777777" w:rsidR="0005465C" w:rsidRPr="00EF7CF9" w:rsidRDefault="0005465C" w:rsidP="00F01ED6">
      <w:pPr>
        <w:pStyle w:val="ProductList-Body"/>
      </w:pPr>
      <w:r>
        <w:rPr>
          <w:b/>
          <w:color w:val="00188F"/>
        </w:rPr>
        <w:t>Definições Adicionais</w:t>
      </w:r>
      <w:r w:rsidRPr="00473DD3">
        <w:rPr>
          <w:b/>
          <w:color w:val="00188F"/>
        </w:rPr>
        <w:t>:</w:t>
      </w:r>
    </w:p>
    <w:p w14:paraId="67B29F85" w14:textId="7855AA4F" w:rsidR="0005465C" w:rsidRPr="00ED4527" w:rsidRDefault="00380305" w:rsidP="00F01ED6">
      <w:pPr>
        <w:pStyle w:val="ProductList-Body"/>
        <w:rPr>
          <w:color w:val="000000" w:themeColor="text1"/>
        </w:rPr>
      </w:pPr>
      <w:r w:rsidRPr="00CB7596">
        <w:t>“</w:t>
      </w:r>
      <w:r w:rsidR="0005465C">
        <w:rPr>
          <w:b/>
          <w:bCs/>
          <w:color w:val="00188F"/>
        </w:rPr>
        <w:t>Largura de Banda de Saída Alocada</w:t>
      </w:r>
      <w:r>
        <w:rPr>
          <w:color w:val="000000" w:themeColor="text1"/>
        </w:rPr>
        <w:t>”</w:t>
      </w:r>
      <w:r w:rsidR="0005465C">
        <w:rPr>
          <w:color w:val="000000" w:themeColor="text1"/>
        </w:rPr>
        <w:t xml:space="preserve"> é a quantidade de largura de banda configurada pelo Cliente no Portal de Gestão para um Serviço de Multimédia. A Largura de Banda de Saída Alocada pode ser identificada como </w:t>
      </w:r>
      <w:r>
        <w:rPr>
          <w:color w:val="000000" w:themeColor="text1"/>
        </w:rPr>
        <w:t>“</w:t>
      </w:r>
      <w:r w:rsidR="0005465C">
        <w:rPr>
          <w:color w:val="000000" w:themeColor="text1"/>
        </w:rPr>
        <w:t>Unidades de Transmissão em Fluxo</w:t>
      </w:r>
      <w:r>
        <w:rPr>
          <w:color w:val="000000" w:themeColor="text1"/>
        </w:rPr>
        <w:t>”</w:t>
      </w:r>
      <w:r w:rsidR="0005465C">
        <w:rPr>
          <w:color w:val="000000" w:themeColor="text1"/>
        </w:rPr>
        <w:t xml:space="preserve"> ou um nome semelhante no</w:t>
      </w:r>
      <w:r w:rsidR="00E4415E">
        <w:rPr>
          <w:color w:val="000000" w:themeColor="text1"/>
        </w:rPr>
        <w:t> </w:t>
      </w:r>
      <w:r w:rsidR="0005465C">
        <w:rPr>
          <w:color w:val="000000" w:themeColor="text1"/>
        </w:rPr>
        <w:t>Portal de Gestão.</w:t>
      </w:r>
    </w:p>
    <w:p w14:paraId="4A9E9EC9" w14:textId="34DB63D1" w:rsidR="0005465C" w:rsidRPr="00EF7CF9" w:rsidRDefault="00380305" w:rsidP="00F01ED6">
      <w:pPr>
        <w:pStyle w:val="ProductList-Body"/>
      </w:pPr>
      <w:r>
        <w:t>“</w:t>
      </w:r>
      <w:r w:rsidR="0005465C">
        <w:rPr>
          <w:b/>
          <w:color w:val="00188F"/>
        </w:rPr>
        <w:t>Canal</w:t>
      </w:r>
      <w:r>
        <w:t>”</w:t>
      </w:r>
      <w:r w:rsidR="0005465C">
        <w:t xml:space="preserve"> designa um ponto de fim num Serviço de Multimédia configurado para receber dados de multimédia. </w:t>
      </w:r>
    </w:p>
    <w:p w14:paraId="423E6D52" w14:textId="20FC2D0B" w:rsidR="0005465C" w:rsidRPr="00EF7CF9" w:rsidRDefault="00380305" w:rsidP="00F01ED6">
      <w:pPr>
        <w:pStyle w:val="ProductList-Body"/>
      </w:pPr>
      <w:r>
        <w:t>“</w:t>
      </w:r>
      <w:r w:rsidR="0005465C">
        <w:rPr>
          <w:b/>
          <w:color w:val="00188F"/>
        </w:rPr>
        <w:t>Codificação</w:t>
      </w:r>
      <w:r>
        <w:t>”</w:t>
      </w:r>
      <w:r w:rsidR="0005465C">
        <w:t xml:space="preserve"> designa o processamento de ficheiros multimédia por subscrição tal como configurado nas Tarefas dos Serviços de Multimédia.</w:t>
      </w:r>
    </w:p>
    <w:p w14:paraId="6FF4B6A2" w14:textId="33FFF240" w:rsidR="0005465C" w:rsidRDefault="00380305" w:rsidP="00F01ED6">
      <w:pPr>
        <w:pStyle w:val="ProductList-Body"/>
      </w:pPr>
      <w:r>
        <w:t>“</w:t>
      </w:r>
      <w:r w:rsidR="0005465C">
        <w:rPr>
          <w:b/>
          <w:color w:val="00188F"/>
        </w:rPr>
        <w:t>Tarefa de Indexação</w:t>
      </w:r>
      <w:r>
        <w:t>”</w:t>
      </w:r>
      <w:r w:rsidR="0005465C">
        <w:t xml:space="preserve"> designa uma Tarefa dos Serviços de Multimédia que é configurada para extrair o conteúdo de discurso de um ficheiro de entrada MP3 com uma duração mínima de cinco minutos.</w:t>
      </w:r>
    </w:p>
    <w:p w14:paraId="1A0F4882" w14:textId="7DFF6D00" w:rsidR="0005465C" w:rsidRDefault="00380305" w:rsidP="00F01ED6">
      <w:pPr>
        <w:pStyle w:val="ProductList-Body"/>
      </w:pPr>
      <w:r>
        <w:t>“</w:t>
      </w:r>
      <w:r w:rsidR="0005465C">
        <w:rPr>
          <w:b/>
          <w:bCs/>
          <w:color w:val="00188F"/>
        </w:rPr>
        <w:t>Unidade Reservada de Multimédia</w:t>
      </w:r>
      <w:r>
        <w:t>”</w:t>
      </w:r>
      <w:r w:rsidR="0005465C">
        <w:rPr>
          <w:color w:val="00188F"/>
        </w:rPr>
        <w:t xml:space="preserve"> </w:t>
      </w:r>
      <w:r w:rsidR="0005465C">
        <w:t>designa as unidades reservadas de codificação adquiridas pelo cliente numa conta de Serviços de Multimédia do Azure.</w:t>
      </w:r>
    </w:p>
    <w:p w14:paraId="575D6D2E" w14:textId="133DC03A" w:rsidR="0005465C" w:rsidRPr="00EF7CF9" w:rsidRDefault="00380305" w:rsidP="00F01ED6">
      <w:pPr>
        <w:pStyle w:val="ProductList-Body"/>
      </w:pPr>
      <w:r>
        <w:t>“</w:t>
      </w:r>
      <w:r w:rsidR="0005465C">
        <w:rPr>
          <w:b/>
          <w:color w:val="00188F"/>
        </w:rPr>
        <w:t>Serviço de Multimédia</w:t>
      </w:r>
      <w:r>
        <w:t>”</w:t>
      </w:r>
      <w:r w:rsidR="0005465C">
        <w:t xml:space="preserve"> identifica uma conta dos Serviços de Multimédia do Azure, criada no Portal de Gestão, associada à subscrição do Microsoft Azure do Cliente. Cada subscrição do Microsoft Azure poderá ter mais de um Serviço de Multimédia associado.</w:t>
      </w:r>
    </w:p>
    <w:p w14:paraId="36326244" w14:textId="201A0235" w:rsidR="0005465C" w:rsidRPr="00EF7CF9" w:rsidRDefault="00380305" w:rsidP="00F01ED6">
      <w:pPr>
        <w:pStyle w:val="ProductList-Body"/>
      </w:pPr>
      <w:r>
        <w:t>“</w:t>
      </w:r>
      <w:r w:rsidR="0005465C">
        <w:rPr>
          <w:b/>
          <w:color w:val="00188F"/>
        </w:rPr>
        <w:t>Pedido de Serviço de Multimédia</w:t>
      </w:r>
      <w:r>
        <w:t>”</w:t>
      </w:r>
      <w:r w:rsidR="0005465C">
        <w:t xml:space="preserve"> identifica um pedido emitido para o Serviço de Multimédia do Cliente.</w:t>
      </w:r>
    </w:p>
    <w:p w14:paraId="45F09B67" w14:textId="2ED827AB" w:rsidR="0005465C" w:rsidRPr="00EF7CF9" w:rsidRDefault="00380305" w:rsidP="00F01ED6">
      <w:pPr>
        <w:pStyle w:val="ProductList-Body"/>
      </w:pPr>
      <w:r>
        <w:t>“</w:t>
      </w:r>
      <w:r w:rsidR="0005465C">
        <w:rPr>
          <w:b/>
          <w:color w:val="00188F"/>
        </w:rPr>
        <w:t>Tarefa dos Serviços de Multimédia</w:t>
      </w:r>
      <w:r>
        <w:t>”</w:t>
      </w:r>
      <w:r w:rsidR="0005465C">
        <w:t xml:space="preserve"> designa uma operação individual de trabalho de processamento de multimédia tal como configurado pelo Cliente. As operações de processamento de multimédia envolvem a codificação e conversão de ficheiros multimédia.</w:t>
      </w:r>
    </w:p>
    <w:p w14:paraId="3A8689F2" w14:textId="317B8E87" w:rsidR="0005465C" w:rsidRPr="001C1F84" w:rsidRDefault="00380305" w:rsidP="00F01ED6">
      <w:pPr>
        <w:pStyle w:val="ProductList-Body"/>
        <w:rPr>
          <w:spacing w:val="-2"/>
        </w:rPr>
      </w:pPr>
      <w:r>
        <w:rPr>
          <w:spacing w:val="-2"/>
        </w:rPr>
        <w:t>“</w:t>
      </w:r>
      <w:r w:rsidR="0005465C" w:rsidRPr="001C1F84">
        <w:rPr>
          <w:b/>
          <w:color w:val="00188F"/>
          <w:spacing w:val="-2"/>
        </w:rPr>
        <w:t>Unidade de Transmissão em Fluxo</w:t>
      </w:r>
      <w:r>
        <w:rPr>
          <w:spacing w:val="-2"/>
        </w:rPr>
        <w:t>”</w:t>
      </w:r>
      <w:r w:rsidR="0005465C" w:rsidRPr="001C1F84">
        <w:rPr>
          <w:spacing w:val="-2"/>
        </w:rPr>
        <w:t xml:space="preserve"> designa uma unidade de capacidade de saída reservada, adquirida pelo Cliente para um Serviço de Multimédia.</w:t>
      </w:r>
    </w:p>
    <w:p w14:paraId="5666E659" w14:textId="39CFE8B0" w:rsidR="0005465C" w:rsidRPr="00EF7CF9" w:rsidRDefault="00380305" w:rsidP="00F01ED6">
      <w:pPr>
        <w:pStyle w:val="ProductList-Body"/>
      </w:pPr>
      <w:r>
        <w:rPr>
          <w:iCs/>
        </w:rPr>
        <w:t>“</w:t>
      </w:r>
      <w:r w:rsidR="0005465C">
        <w:rPr>
          <w:b/>
          <w:iCs/>
          <w:color w:val="00188F"/>
        </w:rPr>
        <w:t>Pedidos de Chave Válidos</w:t>
      </w:r>
      <w:r>
        <w:rPr>
          <w:iCs/>
        </w:rPr>
        <w:t>”</w:t>
      </w:r>
      <w:r w:rsidR="0005465C">
        <w:t xml:space="preserve"> são todos os pedidos efetuados para o Serviço de Proteção de Conteúdo para chaves de conteúdo existentes num Serviço de Multimédia do Cliente.</w:t>
      </w:r>
    </w:p>
    <w:p w14:paraId="449FD194" w14:textId="79062532" w:rsidR="0005465C" w:rsidRPr="00EF7CF9" w:rsidRDefault="00380305" w:rsidP="00F01ED6">
      <w:pPr>
        <w:pStyle w:val="ProductList-Body"/>
      </w:pPr>
      <w:r>
        <w:t>“</w:t>
      </w:r>
      <w:r w:rsidR="0005465C">
        <w:rPr>
          <w:b/>
          <w:color w:val="00188F"/>
        </w:rPr>
        <w:t>Pedidos de Serviços de Multimédia Válidos</w:t>
      </w:r>
      <w:r>
        <w:t>”</w:t>
      </w:r>
      <w:r w:rsidR="0005465C">
        <w:t xml:space="preserve"> designa todos os Pedidos de Serviço de Multimédia qualificáveis para o conteúdo multimédia existente numa conta de Armazenamento do Azure do cliente associada ao respetivo Serviço de Multimédia quando pelo menos uma Unidade de</w:t>
      </w:r>
      <w:r w:rsidR="00B44476">
        <w:t> </w:t>
      </w:r>
      <w:r w:rsidR="0005465C">
        <w:t>Transmissão em Fluxo foi adquirida e alocada a esse Serviço de Multimédia. Os Pedidos de Serviço de Multimédia Válidos não incluem Pedidos de Serviço de Multimédia para os quais o total do débito excede 80% da Largura de Banda Alocada.</w:t>
      </w:r>
    </w:p>
    <w:p w14:paraId="4237EE29" w14:textId="67B66F65" w:rsidR="0005465C" w:rsidRPr="00ED4527" w:rsidRDefault="00EE6E3C" w:rsidP="00576F3A">
      <w:pPr>
        <w:pStyle w:val="ProductList-Body"/>
        <w:keepNext/>
        <w:keepLines/>
        <w:rPr>
          <w:b/>
          <w:bCs/>
          <w:color w:val="00188F"/>
        </w:rPr>
      </w:pPr>
      <w:r>
        <w:rPr>
          <w:b/>
          <w:bCs/>
          <w:color w:val="00188F"/>
        </w:rPr>
        <w:t>Cálculo do Período de Disponibilidade e Níveis de Serviço para o Serviço de Codificação</w:t>
      </w:r>
    </w:p>
    <w:p w14:paraId="76B87B19" w14:textId="034192C6" w:rsidR="0005465C" w:rsidRPr="00EF7CF9" w:rsidRDefault="00380305" w:rsidP="00F01ED6">
      <w:pPr>
        <w:pStyle w:val="ProductList-Body"/>
      </w:pPr>
      <w:r>
        <w:t>“</w:t>
      </w:r>
      <w:r w:rsidR="0005465C">
        <w:rPr>
          <w:b/>
          <w:color w:val="00188F"/>
        </w:rPr>
        <w:t>Total de Tentativas de Transação</w:t>
      </w:r>
      <w:r>
        <w:t>”</w:t>
      </w:r>
      <w:r w:rsidR="0005465C">
        <w:t xml:space="preserve"> é o número total de pedidos de API REST autenticados no que se refere a um Serviço de Multimédia efetuado pelo Cliente durante um Período Aplicável para uma subscrição. O Total de Tentativas de Transação não inclui os pedidos de API REST que devolvem um Código de Erro e que são repetidos continuamente num intervalo de cinco minutos após a receção do primeiro Código de Erro.</w:t>
      </w:r>
    </w:p>
    <w:p w14:paraId="1E5776FA" w14:textId="2412FCD1" w:rsidR="0005465C" w:rsidRPr="00EF7CF9" w:rsidRDefault="00380305" w:rsidP="00F01ED6">
      <w:pPr>
        <w:pStyle w:val="ProductList-Body"/>
      </w:pPr>
      <w:r>
        <w:lastRenderedPageBreak/>
        <w:t>“</w:t>
      </w:r>
      <w:r w:rsidR="0005465C">
        <w:rPr>
          <w:b/>
          <w:color w:val="00188F"/>
        </w:rPr>
        <w:t>Transações com Falha</w:t>
      </w:r>
      <w:r>
        <w:t>”</w:t>
      </w:r>
      <w:r w:rsidR="0005465C">
        <w:t xml:space="preserve"> é o conjunto de todos os pedidos no Total de Tentativas de Transação que não devolvem um Código de Êxito num prazo de 30 segundos a partir da receção do pedido por parte da Microsoft.</w:t>
      </w:r>
    </w:p>
    <w:p w14:paraId="1C7C2944" w14:textId="717C1E1E" w:rsidR="0005465C" w:rsidRPr="00ED4527" w:rsidRDefault="00380305" w:rsidP="00F01ED6">
      <w:pPr>
        <w:pStyle w:val="ProductList-Body"/>
        <w:rPr>
          <w:color w:val="000000" w:themeColor="text1"/>
        </w:rPr>
      </w:pPr>
      <w:r w:rsidRPr="00CB7596">
        <w:t>“</w:t>
      </w:r>
      <w:r w:rsidR="0005465C">
        <w:rPr>
          <w:b/>
          <w:color w:val="00188F"/>
        </w:rPr>
        <w:t>Percentagem de Período de Disponibilidade</w:t>
      </w:r>
      <w:r>
        <w:t>”</w:t>
      </w:r>
      <w:r w:rsidR="0005465C">
        <w:t xml:space="preserve"> p</w:t>
      </w:r>
      <w:r w:rsidR="0005465C">
        <w:rPr>
          <w:color w:val="000000" w:themeColor="text1"/>
        </w:rPr>
        <w:t>ara o Serviço de Codificação dos Serviços de Multimédia do Azure é calculada como o Total de</w:t>
      </w:r>
      <w:r w:rsidR="00BD6370">
        <w:rPr>
          <w:color w:val="000000" w:themeColor="text1"/>
        </w:rPr>
        <w:t> </w:t>
      </w:r>
      <w:r w:rsidR="0005465C">
        <w:rPr>
          <w:color w:val="000000" w:themeColor="text1"/>
        </w:rPr>
        <w:t>Tentativas de Transação menos as Transações com Falha a dividir pelo Total de Tentativas de Transação num Período Aplicável para uma determinada subscrição do Microsoft Azure.</w:t>
      </w:r>
    </w:p>
    <w:p w14:paraId="6247E460" w14:textId="4BEA29D2" w:rsidR="0005465C" w:rsidRPr="00EF7CF9" w:rsidRDefault="0005465C" w:rsidP="00F01ED6">
      <w:pPr>
        <w:pStyle w:val="ProductList-Body"/>
      </w:pPr>
      <w:r>
        <w:t>A Percentagem de Período de Disponibilidade é calculada através da seguinte fórmula:</w:t>
      </w:r>
    </w:p>
    <w:p w14:paraId="5CE29E4D" w14:textId="038926F6" w:rsidR="0005465C" w:rsidRPr="00EF7CF9" w:rsidRDefault="00000000" w:rsidP="005D141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CDFD319" w14:textId="60544333" w:rsidR="0005465C" w:rsidRPr="00EF7CF9" w:rsidRDefault="0005465C" w:rsidP="00427FFA">
      <w:pPr>
        <w:keepNext/>
        <w:spacing w:after="0" w:line="240" w:lineRule="auto"/>
      </w:pPr>
      <w:r>
        <w:rPr>
          <w:b/>
          <w:color w:val="00188F"/>
          <w:sz w:val="18"/>
        </w:rPr>
        <w:t>Os seguintes Níveis de Serviço e Créditos de Serviço são aplicáveis à utilização que o Cliente faz do Serviço de Codificação dos Serviços de</w:t>
      </w:r>
      <w:r w:rsidR="00427FFA">
        <w:rPr>
          <w:b/>
          <w:color w:val="00188F"/>
          <w:sz w:val="18"/>
        </w:rPr>
        <w:t> </w:t>
      </w:r>
      <w:r>
        <w:rPr>
          <w:b/>
          <w:color w:val="00188F"/>
          <w:sz w:val="18"/>
        </w:rPr>
        <w:t>Multimédia do Azure: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5D3DBC8" w14:textId="77777777" w:rsidR="0005465C" w:rsidRPr="00EF7CF9" w:rsidRDefault="0005465C" w:rsidP="00F01ED6">
            <w:pPr>
              <w:pStyle w:val="ProductList-OfferingBody"/>
              <w:jc w:val="center"/>
              <w:rPr>
                <w:color w:val="FFFFFF" w:themeColor="background1"/>
              </w:rPr>
            </w:pPr>
            <w:r>
              <w:rPr>
                <w:color w:val="FFFFFF" w:themeColor="background1"/>
              </w:rPr>
              <w:t>Crédito de Serviço</w:t>
            </w:r>
          </w:p>
        </w:tc>
      </w:tr>
      <w:tr w:rsidR="0005465C" w:rsidRPr="00B44CF9" w14:paraId="76057F72" w14:textId="77777777" w:rsidTr="00277097">
        <w:tc>
          <w:tcPr>
            <w:tcW w:w="5400" w:type="dxa"/>
          </w:tcPr>
          <w:p w14:paraId="51AFE70C" w14:textId="77777777" w:rsidR="0005465C" w:rsidRPr="00EF7CF9" w:rsidRDefault="0005465C" w:rsidP="00F01ED6">
            <w:pPr>
              <w:pStyle w:val="ProductList-OfferingBody"/>
              <w:jc w:val="center"/>
            </w:pPr>
            <w:r>
              <w:t>&lt; 99,9%</w:t>
            </w:r>
          </w:p>
        </w:tc>
        <w:tc>
          <w:tcPr>
            <w:tcW w:w="5400" w:type="dxa"/>
          </w:tcPr>
          <w:p w14:paraId="643F935F" w14:textId="77777777" w:rsidR="0005465C" w:rsidRPr="00EF7CF9" w:rsidRDefault="0005465C" w:rsidP="00F01ED6">
            <w:pPr>
              <w:pStyle w:val="ProductList-OfferingBody"/>
              <w:jc w:val="center"/>
            </w:pPr>
            <w:r>
              <w:t>10%</w:t>
            </w:r>
          </w:p>
        </w:tc>
      </w:tr>
      <w:tr w:rsidR="0005465C" w:rsidRPr="00B44CF9" w14:paraId="53C383C7" w14:textId="77777777" w:rsidTr="00277097">
        <w:tc>
          <w:tcPr>
            <w:tcW w:w="5400" w:type="dxa"/>
          </w:tcPr>
          <w:p w14:paraId="4BF733BF" w14:textId="77777777" w:rsidR="0005465C" w:rsidRPr="00EF7CF9" w:rsidRDefault="0005465C" w:rsidP="00F01ED6">
            <w:pPr>
              <w:pStyle w:val="ProductList-OfferingBody"/>
              <w:jc w:val="center"/>
            </w:pPr>
            <w:r>
              <w:t>&lt; 99%</w:t>
            </w:r>
          </w:p>
        </w:tc>
        <w:tc>
          <w:tcPr>
            <w:tcW w:w="5400" w:type="dxa"/>
          </w:tcPr>
          <w:p w14:paraId="6588FFA0" w14:textId="77777777" w:rsidR="0005465C" w:rsidRPr="00EF7CF9" w:rsidRDefault="0005465C" w:rsidP="00F01ED6">
            <w:pPr>
              <w:pStyle w:val="ProductList-OfferingBody"/>
              <w:jc w:val="center"/>
            </w:pPr>
            <w:r>
              <w:t>25%</w:t>
            </w:r>
          </w:p>
        </w:tc>
      </w:tr>
    </w:tbl>
    <w:p w14:paraId="0EA33D4A" w14:textId="21205708" w:rsidR="0005465C" w:rsidRDefault="00EE6E3C" w:rsidP="00F01ED6">
      <w:pPr>
        <w:pStyle w:val="ProductList-Body"/>
        <w:keepNext/>
        <w:spacing w:before="120"/>
        <w:rPr>
          <w:b/>
          <w:bCs/>
          <w:color w:val="00188F"/>
        </w:rPr>
      </w:pPr>
      <w:r>
        <w:rPr>
          <w:b/>
          <w:bCs/>
          <w:color w:val="00188F"/>
        </w:rPr>
        <w:t>Cálculo do Período de Disponibilidade e Níveis de Serviço para o Indexador de Multimédia</w:t>
      </w:r>
    </w:p>
    <w:p w14:paraId="27730B1D" w14:textId="77777777" w:rsidR="0005465C" w:rsidRPr="00ED4527" w:rsidRDefault="0005465C" w:rsidP="00F01ED6">
      <w:pPr>
        <w:pStyle w:val="ProductList-Body"/>
        <w:rPr>
          <w:b/>
          <w:bCs/>
          <w:color w:val="00188F"/>
        </w:rPr>
      </w:pPr>
      <w:r>
        <w:rPr>
          <w:b/>
          <w:bCs/>
          <w:color w:val="00188F"/>
        </w:rPr>
        <w:t>Definições Adicionais:</w:t>
      </w:r>
    </w:p>
    <w:p w14:paraId="037E191A" w14:textId="2F2A427A" w:rsidR="0005465C" w:rsidRDefault="00380305" w:rsidP="00F01ED6">
      <w:pPr>
        <w:pStyle w:val="ProductList-Body"/>
      </w:pPr>
      <w:r>
        <w:t>“</w:t>
      </w:r>
      <w:r w:rsidR="0005465C">
        <w:rPr>
          <w:b/>
          <w:color w:val="00188F"/>
        </w:rPr>
        <w:t>Total de Tentativas de Transação</w:t>
      </w:r>
      <w:r>
        <w:t>”</w:t>
      </w:r>
      <w:r w:rsidR="0005465C">
        <w:t xml:space="preserve"> designa o número total de tentativas de execução de Tarefas do Indexador com uma Unidade Reservada de</w:t>
      </w:r>
      <w:r w:rsidR="00BA3473">
        <w:t> </w:t>
      </w:r>
      <w:r w:rsidR="0005465C">
        <w:t>Multimédia disponível por parte do Cliente durante um Período Aplicável para uma subscrição.</w:t>
      </w:r>
    </w:p>
    <w:p w14:paraId="1795AB74" w14:textId="224911FA" w:rsidR="0005465C" w:rsidRDefault="00380305" w:rsidP="00F01ED6">
      <w:pPr>
        <w:pStyle w:val="ProductList-Body"/>
      </w:pPr>
      <w:r>
        <w:t>“</w:t>
      </w:r>
      <w:r w:rsidR="0005465C">
        <w:rPr>
          <w:b/>
          <w:color w:val="00188F"/>
        </w:rPr>
        <w:t>Transações com Falha</w:t>
      </w:r>
      <w:r>
        <w:t>”</w:t>
      </w:r>
      <w:r w:rsidR="0005465C">
        <w:t xml:space="preserve"> é o conjunto de Tarefas de Indexação no Total de Tentativas de Transação que a) não sejam concluídas num período de</w:t>
      </w:r>
      <w:r w:rsidR="00BA3473">
        <w:t> </w:t>
      </w:r>
      <w:r w:rsidR="0005465C">
        <w:t>tempo que seja 3 vezes a duração do ficheiro de entrada ou b) não iniciem o processamento no prazo de 5 minutos do tempo em que uma Unidade Reservada de Multimédia se torna disponível para utilização pela Tarefa de Indexação.</w:t>
      </w:r>
    </w:p>
    <w:p w14:paraId="63DF2CAC" w14:textId="7D51DCF5" w:rsidR="0005465C" w:rsidRPr="00ED4527" w:rsidRDefault="00380305" w:rsidP="00F01ED6">
      <w:pPr>
        <w:pStyle w:val="ProductList-Body"/>
        <w:rPr>
          <w:color w:val="000000" w:themeColor="text1"/>
        </w:rPr>
      </w:pPr>
      <w:r w:rsidRPr="00CB7596">
        <w:t>“</w:t>
      </w:r>
      <w:r w:rsidR="0005465C">
        <w:rPr>
          <w:b/>
          <w:color w:val="00188F"/>
        </w:rPr>
        <w:t>Percentagem de Período de Disponibilidade</w:t>
      </w:r>
      <w:r>
        <w:t>”</w:t>
      </w:r>
      <w:r w:rsidR="0005465C">
        <w:t xml:space="preserve"> </w:t>
      </w:r>
      <w:r w:rsidR="0005465C">
        <w:rPr>
          <w:color w:val="000000" w:themeColor="text1"/>
        </w:rPr>
        <w:t>para o Indexador de Multimédia é calculada como o Total de Tentativas de Transação menos as Transações com Falha a dividir pelo Total de Tentativas de Transação num Período Aplicável para uma determinada subscrição do Microsoft Azure.</w:t>
      </w:r>
    </w:p>
    <w:p w14:paraId="03C1B0C8" w14:textId="2E4C5AF4" w:rsidR="0005465C" w:rsidRPr="00EF7CF9" w:rsidRDefault="0005465C" w:rsidP="00F01ED6">
      <w:pPr>
        <w:pStyle w:val="ProductList-Body"/>
      </w:pPr>
      <w:r>
        <w:t>A Percentagem de Período de Disponibilidade é calculada através da seguinte fórmula:</w:t>
      </w:r>
    </w:p>
    <w:p w14:paraId="13457D32" w14:textId="05AD4A5D" w:rsidR="0005465C" w:rsidRPr="00EF7CF9" w:rsidRDefault="00000000" w:rsidP="005A1F3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E0A893" w14:textId="16D1D175" w:rsidR="0005465C" w:rsidRPr="00EF7CF9" w:rsidRDefault="0005465C" w:rsidP="00F01ED6">
      <w:pPr>
        <w:pStyle w:val="ProductList-Body"/>
      </w:pPr>
      <w:r>
        <w:rPr>
          <w:b/>
          <w:color w:val="00188F"/>
        </w:rPr>
        <w:t>Os seguintes Níveis de Serviço e Créditos de Serviço são aplicáveis à utilização que o Cliente faz do Indexador de Multimédia</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EDDFB4E" w14:textId="77777777" w:rsidR="0005465C" w:rsidRPr="00EF7CF9" w:rsidRDefault="0005465C" w:rsidP="00F01ED6">
            <w:pPr>
              <w:pStyle w:val="ProductList-OfferingBody"/>
              <w:jc w:val="center"/>
              <w:rPr>
                <w:color w:val="FFFFFF" w:themeColor="background1"/>
              </w:rPr>
            </w:pPr>
            <w:r>
              <w:rPr>
                <w:color w:val="FFFFFF" w:themeColor="background1"/>
              </w:rPr>
              <w:t>Crédito de Serviço</w:t>
            </w:r>
          </w:p>
        </w:tc>
      </w:tr>
      <w:tr w:rsidR="0005465C" w:rsidRPr="00B44CF9" w14:paraId="26B1DEDD" w14:textId="77777777" w:rsidTr="00277097">
        <w:tc>
          <w:tcPr>
            <w:tcW w:w="5400" w:type="dxa"/>
          </w:tcPr>
          <w:p w14:paraId="68470538" w14:textId="77777777" w:rsidR="0005465C" w:rsidRPr="00EF7CF9" w:rsidRDefault="0005465C" w:rsidP="00F01ED6">
            <w:pPr>
              <w:pStyle w:val="ProductList-OfferingBody"/>
              <w:jc w:val="center"/>
            </w:pPr>
            <w:r>
              <w:t>&lt; 99,9%</w:t>
            </w:r>
          </w:p>
        </w:tc>
        <w:tc>
          <w:tcPr>
            <w:tcW w:w="5400" w:type="dxa"/>
          </w:tcPr>
          <w:p w14:paraId="07A02B82" w14:textId="77777777" w:rsidR="0005465C" w:rsidRPr="00EF7CF9" w:rsidRDefault="0005465C" w:rsidP="00F01ED6">
            <w:pPr>
              <w:pStyle w:val="ProductList-OfferingBody"/>
              <w:jc w:val="center"/>
            </w:pPr>
            <w:r>
              <w:t>10%</w:t>
            </w:r>
          </w:p>
        </w:tc>
      </w:tr>
      <w:tr w:rsidR="0005465C" w:rsidRPr="00B44CF9" w14:paraId="6EFA9E8C" w14:textId="77777777" w:rsidTr="00277097">
        <w:tc>
          <w:tcPr>
            <w:tcW w:w="5400" w:type="dxa"/>
          </w:tcPr>
          <w:p w14:paraId="10BF8673" w14:textId="77777777" w:rsidR="0005465C" w:rsidRPr="00EF7CF9" w:rsidRDefault="0005465C" w:rsidP="00F01ED6">
            <w:pPr>
              <w:pStyle w:val="ProductList-OfferingBody"/>
              <w:jc w:val="center"/>
            </w:pPr>
            <w:r>
              <w:t>&lt; 99%</w:t>
            </w:r>
          </w:p>
        </w:tc>
        <w:tc>
          <w:tcPr>
            <w:tcW w:w="5400" w:type="dxa"/>
          </w:tcPr>
          <w:p w14:paraId="1E95AC2B" w14:textId="77777777" w:rsidR="0005465C" w:rsidRPr="00EF7CF9" w:rsidRDefault="0005465C" w:rsidP="00F01ED6">
            <w:pPr>
              <w:pStyle w:val="ProductList-OfferingBody"/>
              <w:jc w:val="center"/>
            </w:pPr>
            <w:r>
              <w:t>25%</w:t>
            </w:r>
          </w:p>
        </w:tc>
      </w:tr>
    </w:tbl>
    <w:p w14:paraId="1FA15227" w14:textId="79A50EA6" w:rsidR="0005465C" w:rsidRDefault="00EE6E3C" w:rsidP="00907318">
      <w:pPr>
        <w:pStyle w:val="ProductList-Body"/>
        <w:spacing w:before="120"/>
        <w:rPr>
          <w:b/>
          <w:bCs/>
          <w:color w:val="00188F"/>
        </w:rPr>
      </w:pPr>
      <w:r>
        <w:rPr>
          <w:b/>
          <w:bCs/>
          <w:color w:val="00188F"/>
        </w:rPr>
        <w:t>Cálculo do Período de Disponibilidade e Níveis de Serviço para o Serviço de Transmissão em Fluxo</w:t>
      </w:r>
    </w:p>
    <w:p w14:paraId="0AD96E39" w14:textId="77777777" w:rsidR="0005465C" w:rsidRDefault="0005465C" w:rsidP="00F01ED6">
      <w:pPr>
        <w:pStyle w:val="ProductList-Body"/>
        <w:rPr>
          <w:b/>
          <w:bCs/>
          <w:color w:val="00188F"/>
        </w:rPr>
      </w:pPr>
      <w:r>
        <w:rPr>
          <w:b/>
          <w:bCs/>
          <w:color w:val="00188F"/>
        </w:rPr>
        <w:t>Definições Adicionais:</w:t>
      </w:r>
    </w:p>
    <w:p w14:paraId="52664232" w14:textId="6CCE733F" w:rsidR="0005465C" w:rsidRPr="00EF7CF9" w:rsidRDefault="00380305" w:rsidP="00F01ED6">
      <w:pPr>
        <w:pStyle w:val="ProductList-Body"/>
      </w:pPr>
      <w:r>
        <w:t>“</w:t>
      </w:r>
      <w:r w:rsidR="0005465C">
        <w:rPr>
          <w:b/>
          <w:color w:val="00188F"/>
        </w:rPr>
        <w:t>Minutos de Implementação</w:t>
      </w:r>
      <w:r>
        <w:t>”</w:t>
      </w:r>
      <w:r w:rsidR="0005465C">
        <w:t xml:space="preserve"> designa o número total de minutos durante os quais uma determinada Unidade de Transmissão em Fluxo foi adquirida e alocada a um Serviço de Multimédia durante um Período Aplicável.</w:t>
      </w:r>
    </w:p>
    <w:p w14:paraId="38064890" w14:textId="478BFD2A" w:rsidR="0005465C" w:rsidRPr="00EF7CF9" w:rsidRDefault="00380305" w:rsidP="00F01ED6">
      <w:pPr>
        <w:pStyle w:val="ProductList-Body"/>
      </w:pPr>
      <w:r>
        <w:t>“</w:t>
      </w:r>
      <w:r w:rsidR="0005465C">
        <w:rPr>
          <w:b/>
          <w:color w:val="00188F"/>
        </w:rPr>
        <w:t>Máximo de Minutos Disponíveis</w:t>
      </w:r>
      <w:r>
        <w:t>”</w:t>
      </w:r>
      <w:r w:rsidR="0005465C">
        <w:t xml:space="preserve"> designa a soma de todos os Minutos de Implementação em todas as Unidades de Transmissão em Fluxo adquiridas e alocadas a um Serviço de Multimédia durante um Período Aplicável.</w:t>
      </w:r>
    </w:p>
    <w:p w14:paraId="641A9254" w14:textId="77777777" w:rsidR="0005465C" w:rsidRPr="00EF7CF9" w:rsidRDefault="0005465C" w:rsidP="00F01ED6">
      <w:pPr>
        <w:pStyle w:val="ProductList-Body"/>
      </w:pPr>
      <w:r>
        <w:rPr>
          <w:b/>
          <w:color w:val="00188F"/>
        </w:rPr>
        <w:t>Período de Indisponibilidade</w:t>
      </w:r>
      <w:r w:rsidRPr="00473DD3">
        <w:rPr>
          <w:b/>
          <w:color w:val="00188F"/>
        </w:rPr>
        <w:t>:</w:t>
      </w:r>
      <w:r>
        <w:t xml:space="preserve"> O total acumulado de Minutos de Implementação em que o Serviço de Transmissão em Fluxo está indisponível. Um minuto é considerado indisponível para uma determinada Unidade de Transmissão em Fluxo se todos os Pedidos de Serviço de Multimédia Válidos contínuos efetuados à Unidade de Transmissão em Fluxo nesse minuto resultarem num Código de Erro.</w:t>
      </w:r>
    </w:p>
    <w:p w14:paraId="6A6C8E6F" w14:textId="05D95FD2" w:rsidR="0005465C" w:rsidRDefault="0005465C" w:rsidP="00F01ED6">
      <w:pPr>
        <w:pStyle w:val="ProductList-Body"/>
      </w:pPr>
      <w:r>
        <w:t xml:space="preserve">A </w:t>
      </w:r>
      <w:r w:rsidR="00380305" w:rsidRPr="00CB7596">
        <w:t>“</w:t>
      </w:r>
      <w:r>
        <w:rPr>
          <w:b/>
          <w:color w:val="00188F"/>
        </w:rPr>
        <w:t>Percentagem de Período de Disponibilidade</w:t>
      </w:r>
      <w:r w:rsidR="00380305">
        <w:t>”</w:t>
      </w:r>
      <w:r>
        <w:t xml:space="preserve"> para o Serviço de Transmissão em Fluxo dos Serviços de Multimédia do Azure é calculada como o</w:t>
      </w:r>
      <w:r w:rsidR="00F71AD3">
        <w:t> </w:t>
      </w:r>
      <w:r>
        <w:t>Máximo de Minutos Disponíveis menos o Período de Indisponibilidade a dividir pelo Máximo de Minutos Disponíveis num Período Aplicável para uma determinada subscrição do Microsoft Azure.</w:t>
      </w:r>
    </w:p>
    <w:p w14:paraId="61A12412" w14:textId="72445C95" w:rsidR="0005465C" w:rsidRPr="00EF7CF9" w:rsidRDefault="0005465C" w:rsidP="00F01ED6">
      <w:pPr>
        <w:pStyle w:val="ProductList-Body"/>
      </w:pPr>
      <w:r>
        <w:t>A Percentagem de Período de Disponibilidade é calculada através da seguinte fórmula:</w:t>
      </w:r>
    </w:p>
    <w:p w14:paraId="3AC7ADB8" w14:textId="3907A2C9" w:rsidR="0005465C" w:rsidRPr="00EF7CF9" w:rsidRDefault="00000000" w:rsidP="005D141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96046E2" w14:textId="24D6617C" w:rsidR="0005465C" w:rsidRPr="00EF7CF9" w:rsidRDefault="0005465C" w:rsidP="005E5DC2">
      <w:pPr>
        <w:pStyle w:val="ProductList-Body"/>
        <w:keepNext/>
        <w:keepLines/>
      </w:pPr>
      <w:r>
        <w:rPr>
          <w:b/>
          <w:color w:val="00188F"/>
        </w:rPr>
        <w:t>Os seguintes Níveis de Serviço e Créditos de Serviço são aplicáveis à utilização que o Cliente faz do Serviço de Transmissão em Fluxo A Pedido dos Serviços de Multimédia do Azure</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2D51487" w14:textId="77777777" w:rsidR="0005465C" w:rsidRPr="00EF7CF9" w:rsidRDefault="0005465C" w:rsidP="00F01ED6">
            <w:pPr>
              <w:pStyle w:val="ProductList-OfferingBody"/>
              <w:jc w:val="center"/>
              <w:rPr>
                <w:color w:val="FFFFFF" w:themeColor="background1"/>
              </w:rPr>
            </w:pPr>
            <w:r>
              <w:rPr>
                <w:color w:val="FFFFFF" w:themeColor="background1"/>
              </w:rPr>
              <w:t>Crédito de Serviço</w:t>
            </w:r>
          </w:p>
        </w:tc>
      </w:tr>
      <w:tr w:rsidR="0005465C" w:rsidRPr="00B44CF9" w14:paraId="380F08F5" w14:textId="77777777" w:rsidTr="00277097">
        <w:tc>
          <w:tcPr>
            <w:tcW w:w="5400" w:type="dxa"/>
          </w:tcPr>
          <w:p w14:paraId="73641178" w14:textId="77777777" w:rsidR="0005465C" w:rsidRPr="00EF7CF9" w:rsidRDefault="0005465C" w:rsidP="00F01ED6">
            <w:pPr>
              <w:pStyle w:val="ProductList-OfferingBody"/>
              <w:jc w:val="center"/>
            </w:pPr>
            <w:r>
              <w:t>&lt; 99,9%</w:t>
            </w:r>
          </w:p>
        </w:tc>
        <w:tc>
          <w:tcPr>
            <w:tcW w:w="5400" w:type="dxa"/>
          </w:tcPr>
          <w:p w14:paraId="60FF2A85" w14:textId="77777777" w:rsidR="0005465C" w:rsidRPr="00EF7CF9" w:rsidRDefault="0005465C" w:rsidP="00F01ED6">
            <w:pPr>
              <w:pStyle w:val="ProductList-OfferingBody"/>
              <w:jc w:val="center"/>
            </w:pPr>
            <w:r>
              <w:t>10%</w:t>
            </w:r>
          </w:p>
        </w:tc>
      </w:tr>
      <w:tr w:rsidR="0005465C" w:rsidRPr="00B44CF9" w14:paraId="389AAB23" w14:textId="77777777" w:rsidTr="00277097">
        <w:tc>
          <w:tcPr>
            <w:tcW w:w="5400" w:type="dxa"/>
          </w:tcPr>
          <w:p w14:paraId="33D77446" w14:textId="77777777" w:rsidR="0005465C" w:rsidRPr="00EF7CF9" w:rsidRDefault="0005465C" w:rsidP="00F01ED6">
            <w:pPr>
              <w:pStyle w:val="ProductList-OfferingBody"/>
              <w:jc w:val="center"/>
            </w:pPr>
            <w:r>
              <w:t>&lt; 99%</w:t>
            </w:r>
          </w:p>
        </w:tc>
        <w:tc>
          <w:tcPr>
            <w:tcW w:w="5400" w:type="dxa"/>
          </w:tcPr>
          <w:p w14:paraId="6B947007" w14:textId="77777777" w:rsidR="0005465C" w:rsidRPr="00EF7CF9" w:rsidRDefault="0005465C" w:rsidP="00F01ED6">
            <w:pPr>
              <w:pStyle w:val="ProductList-OfferingBody"/>
              <w:jc w:val="center"/>
            </w:pPr>
            <w:r>
              <w:t>25%</w:t>
            </w:r>
          </w:p>
        </w:tc>
      </w:tr>
    </w:tbl>
    <w:p w14:paraId="20A43B74" w14:textId="05227B1E" w:rsidR="0005465C" w:rsidRPr="00ED4527" w:rsidRDefault="00EE6E3C" w:rsidP="00907318">
      <w:pPr>
        <w:pStyle w:val="ProductList-Body"/>
        <w:spacing w:before="120"/>
        <w:rPr>
          <w:b/>
          <w:bCs/>
          <w:color w:val="00188F"/>
        </w:rPr>
      </w:pPr>
      <w:r>
        <w:rPr>
          <w:b/>
          <w:bCs/>
          <w:color w:val="00188F"/>
        </w:rPr>
        <w:t>Cálculo do Período de Disponibilidade e Níveis de Serviço para o Serviço do Indexador de Vídeo</w:t>
      </w:r>
    </w:p>
    <w:p w14:paraId="57898D88" w14:textId="77777777" w:rsidR="0005465C" w:rsidRPr="00ED4527" w:rsidRDefault="0005465C" w:rsidP="00F01ED6">
      <w:pPr>
        <w:pStyle w:val="ProductList-Body"/>
        <w:rPr>
          <w:b/>
          <w:bCs/>
          <w:color w:val="00188F"/>
        </w:rPr>
      </w:pPr>
      <w:r>
        <w:rPr>
          <w:b/>
          <w:bCs/>
          <w:color w:val="00188F"/>
        </w:rPr>
        <w:t>Definições Adicionais:</w:t>
      </w:r>
    </w:p>
    <w:p w14:paraId="530783AE" w14:textId="0319EC0D" w:rsidR="0005465C" w:rsidRPr="00EF7CF9" w:rsidRDefault="00380305" w:rsidP="00F01ED6">
      <w:pPr>
        <w:pStyle w:val="ProductList-Body"/>
      </w:pPr>
      <w:r>
        <w:lastRenderedPageBreak/>
        <w:t>“</w:t>
      </w:r>
      <w:r w:rsidR="0005465C">
        <w:rPr>
          <w:b/>
          <w:color w:val="00188F"/>
        </w:rPr>
        <w:t>Total de Tentativas de Transação</w:t>
      </w:r>
      <w:r>
        <w:t>”</w:t>
      </w:r>
      <w:r w:rsidR="0005465C">
        <w:t xml:space="preserve"> é o número total de pedidos da API Indexador de Vídeo autenticados efetuados pelo Cliente durante um Período Aplicável para uma subscrição. O Total de Tentativas de Transação não inclui os pedidos de API Indexador de Vídeo que devolvem um Código de Erro e que são repetidos continuamente num intervalo de cinco minutos após a receção do primeiro Código de Erro, ou pedidos de Carregamento POST, que enviam o ficheiro como conteúdo com uma série de bytes.</w:t>
      </w:r>
    </w:p>
    <w:p w14:paraId="62538BEA" w14:textId="2CA8C658" w:rsidR="0005465C" w:rsidRPr="00EF7CF9" w:rsidRDefault="00380305" w:rsidP="00F01ED6">
      <w:pPr>
        <w:pStyle w:val="ProductList-Body"/>
      </w:pPr>
      <w:r>
        <w:t>“</w:t>
      </w:r>
      <w:r w:rsidR="0005465C">
        <w:rPr>
          <w:b/>
          <w:color w:val="00188F"/>
        </w:rPr>
        <w:t>Transações com Falha</w:t>
      </w:r>
      <w:r>
        <w:t>”</w:t>
      </w:r>
      <w:r w:rsidR="0005465C">
        <w:t xml:space="preserve"> designa o conjunto de todos os pedidos no Total de Tentativas de Transação que devolvem um Código de Erro ou que não enviam uma resposta ao fim de 360 segundos após a conclusão do envio do cliente por parte do cliente.</w:t>
      </w:r>
    </w:p>
    <w:p w14:paraId="3A2B8AD1" w14:textId="295144E0" w:rsidR="0005465C" w:rsidRPr="00F2068A" w:rsidRDefault="00380305" w:rsidP="00F01ED6">
      <w:pPr>
        <w:pStyle w:val="ProductList-Body"/>
        <w:rPr>
          <w:spacing w:val="-2"/>
        </w:rPr>
      </w:pPr>
      <w:r w:rsidRPr="00CB7596">
        <w:t>“</w:t>
      </w:r>
      <w:r w:rsidR="0005465C" w:rsidRPr="00F2068A">
        <w:rPr>
          <w:b/>
          <w:color w:val="00188F"/>
          <w:spacing w:val="-2"/>
        </w:rPr>
        <w:t>Percentagem de Período de Disponibilidade</w:t>
      </w:r>
      <w:r w:rsidRPr="00CB7596">
        <w:t>”</w:t>
      </w:r>
      <w:r w:rsidR="0005465C" w:rsidRPr="00F2068A">
        <w:rPr>
          <w:spacing w:val="-2"/>
        </w:rPr>
        <w:t xml:space="preserve"> para o Serviço do Indexador de Vídeo é calculada como o Total de Tentativas de Transação menos as Transações com Falha a dividir pelo Total de Tentativas de Transação num Período Aplicável para uma determinada subscrição do Microsoft Azure. </w:t>
      </w:r>
    </w:p>
    <w:p w14:paraId="3379429A" w14:textId="12695F41" w:rsidR="0005465C" w:rsidRPr="00EF7CF9" w:rsidRDefault="0005465C" w:rsidP="00F01ED6">
      <w:pPr>
        <w:pStyle w:val="ProductList-Body"/>
      </w:pPr>
      <w:r>
        <w:t>A Percentagem de Período de Disponibilidade é calculada através da seguinte fórmula:</w:t>
      </w:r>
    </w:p>
    <w:p w14:paraId="78BCAE0D" w14:textId="30BE722D" w:rsidR="0005465C" w:rsidRPr="00EF7CF9" w:rsidRDefault="00000000" w:rsidP="005D141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96E3237" w14:textId="77777777" w:rsidR="0005465C" w:rsidRPr="00EF7CF9" w:rsidRDefault="0005465C" w:rsidP="00F01ED6">
      <w:pPr>
        <w:pStyle w:val="ProductList-Body"/>
      </w:pPr>
      <w:r>
        <w:rPr>
          <w:b/>
          <w:color w:val="00188F"/>
        </w:rPr>
        <w:t>Os seguintes Níveis de Serviço e Créditos de Serviço são aplicáveis à utilização que o Cliente faz do Serviço do Indexador de Vídeo do Azure</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57AD259" w14:textId="77777777" w:rsidR="0005465C" w:rsidRPr="005A3C16" w:rsidRDefault="0005465C" w:rsidP="00F01ED6">
            <w:pPr>
              <w:pStyle w:val="ProductList-OfferingBody"/>
              <w:jc w:val="center"/>
              <w:rPr>
                <w:color w:val="FFFFFF" w:themeColor="background1"/>
              </w:rPr>
            </w:pPr>
            <w:r>
              <w:rPr>
                <w:color w:val="FFFFFF" w:themeColor="background1"/>
              </w:rPr>
              <w:t>Crédito de Serviço</w:t>
            </w:r>
          </w:p>
        </w:tc>
      </w:tr>
      <w:tr w:rsidR="0005465C" w:rsidRPr="00B44CF9" w14:paraId="150AC4D2" w14:textId="77777777" w:rsidTr="00277097">
        <w:tc>
          <w:tcPr>
            <w:tcW w:w="5400" w:type="dxa"/>
          </w:tcPr>
          <w:p w14:paraId="09561F0A" w14:textId="77777777" w:rsidR="0005465C" w:rsidRPr="005A3C16" w:rsidRDefault="0005465C" w:rsidP="00F01ED6">
            <w:pPr>
              <w:pStyle w:val="ProductList-OfferingBody"/>
              <w:jc w:val="center"/>
            </w:pPr>
            <w:r>
              <w:t>&lt; 99,9%</w:t>
            </w:r>
          </w:p>
        </w:tc>
        <w:tc>
          <w:tcPr>
            <w:tcW w:w="5400" w:type="dxa"/>
          </w:tcPr>
          <w:p w14:paraId="47F17463" w14:textId="77777777" w:rsidR="0005465C" w:rsidRPr="005A3C16" w:rsidRDefault="0005465C" w:rsidP="00F01ED6">
            <w:pPr>
              <w:pStyle w:val="ProductList-OfferingBody"/>
              <w:jc w:val="center"/>
            </w:pPr>
            <w:r>
              <w:t>10%</w:t>
            </w:r>
          </w:p>
        </w:tc>
      </w:tr>
      <w:tr w:rsidR="0005465C" w:rsidRPr="00B44CF9" w14:paraId="5C07A612" w14:textId="77777777" w:rsidTr="00277097">
        <w:tc>
          <w:tcPr>
            <w:tcW w:w="5400" w:type="dxa"/>
          </w:tcPr>
          <w:p w14:paraId="592D715F" w14:textId="77777777" w:rsidR="0005465C" w:rsidRPr="005A3C16" w:rsidRDefault="0005465C" w:rsidP="00F01ED6">
            <w:pPr>
              <w:pStyle w:val="ProductList-OfferingBody"/>
              <w:jc w:val="center"/>
            </w:pPr>
            <w:r>
              <w:t>&lt; 99%</w:t>
            </w:r>
          </w:p>
        </w:tc>
        <w:tc>
          <w:tcPr>
            <w:tcW w:w="5400" w:type="dxa"/>
          </w:tcPr>
          <w:p w14:paraId="3F63357C" w14:textId="77777777" w:rsidR="0005465C" w:rsidRPr="005A3C16" w:rsidRDefault="0005465C" w:rsidP="00F01ED6">
            <w:pPr>
              <w:pStyle w:val="ProductList-OfferingBody"/>
              <w:jc w:val="center"/>
            </w:pPr>
            <w:r>
              <w:t>25%</w:t>
            </w:r>
          </w:p>
        </w:tc>
      </w:tr>
    </w:tbl>
    <w:p w14:paraId="2C7ADA14" w14:textId="66FE91FC" w:rsidR="0005465C" w:rsidRDefault="00EE6E3C" w:rsidP="00907318">
      <w:pPr>
        <w:pStyle w:val="ProductList-Body"/>
        <w:spacing w:before="120"/>
        <w:rPr>
          <w:b/>
          <w:bCs/>
          <w:color w:val="00188F"/>
        </w:rPr>
      </w:pPr>
      <w:r>
        <w:rPr>
          <w:b/>
          <w:bCs/>
          <w:color w:val="00188F"/>
        </w:rPr>
        <w:t>Cálculo do Período de Disponibilidade e Níveis de Serviço para Canais em Direto</w:t>
      </w:r>
    </w:p>
    <w:p w14:paraId="000D0D6F" w14:textId="77777777" w:rsidR="0005465C" w:rsidRPr="00ED4527" w:rsidRDefault="0005465C" w:rsidP="00F01ED6">
      <w:pPr>
        <w:pStyle w:val="ProductList-Body"/>
        <w:rPr>
          <w:b/>
          <w:bCs/>
          <w:color w:val="00188F"/>
        </w:rPr>
      </w:pPr>
      <w:r>
        <w:rPr>
          <w:b/>
          <w:bCs/>
          <w:color w:val="00188F"/>
        </w:rPr>
        <w:t>Definições Adicionais:</w:t>
      </w:r>
    </w:p>
    <w:p w14:paraId="0FC8F879" w14:textId="76E7A7E9" w:rsidR="0005465C" w:rsidRPr="00EF7CF9" w:rsidRDefault="00380305" w:rsidP="00F01ED6">
      <w:pPr>
        <w:pStyle w:val="ProductList-Body"/>
      </w:pPr>
      <w:r>
        <w:t>“</w:t>
      </w:r>
      <w:r w:rsidR="0005465C">
        <w:rPr>
          <w:b/>
          <w:color w:val="00188F"/>
        </w:rPr>
        <w:t>Minutos de Implementação</w:t>
      </w:r>
      <w:r>
        <w:t>”</w:t>
      </w:r>
      <w:r w:rsidR="0005465C">
        <w:t xml:space="preserve"> designa o número total de minutos durante os quais um determinado Canal foi adquirido e alocado a um Serviço de Multimédia e está operacional durante um Período Aplicável.</w:t>
      </w:r>
    </w:p>
    <w:p w14:paraId="2BF106B0" w14:textId="61F9F410" w:rsidR="0005465C" w:rsidRPr="00EF7CF9" w:rsidRDefault="00380305" w:rsidP="00F01ED6">
      <w:pPr>
        <w:pStyle w:val="ProductList-Body"/>
      </w:pPr>
      <w:r>
        <w:t>“</w:t>
      </w:r>
      <w:r w:rsidR="0005465C">
        <w:rPr>
          <w:b/>
          <w:color w:val="00188F"/>
        </w:rPr>
        <w:t>Máximo de Minutos Disponíveis</w:t>
      </w:r>
      <w:r>
        <w:t>”</w:t>
      </w:r>
      <w:r w:rsidR="0005465C">
        <w:t xml:space="preserve"> designa a soma de todos os Minutos de Implementação em todos os Canais adquiridos e alocados a um Serviço de Multimédia durante um Período Aplicável.</w:t>
      </w:r>
    </w:p>
    <w:p w14:paraId="589A4F11" w14:textId="00961A86" w:rsidR="0005465C" w:rsidRPr="00EF7CF9" w:rsidRDefault="0005465C" w:rsidP="00F01ED6">
      <w:pPr>
        <w:pStyle w:val="ProductList-Body"/>
      </w:pPr>
      <w:r>
        <w:rPr>
          <w:b/>
          <w:color w:val="00188F"/>
        </w:rPr>
        <w:t>Período de Indisponibilidade</w:t>
      </w:r>
      <w:r w:rsidRPr="00473DD3">
        <w:rPr>
          <w:b/>
          <w:color w:val="00188F"/>
        </w:rPr>
        <w:t>:</w:t>
      </w:r>
      <w:r>
        <w:t xml:space="preserve"> O total acumulado de Minutos de Implementação quando o Serviço de Canais em Direto está indisponível. Um</w:t>
      </w:r>
      <w:r w:rsidR="004D5DFB">
        <w:t> </w:t>
      </w:r>
      <w:r>
        <w:t>minuto é considerado indisponível para um determinado Canal se o Canal não tiver qualquer Conectividade Externa durante o minuto.</w:t>
      </w:r>
    </w:p>
    <w:p w14:paraId="32D83198" w14:textId="01A3979B" w:rsidR="0005465C" w:rsidRDefault="0005465C" w:rsidP="00F01ED6">
      <w:pPr>
        <w:pStyle w:val="ProductList-Body"/>
      </w:pPr>
      <w:r>
        <w:t xml:space="preserve">A </w:t>
      </w:r>
      <w:r w:rsidR="00380305" w:rsidRPr="00CB7596">
        <w:t>“</w:t>
      </w:r>
      <w:r>
        <w:rPr>
          <w:b/>
          <w:color w:val="00188F"/>
        </w:rPr>
        <w:t>Percentagem de Período de Disponibilidade</w:t>
      </w:r>
      <w:r w:rsidR="00380305">
        <w:t>”</w:t>
      </w:r>
      <w:r>
        <w:t xml:space="preserve"> para os Canais em Direto é calculada como o Máximo de Minutos Disponíveis menos o Período de</w:t>
      </w:r>
      <w:r w:rsidR="004D5DFB">
        <w:t> </w:t>
      </w:r>
      <w:r>
        <w:t>Indisponibilidade a dividir pelo Máximo de Minutos Disponíveis num Período Aplicável para uma determinada subscrição do Microsoft Azure.</w:t>
      </w:r>
    </w:p>
    <w:p w14:paraId="2AF355B5" w14:textId="2A3579D7" w:rsidR="0005465C" w:rsidRPr="00EF7CF9" w:rsidRDefault="0005465C" w:rsidP="00F01ED6">
      <w:pPr>
        <w:pStyle w:val="ProductList-Body"/>
      </w:pPr>
      <w:r>
        <w:t>A Percentagem de Período de Disponibilidade é calculada através da seguinte fórmula:</w:t>
      </w:r>
    </w:p>
    <w:p w14:paraId="30039B30" w14:textId="59498692" w:rsidR="0005465C" w:rsidRPr="00EF7CF9" w:rsidRDefault="00000000" w:rsidP="005A1F36">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56547FF" w14:textId="77777777" w:rsidR="0005465C" w:rsidRPr="00EF7CF9" w:rsidRDefault="0005465C" w:rsidP="00F01ED6">
      <w:pPr>
        <w:pStyle w:val="ProductList-Body"/>
      </w:pPr>
      <w:r>
        <w:rPr>
          <w:b/>
          <w:color w:val="00188F"/>
        </w:rPr>
        <w:t>Os seguintes Níveis de Serviço e Créditos de Serviço são aplicáveis à utilização que o Cliente faz do Serviço de Canais em Direto dos Serviços de Multimédia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8EAEC4D" w14:textId="77777777" w:rsidR="0005465C" w:rsidRPr="00EF7CF9" w:rsidRDefault="0005465C" w:rsidP="00F01ED6">
            <w:pPr>
              <w:pStyle w:val="ProductList-OfferingBody"/>
              <w:jc w:val="center"/>
              <w:rPr>
                <w:color w:val="FFFFFF" w:themeColor="background1"/>
              </w:rPr>
            </w:pPr>
            <w:r>
              <w:rPr>
                <w:color w:val="FFFFFF" w:themeColor="background1"/>
              </w:rPr>
              <w:t>Crédito de Serviço</w:t>
            </w:r>
          </w:p>
        </w:tc>
      </w:tr>
      <w:tr w:rsidR="0005465C" w:rsidRPr="00B44CF9" w14:paraId="472E637E" w14:textId="77777777" w:rsidTr="00277097">
        <w:tc>
          <w:tcPr>
            <w:tcW w:w="5400" w:type="dxa"/>
          </w:tcPr>
          <w:p w14:paraId="22784DA1" w14:textId="77777777" w:rsidR="0005465C" w:rsidRPr="00EF7CF9" w:rsidRDefault="0005465C" w:rsidP="00F01ED6">
            <w:pPr>
              <w:pStyle w:val="ProductList-OfferingBody"/>
              <w:jc w:val="center"/>
            </w:pPr>
            <w:r>
              <w:t>&lt; 99,9%</w:t>
            </w:r>
          </w:p>
        </w:tc>
        <w:tc>
          <w:tcPr>
            <w:tcW w:w="5400" w:type="dxa"/>
          </w:tcPr>
          <w:p w14:paraId="7C46E78F" w14:textId="77777777" w:rsidR="0005465C" w:rsidRPr="00EF7CF9" w:rsidRDefault="0005465C" w:rsidP="00F01ED6">
            <w:pPr>
              <w:pStyle w:val="ProductList-OfferingBody"/>
              <w:jc w:val="center"/>
            </w:pPr>
            <w:r>
              <w:t>10%</w:t>
            </w:r>
          </w:p>
        </w:tc>
      </w:tr>
      <w:tr w:rsidR="0005465C" w:rsidRPr="00B44CF9" w14:paraId="744A173B" w14:textId="77777777" w:rsidTr="00277097">
        <w:tc>
          <w:tcPr>
            <w:tcW w:w="5400" w:type="dxa"/>
          </w:tcPr>
          <w:p w14:paraId="59ABAD11" w14:textId="77777777" w:rsidR="0005465C" w:rsidRPr="00EF7CF9" w:rsidRDefault="0005465C" w:rsidP="00F01ED6">
            <w:pPr>
              <w:pStyle w:val="ProductList-OfferingBody"/>
              <w:jc w:val="center"/>
            </w:pPr>
            <w:r>
              <w:t>&lt; 99%</w:t>
            </w:r>
          </w:p>
        </w:tc>
        <w:tc>
          <w:tcPr>
            <w:tcW w:w="5400" w:type="dxa"/>
          </w:tcPr>
          <w:p w14:paraId="2A1B4C47" w14:textId="77777777" w:rsidR="0005465C" w:rsidRPr="00EF7CF9" w:rsidRDefault="0005465C" w:rsidP="00F01ED6">
            <w:pPr>
              <w:pStyle w:val="ProductList-OfferingBody"/>
              <w:jc w:val="center"/>
            </w:pPr>
            <w:r>
              <w:t>25%</w:t>
            </w:r>
          </w:p>
        </w:tc>
      </w:tr>
    </w:tbl>
    <w:p w14:paraId="596A31A9" w14:textId="0DDDA0D1" w:rsidR="0005465C" w:rsidRPr="00623706" w:rsidRDefault="00EE6E3C" w:rsidP="00907318">
      <w:pPr>
        <w:pStyle w:val="ProductList-Body"/>
        <w:spacing w:before="120"/>
        <w:rPr>
          <w:b/>
          <w:bCs/>
          <w:color w:val="00188F"/>
        </w:rPr>
      </w:pPr>
      <w:r>
        <w:rPr>
          <w:b/>
          <w:bCs/>
          <w:color w:val="00188F"/>
        </w:rPr>
        <w:t>Cálculo do Período de Disponibilidade e Níveis de Serviço para o Serviço de Proteção de Conteúdo</w:t>
      </w:r>
    </w:p>
    <w:p w14:paraId="5A000AB7" w14:textId="77777777" w:rsidR="0005465C" w:rsidRPr="00ED4527" w:rsidRDefault="0005465C" w:rsidP="00F01ED6">
      <w:pPr>
        <w:pStyle w:val="ProductList-Body"/>
        <w:rPr>
          <w:b/>
          <w:bCs/>
          <w:color w:val="00188F"/>
        </w:rPr>
      </w:pPr>
      <w:r>
        <w:rPr>
          <w:b/>
          <w:bCs/>
          <w:color w:val="00188F"/>
        </w:rPr>
        <w:t>Definições Adicionais</w:t>
      </w:r>
    </w:p>
    <w:p w14:paraId="4EA80504" w14:textId="257243E1" w:rsidR="0005465C" w:rsidRPr="00EF7CF9" w:rsidRDefault="00380305" w:rsidP="00F01ED6">
      <w:pPr>
        <w:pStyle w:val="ProductList-Body"/>
      </w:pPr>
      <w:r>
        <w:t>“</w:t>
      </w:r>
      <w:r w:rsidR="0005465C">
        <w:rPr>
          <w:b/>
          <w:color w:val="00188F"/>
        </w:rPr>
        <w:t>Total de Tentativas de Transação</w:t>
      </w:r>
      <w:r>
        <w:t>”</w:t>
      </w:r>
      <w:r w:rsidR="0005465C">
        <w:t xml:space="preserve"> designa todos os Pedidos de Chave Válidos efetuados pelo Cliente durante um Período Aplicável para uma determinada subscrição do Azure.</w:t>
      </w:r>
    </w:p>
    <w:p w14:paraId="1ED551EE" w14:textId="0B309703" w:rsidR="0005465C" w:rsidRPr="00F2068A" w:rsidRDefault="00380305" w:rsidP="00F01ED6">
      <w:pPr>
        <w:pStyle w:val="ProductList-Body"/>
        <w:rPr>
          <w:spacing w:val="-2"/>
        </w:rPr>
      </w:pPr>
      <w:r>
        <w:rPr>
          <w:spacing w:val="-2"/>
        </w:rPr>
        <w:t>“</w:t>
      </w:r>
      <w:r w:rsidR="0005465C" w:rsidRPr="00F2068A">
        <w:rPr>
          <w:b/>
          <w:color w:val="00188F"/>
          <w:spacing w:val="-2"/>
        </w:rPr>
        <w:t>Transações com Falha</w:t>
      </w:r>
      <w:r>
        <w:rPr>
          <w:spacing w:val="-2"/>
        </w:rPr>
        <w:t>”</w:t>
      </w:r>
      <w:r w:rsidR="0005465C" w:rsidRPr="00F2068A">
        <w:rPr>
          <w:spacing w:val="-2"/>
        </w:rPr>
        <w:t xml:space="preserve"> designa todos os Pedidos de Chave Válidos incluídos no Total de Tentativas de Transação que resultam num Código de Erro ou que, de outro modo, não devolvem um Código de Êxito no prazo de 30 segundos após a receção por parte do Serviço de Proteção de Conteúdo.</w:t>
      </w:r>
    </w:p>
    <w:p w14:paraId="78B4EB61" w14:textId="421223B1" w:rsidR="0005465C" w:rsidRPr="00F2068A" w:rsidRDefault="0005465C" w:rsidP="00F01ED6">
      <w:pPr>
        <w:pStyle w:val="ProductList-Body"/>
        <w:rPr>
          <w:spacing w:val="-3"/>
        </w:rPr>
      </w:pPr>
      <w:r w:rsidRPr="00F2068A">
        <w:rPr>
          <w:spacing w:val="-3"/>
        </w:rPr>
        <w:t xml:space="preserve">A </w:t>
      </w:r>
      <w:r w:rsidR="00380305" w:rsidRPr="00CB7596">
        <w:t>“</w:t>
      </w:r>
      <w:r w:rsidRPr="00F2068A">
        <w:rPr>
          <w:b/>
          <w:color w:val="00188F"/>
          <w:spacing w:val="-3"/>
        </w:rPr>
        <w:t>Percentagem de Período de Disponibilidade</w:t>
      </w:r>
      <w:r w:rsidR="00380305" w:rsidRPr="00CB7596">
        <w:t>”</w:t>
      </w:r>
      <w:r w:rsidRPr="00F2068A">
        <w:rPr>
          <w:spacing w:val="-3"/>
        </w:rPr>
        <w:t xml:space="preserve"> para os Serviços de Multimédia do Azure é calculada como o Total de Tentativas de Transação menos as Transações com Falha a dividir pelo Total de Tentativas de Transação num Período Aplicável para uma determinada subscrição do Microsoft Azure.</w:t>
      </w:r>
    </w:p>
    <w:p w14:paraId="4FB6D2DC" w14:textId="48010A30" w:rsidR="0005465C" w:rsidRPr="00EF7CF9" w:rsidRDefault="0005465C" w:rsidP="00334D35">
      <w:pPr>
        <w:pStyle w:val="ProductList-Body"/>
        <w:keepNext/>
      </w:pPr>
      <w:r>
        <w:t>A Percentagem de Período de Disponibilidade é calculada através da seguinte fórmula:</w:t>
      </w:r>
    </w:p>
    <w:p w14:paraId="082739F6" w14:textId="5073A515" w:rsidR="0005465C" w:rsidRPr="00EF7CF9" w:rsidRDefault="00000000" w:rsidP="00DD0B5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73D4D" w14:textId="77777777" w:rsidR="0005465C" w:rsidRPr="00EF7CF9" w:rsidRDefault="0005465C" w:rsidP="00F01ED6">
      <w:pPr>
        <w:pStyle w:val="ProductList-Body"/>
      </w:pPr>
      <w:r>
        <w:rPr>
          <w:b/>
          <w:color w:val="00188F"/>
        </w:rPr>
        <w:t>Os seguintes Níveis de Serviço e Créditos de Serviço são aplicáveis à utilização que o Cliente faz do Serviço de Proteção de Conteúdo dos Serviços de Multimédia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DC7B3EF" w14:textId="77777777" w:rsidR="0005465C" w:rsidRPr="00EF7CF9" w:rsidRDefault="0005465C" w:rsidP="00F01ED6">
            <w:pPr>
              <w:pStyle w:val="ProductList-OfferingBody"/>
              <w:jc w:val="center"/>
              <w:rPr>
                <w:color w:val="FFFFFF" w:themeColor="background1"/>
              </w:rPr>
            </w:pPr>
            <w:r>
              <w:rPr>
                <w:color w:val="FFFFFF" w:themeColor="background1"/>
              </w:rPr>
              <w:t>Crédito de Serviço</w:t>
            </w:r>
          </w:p>
        </w:tc>
      </w:tr>
      <w:tr w:rsidR="0005465C" w:rsidRPr="00B44CF9" w14:paraId="7022C8BB" w14:textId="77777777" w:rsidTr="00277097">
        <w:tc>
          <w:tcPr>
            <w:tcW w:w="5400" w:type="dxa"/>
          </w:tcPr>
          <w:p w14:paraId="309E53FA" w14:textId="77777777" w:rsidR="0005465C" w:rsidRPr="00EF7CF9" w:rsidRDefault="0005465C" w:rsidP="00F01ED6">
            <w:pPr>
              <w:pStyle w:val="ProductList-OfferingBody"/>
              <w:jc w:val="center"/>
            </w:pPr>
            <w:r>
              <w:t>&lt; 99,9%</w:t>
            </w:r>
          </w:p>
        </w:tc>
        <w:tc>
          <w:tcPr>
            <w:tcW w:w="5400" w:type="dxa"/>
          </w:tcPr>
          <w:p w14:paraId="450872A4" w14:textId="77777777" w:rsidR="0005465C" w:rsidRPr="00EF7CF9" w:rsidRDefault="0005465C" w:rsidP="00F01ED6">
            <w:pPr>
              <w:pStyle w:val="ProductList-OfferingBody"/>
              <w:jc w:val="center"/>
            </w:pPr>
            <w:r>
              <w:t>10%</w:t>
            </w:r>
          </w:p>
        </w:tc>
      </w:tr>
      <w:tr w:rsidR="0005465C" w:rsidRPr="00B44CF9" w14:paraId="49F060B1" w14:textId="77777777" w:rsidTr="00277097">
        <w:tc>
          <w:tcPr>
            <w:tcW w:w="5400" w:type="dxa"/>
          </w:tcPr>
          <w:p w14:paraId="017B8EE5" w14:textId="77777777" w:rsidR="0005465C" w:rsidRPr="00EF7CF9" w:rsidRDefault="0005465C" w:rsidP="00F01ED6">
            <w:pPr>
              <w:pStyle w:val="ProductList-OfferingBody"/>
              <w:jc w:val="center"/>
            </w:pPr>
            <w:r>
              <w:t>&lt; 99%</w:t>
            </w:r>
          </w:p>
        </w:tc>
        <w:tc>
          <w:tcPr>
            <w:tcW w:w="5400" w:type="dxa"/>
          </w:tcPr>
          <w:p w14:paraId="7C259C76" w14:textId="77777777" w:rsidR="0005465C" w:rsidRPr="00EF7CF9" w:rsidRDefault="0005465C" w:rsidP="00F01ED6">
            <w:pPr>
              <w:pStyle w:val="ProductList-OfferingBody"/>
              <w:jc w:val="center"/>
            </w:pPr>
            <w:r>
              <w:t>25%</w:t>
            </w:r>
          </w:p>
        </w:tc>
      </w:tr>
    </w:tbl>
    <w:p w14:paraId="31727C89"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A19FC05" w14:textId="01E8788E" w:rsidR="009C6082" w:rsidRPr="00E53123" w:rsidRDefault="009C6082" w:rsidP="00F01ED6">
      <w:pPr>
        <w:pStyle w:val="ProductList-Offering2Heading"/>
        <w:tabs>
          <w:tab w:val="clear" w:pos="360"/>
          <w:tab w:val="clear" w:pos="720"/>
          <w:tab w:val="clear" w:pos="1080"/>
        </w:tabs>
        <w:outlineLvl w:val="2"/>
      </w:pPr>
      <w:bookmarkStart w:id="332" w:name="_Toc239176501"/>
      <w:r>
        <w:lastRenderedPageBreak/>
        <w:t>Serviço MedTech</w:t>
      </w:r>
      <w:bookmarkEnd w:id="332"/>
    </w:p>
    <w:p w14:paraId="41E626DB" w14:textId="77777777" w:rsidR="009C6082" w:rsidRDefault="009C6082" w:rsidP="00F01ED6">
      <w:pPr>
        <w:shd w:val="clear" w:color="auto" w:fill="FFFFFF"/>
        <w:spacing w:after="0" w:line="240" w:lineRule="auto"/>
        <w:rPr>
          <w:sz w:val="18"/>
        </w:rPr>
      </w:pPr>
      <w:r>
        <w:rPr>
          <w:sz w:val="18"/>
        </w:rPr>
        <w:t>Um serviço MedTech é considerado disponível durante uma janela de um minuto se leu com êxito a partir da origem de dados configurada ou está disponível para leitura a partir de uma origem de dados depois de corretamente configurado.</w:t>
      </w:r>
    </w:p>
    <w:p w14:paraId="4213C408" w14:textId="2F0EC4A3" w:rsidR="009C6082" w:rsidRPr="00E53123" w:rsidRDefault="00EE6E3C" w:rsidP="00F01ED6">
      <w:pPr>
        <w:pStyle w:val="ProductList-Body"/>
        <w:rPr>
          <w:b/>
          <w:color w:val="00188F"/>
        </w:rPr>
      </w:pPr>
      <w:r>
        <w:rPr>
          <w:b/>
          <w:color w:val="00188F"/>
        </w:rPr>
        <w:t>Cálculo do Período de Disponibilidade</w:t>
      </w:r>
    </w:p>
    <w:p w14:paraId="0B543B21" w14:textId="3261A860" w:rsidR="009C6082" w:rsidRDefault="009C6082" w:rsidP="00F01ED6">
      <w:pPr>
        <w:pStyle w:val="ProductList-Body"/>
      </w:pPr>
      <w:r>
        <w:t xml:space="preserve">A </w:t>
      </w:r>
      <w:r w:rsidR="00380305">
        <w:t>“</w:t>
      </w:r>
      <w:r>
        <w:rPr>
          <w:b/>
          <w:color w:val="00188F"/>
        </w:rPr>
        <w:t>Percentagem de Período de Disponibilidade</w:t>
      </w:r>
      <w:r w:rsidR="00380305">
        <w:t>”</w:t>
      </w:r>
      <w:r>
        <w:t xml:space="preserve"> para o serviço MedTech é calculada como o Total de Minutos Disponíveis menos os Minutos Indisponíveis, dividido pelo Total de Minutos em que o serviço MedTech esteve ativo. A Percentagem de Período de Disponibilidade é representada pela seguinte fórmula:</w:t>
      </w:r>
    </w:p>
    <w:p w14:paraId="29A8600A" w14:textId="4E77B1F7" w:rsidR="009C6082" w:rsidRPr="00EF7CF9" w:rsidRDefault="00000000" w:rsidP="005A4BE0">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Disponíveis-Minutos com Falhas</m:t>
              </m:r>
            </m:num>
            <m:den>
              <m:r>
                <m:rPr>
                  <m:nor/>
                </m:rPr>
                <w:rPr>
                  <w:rFonts w:ascii="Cambria Math" w:hAnsi="Cambria Math" w:cs="Calibri"/>
                  <w:i/>
                  <w:iCs/>
                  <w:sz w:val="18"/>
                  <w:szCs w:val="18"/>
                </w:rPr>
                <m:t>Total de Minutos</m:t>
              </m:r>
            </m:den>
          </m:f>
          <m:r>
            <w:rPr>
              <w:rFonts w:ascii="Cambria Math" w:hAnsi="Cambria Math" w:cs="Calibri"/>
              <w:sz w:val="18"/>
              <w:szCs w:val="18"/>
            </w:rPr>
            <m:t xml:space="preserve"> x 100</m:t>
          </m:r>
        </m:oMath>
      </m:oMathPara>
    </w:p>
    <w:p w14:paraId="3B793820" w14:textId="77777777" w:rsidR="009C6082" w:rsidRPr="00954022" w:rsidRDefault="009C6082" w:rsidP="00F01ED6">
      <w:pPr>
        <w:pStyle w:val="ProductList-Body"/>
        <w:rPr>
          <w:b/>
          <w:color w:val="00188F"/>
        </w:rPr>
      </w:pPr>
      <w:r w:rsidRPr="00954022">
        <w:rPr>
          <w:b/>
          <w:color w:val="00188F"/>
        </w:rPr>
        <w:t>Os seguintes Níveis de Serviço e Créditos de Serviço são aplicáveis ao serviço MedTech:</w:t>
      </w:r>
    </w:p>
    <w:p w14:paraId="04C48FDA" w14:textId="77777777" w:rsidR="009C6082" w:rsidRPr="00EF7CF9" w:rsidRDefault="009C6082"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0BCC4D7" w14:textId="77777777" w:rsidR="009C6082" w:rsidRPr="00EF7CF9" w:rsidRDefault="009C6082" w:rsidP="00F01ED6">
            <w:pPr>
              <w:pStyle w:val="ProductList-OfferingBody"/>
              <w:jc w:val="center"/>
              <w:rPr>
                <w:color w:val="FFFFFF" w:themeColor="background1"/>
              </w:rPr>
            </w:pPr>
            <w:r>
              <w:rPr>
                <w:color w:val="FFFFFF" w:themeColor="background1"/>
              </w:rPr>
              <w:t>Crédito de Serviço</w:t>
            </w:r>
          </w:p>
        </w:tc>
      </w:tr>
      <w:tr w:rsidR="009C6082" w:rsidRPr="00B44CF9" w14:paraId="094ED92A" w14:textId="77777777" w:rsidTr="000F31B4">
        <w:tc>
          <w:tcPr>
            <w:tcW w:w="5400" w:type="dxa"/>
          </w:tcPr>
          <w:p w14:paraId="19C37249" w14:textId="77777777" w:rsidR="009C6082" w:rsidRPr="00EF7CF9" w:rsidRDefault="009C6082" w:rsidP="00F01ED6">
            <w:pPr>
              <w:pStyle w:val="ProductList-OfferingBody"/>
              <w:jc w:val="center"/>
            </w:pPr>
            <w:r>
              <w:t>&lt; 99,9%</w:t>
            </w:r>
          </w:p>
        </w:tc>
        <w:tc>
          <w:tcPr>
            <w:tcW w:w="5400" w:type="dxa"/>
          </w:tcPr>
          <w:p w14:paraId="7A0412B6" w14:textId="77777777" w:rsidR="009C6082" w:rsidRPr="00EF7CF9" w:rsidRDefault="009C6082" w:rsidP="00F01ED6">
            <w:pPr>
              <w:pStyle w:val="ProductList-OfferingBody"/>
              <w:jc w:val="center"/>
            </w:pPr>
            <w:r>
              <w:t>10%</w:t>
            </w:r>
          </w:p>
        </w:tc>
      </w:tr>
      <w:tr w:rsidR="009C6082" w:rsidRPr="00B44CF9" w14:paraId="1680BF06" w14:textId="77777777" w:rsidTr="000F31B4">
        <w:tc>
          <w:tcPr>
            <w:tcW w:w="5400" w:type="dxa"/>
          </w:tcPr>
          <w:p w14:paraId="30EDDC47" w14:textId="77777777" w:rsidR="009C6082" w:rsidRPr="00EF7CF9" w:rsidRDefault="009C6082" w:rsidP="00F01ED6">
            <w:pPr>
              <w:pStyle w:val="ProductList-OfferingBody"/>
              <w:jc w:val="center"/>
            </w:pPr>
            <w:r>
              <w:t>&lt; 99%</w:t>
            </w:r>
          </w:p>
        </w:tc>
        <w:tc>
          <w:tcPr>
            <w:tcW w:w="5400" w:type="dxa"/>
          </w:tcPr>
          <w:p w14:paraId="3028563A" w14:textId="77777777" w:rsidR="009C6082" w:rsidRPr="00EF7CF9" w:rsidRDefault="009C6082" w:rsidP="00F01ED6">
            <w:pPr>
              <w:pStyle w:val="ProductList-OfferingBody"/>
              <w:jc w:val="center"/>
            </w:pPr>
            <w:r>
              <w:t>25%</w:t>
            </w:r>
          </w:p>
        </w:tc>
      </w:tr>
    </w:tbl>
    <w:p w14:paraId="1922FC52"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B47E479" w14:textId="77777777" w:rsidR="00103962" w:rsidRPr="00D72018" w:rsidRDefault="00103962" w:rsidP="00103962">
      <w:pPr>
        <w:pStyle w:val="ProductList-Offering2Heading"/>
        <w:keepNext/>
        <w:tabs>
          <w:tab w:val="clear" w:pos="360"/>
          <w:tab w:val="clear" w:pos="720"/>
          <w:tab w:val="clear" w:pos="1080"/>
        </w:tabs>
        <w:outlineLvl w:val="2"/>
        <w:rPr>
          <w:rFonts w:ascii="Calibri Light" w:hAnsi="Calibri Light" w:cs="Calibri Light"/>
        </w:rPr>
      </w:pPr>
      <w:bookmarkStart w:id="333" w:name="_Toc239176502"/>
      <w:bookmarkStart w:id="334" w:name="_Toc52348973"/>
      <w:bookmarkStart w:id="335" w:name="_Toc457821565"/>
      <w:r>
        <w:rPr>
          <w:rFonts w:ascii="Calibri Light" w:hAnsi="Calibri Light" w:cs="Calibri Light"/>
        </w:rPr>
        <w:t>Serviço do Microsoft Discovery</w:t>
      </w:r>
      <w:bookmarkEnd w:id="333"/>
    </w:p>
    <w:p w14:paraId="7014D304" w14:textId="77777777" w:rsidR="00103962" w:rsidRPr="00D72018" w:rsidRDefault="00103962" w:rsidP="00103962">
      <w:pPr>
        <w:shd w:val="clear" w:color="auto" w:fill="FFFFFF"/>
        <w:spacing w:after="0" w:line="240" w:lineRule="auto"/>
        <w:rPr>
          <w:rFonts w:ascii="Calibri" w:hAnsi="Calibri" w:cs="Calibri"/>
          <w:b/>
          <w:color w:val="00188F"/>
          <w:sz w:val="18"/>
        </w:rPr>
      </w:pPr>
      <w:r>
        <w:rPr>
          <w:rFonts w:ascii="Calibri" w:hAnsi="Calibri" w:cs="Calibri"/>
          <w:b/>
          <w:color w:val="00188F"/>
          <w:sz w:val="18"/>
        </w:rPr>
        <w:t>Definições Adicionais: </w:t>
      </w:r>
    </w:p>
    <w:p w14:paraId="69F03138" w14:textId="77777777" w:rsidR="00103962" w:rsidRPr="00F122EA" w:rsidRDefault="00103962" w:rsidP="00103962">
      <w:pPr>
        <w:shd w:val="clear" w:color="auto" w:fill="FFFFFF"/>
        <w:spacing w:after="0" w:line="240" w:lineRule="auto"/>
        <w:ind w:right="360"/>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Total de Pedidos de Mensagens de Utilizador</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designa o número total de pedidos efetuados por um utilizador final ao Microsoft Discovery durante um Período Aplicável. O Total de Pedidos de Mensagens de Utilizador não inclui os pedidos que devolvem uma resposta de Pedido de Mensagem de Utilizador com Falhas que são repetidos continuamente num período de cinco minutos após a receção da primeira resposta deste tipo. </w:t>
      </w:r>
    </w:p>
    <w:p w14:paraId="3E9D196B" w14:textId="77777777" w:rsidR="00103962" w:rsidRPr="00F122EA" w:rsidRDefault="00103962" w:rsidP="00103962">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Pedidos de Mensagens de Utilizador Com Falhas</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corresponde ao número total de pedidos incluídos no Total de Pedidos de Mensagens de Utilizador para os quais o Microsoft Discovery não consegue devolver uma resposta devido a um erro de sistema no Microsoft Discovery. </w:t>
      </w:r>
    </w:p>
    <w:p w14:paraId="2BE5032D" w14:textId="77777777" w:rsidR="00103962" w:rsidRPr="00F122EA" w:rsidRDefault="00103962" w:rsidP="00103962">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Falhas causadas por: </w:t>
      </w:r>
    </w:p>
    <w:p w14:paraId="0BB79F01" w14:textId="77777777" w:rsidR="00103962" w:rsidRPr="00F122EA" w:rsidRDefault="00103962" w:rsidP="00103962">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Configuração incorreta do cliente </w:t>
      </w:r>
    </w:p>
    <w:p w14:paraId="1E5BB20C" w14:textId="77777777" w:rsidR="00103962" w:rsidRPr="00F122EA" w:rsidRDefault="00103962" w:rsidP="00103962">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Entradas inválidas </w:t>
      </w:r>
    </w:p>
    <w:p w14:paraId="3ECA312E" w14:textId="77777777" w:rsidR="00103962" w:rsidRPr="00F122EA" w:rsidRDefault="00103962" w:rsidP="00103962">
      <w:pPr>
        <w:numPr>
          <w:ilvl w:val="0"/>
          <w:numId w:val="38"/>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Os problemas de rede fora do Microsoft Discovery </w:t>
      </w:r>
    </w:p>
    <w:p w14:paraId="6DCD7BBD" w14:textId="77777777" w:rsidR="00103962" w:rsidRPr="00F122EA" w:rsidRDefault="00103962" w:rsidP="00103962">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não são contabilizadas como Pedidos de Mensagens de Utilizador Com Falhas. </w:t>
      </w:r>
    </w:p>
    <w:p w14:paraId="7F10ED2E" w14:textId="77777777" w:rsidR="00103962" w:rsidRDefault="00103962" w:rsidP="00103962">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Percentagem de Tempo de Atividade</w:t>
      </w:r>
      <w:r w:rsidRPr="00E15A8A">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A Percentagem de Tempo de Atividade é calculada através da seguinte fórmula:</w:t>
      </w:r>
    </w:p>
    <w:p w14:paraId="4767F0BA" w14:textId="77777777" w:rsidR="00103962" w:rsidRDefault="00000000" w:rsidP="00103962">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Pedidos de Mensagens de Utilizador - Pedidos de Mensagens de Utilizador com Falhas </m:t>
              </m:r>
            </m:num>
            <m:den>
              <m:r>
                <m:rPr>
                  <m:nor/>
                </m:rPr>
                <w:rPr>
                  <w:rFonts w:ascii="Cambria Math" w:hAnsi="Cambria Math" w:cs="Tahoma"/>
                  <w:i/>
                  <w:sz w:val="18"/>
                  <w:szCs w:val="18"/>
                </w:rPr>
                <m:t>Total de Pedidos de Mensagens de Utilizador</m:t>
              </m:r>
            </m:den>
          </m:f>
          <m:r>
            <w:rPr>
              <w:rFonts w:ascii="Cambria Math" w:hAnsi="Cambria Math" w:cs="Tahoma"/>
              <w:sz w:val="18"/>
              <w:szCs w:val="18"/>
            </w:rPr>
            <m:t xml:space="preserve"> </m:t>
          </m:r>
        </m:oMath>
      </m:oMathPara>
    </w:p>
    <w:p w14:paraId="798AE283" w14:textId="77777777" w:rsidR="00103962" w:rsidRPr="00E15A8A" w:rsidRDefault="00103962" w:rsidP="00103962">
      <w:pPr>
        <w:pStyle w:val="ProductList-Body"/>
        <w:rPr>
          <w:rFonts w:ascii="Calibri" w:hAnsi="Calibri" w:cs="Calibri"/>
          <w:b/>
          <w:bCs/>
          <w:color w:val="00188F"/>
        </w:rPr>
      </w:pPr>
      <w:r>
        <w:rPr>
          <w:rFonts w:ascii="Calibri" w:hAnsi="Calibri" w:cs="Calibri"/>
          <w:b/>
          <w:color w:val="00188F"/>
        </w:rPr>
        <w:t>Crédito de Serviço</w:t>
      </w:r>
      <w:r w:rsidRPr="00E15A8A">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03962" w:rsidRPr="00B44CF9" w14:paraId="5A61BFBD" w14:textId="77777777" w:rsidTr="00D91FE1">
        <w:trPr>
          <w:tblHeader/>
        </w:trPr>
        <w:tc>
          <w:tcPr>
            <w:tcW w:w="5400" w:type="dxa"/>
            <w:shd w:val="clear" w:color="auto" w:fill="0072C6"/>
          </w:tcPr>
          <w:p w14:paraId="6020BEB6" w14:textId="77777777" w:rsidR="00103962" w:rsidRPr="001B395F" w:rsidRDefault="00103962" w:rsidP="00D91FE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Tempo de Atividade</w:t>
            </w:r>
          </w:p>
        </w:tc>
        <w:tc>
          <w:tcPr>
            <w:tcW w:w="5400" w:type="dxa"/>
            <w:shd w:val="clear" w:color="auto" w:fill="0072C6"/>
          </w:tcPr>
          <w:p w14:paraId="63414786" w14:textId="77777777" w:rsidR="00103962" w:rsidRPr="001B395F" w:rsidRDefault="00103962" w:rsidP="00D91FE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103962" w:rsidRPr="00B44CF9" w14:paraId="2962C407" w14:textId="77777777" w:rsidTr="00D91FE1">
        <w:tc>
          <w:tcPr>
            <w:tcW w:w="5400" w:type="dxa"/>
          </w:tcPr>
          <w:p w14:paraId="73058A40" w14:textId="77777777" w:rsidR="00103962" w:rsidRPr="001B395F" w:rsidRDefault="00103962" w:rsidP="00D91FE1">
            <w:pPr>
              <w:pStyle w:val="ProductList-OfferingBody"/>
              <w:jc w:val="center"/>
              <w:rPr>
                <w:rFonts w:ascii="Calibri" w:hAnsi="Calibri" w:cs="Calibri"/>
                <w:szCs w:val="16"/>
              </w:rPr>
            </w:pPr>
            <w:r>
              <w:rPr>
                <w:rFonts w:ascii="Calibri" w:hAnsi="Calibri" w:cs="Calibri"/>
                <w:szCs w:val="16"/>
              </w:rPr>
              <w:t>&lt; 99,9%</w:t>
            </w:r>
          </w:p>
        </w:tc>
        <w:tc>
          <w:tcPr>
            <w:tcW w:w="5400" w:type="dxa"/>
          </w:tcPr>
          <w:p w14:paraId="3695BC3A" w14:textId="77777777" w:rsidR="00103962" w:rsidRPr="001B395F" w:rsidRDefault="00103962" w:rsidP="00D91FE1">
            <w:pPr>
              <w:pStyle w:val="ProductList-OfferingBody"/>
              <w:jc w:val="center"/>
              <w:rPr>
                <w:rFonts w:ascii="Calibri" w:hAnsi="Calibri" w:cs="Calibri"/>
                <w:szCs w:val="16"/>
              </w:rPr>
            </w:pPr>
            <w:r>
              <w:rPr>
                <w:rFonts w:ascii="Calibri" w:hAnsi="Calibri" w:cs="Calibri"/>
                <w:szCs w:val="16"/>
              </w:rPr>
              <w:t>10%</w:t>
            </w:r>
          </w:p>
        </w:tc>
      </w:tr>
    </w:tbl>
    <w:p w14:paraId="4D071AE8" w14:textId="77777777" w:rsidR="00103962" w:rsidRPr="001B46BF" w:rsidRDefault="00103962" w:rsidP="00103962">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Os pedidos rejeitados por o cliente ter excedido uma quota documentada, um limite de velocidade ou um limiar de limitação, bem como os pedidos recusados devido a falhas de autenticação ou autorização do cliente, são excluídos tanto do Total de Pedidos de Mensagens de Utilizador e </w:t>
      </w:r>
    </w:p>
    <w:p w14:paraId="24A0125F" w14:textId="77777777" w:rsidR="00103962" w:rsidRPr="001B46BF" w:rsidRDefault="00103962" w:rsidP="00103962">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Pedidos de Mensagens de Utilizador Com Falhas. </w:t>
      </w:r>
    </w:p>
    <w:p w14:paraId="2BED830E" w14:textId="77777777" w:rsidR="00103962" w:rsidRDefault="00103962" w:rsidP="00103962">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Os tempos de inatividade ou as falhas atribuíveis a serviços Microsoft a montante que tenham um contrato de nível de serviço próprio (incluindo, entre outros, o Azure OpenAI Service, a Pesquisa de IA do Azure e o Azure Machine Learning) não são contabilizados no tempo de atividade do Microsoft Discovery. Os compromissos de Nível de Serviço para esses serviços são regidos pelos SLA aplicáveis a cada um deles. Os períodos durante os quais o cliente não está aprovado ao abrigo do Quadro de Acesso Limitado aplicável, ou durante os quais a Microsoft tenha suspendido ou revogado o acesso do cliente por justa causa, são excluídos do Período Aplicável para efeitos do SLA. </w:t>
      </w:r>
    </w:p>
    <w:p w14:paraId="592807AC" w14:textId="77777777" w:rsidR="005A4BE0" w:rsidRPr="00EF7CF9" w:rsidRDefault="005A4BE0" w:rsidP="005A4BE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ED7DE4C" w14:textId="19CEDCC4" w:rsidR="00745257" w:rsidRDefault="00745257" w:rsidP="00E00488">
      <w:pPr>
        <w:pStyle w:val="ProductList-Offering2Heading"/>
        <w:tabs>
          <w:tab w:val="clear" w:pos="360"/>
          <w:tab w:val="clear" w:pos="720"/>
          <w:tab w:val="clear" w:pos="1080"/>
        </w:tabs>
        <w:outlineLvl w:val="2"/>
      </w:pPr>
      <w:bookmarkStart w:id="336" w:name="_Toc239176503"/>
      <w:r>
        <w:t>Microsoft Fabric</w:t>
      </w:r>
      <w:bookmarkEnd w:id="336"/>
    </w:p>
    <w:p w14:paraId="6A78041D" w14:textId="77777777" w:rsidR="00745257" w:rsidRPr="00917E39" w:rsidRDefault="00745257" w:rsidP="00745257">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Definições Adicionais</w:t>
      </w:r>
    </w:p>
    <w:p w14:paraId="1942CC24" w14:textId="77777777" w:rsidR="00745257" w:rsidRPr="00917E39" w:rsidRDefault="00745257" w:rsidP="00745257">
      <w:pPr>
        <w:pStyle w:val="ProductList-Body"/>
        <w:rPr>
          <w:rFonts w:ascii="Calibri" w:hAnsi="Calibri" w:cs="Calibri"/>
          <w:color w:val="000000" w:themeColor="text1"/>
        </w:rPr>
      </w:pPr>
      <w:r>
        <w:rPr>
          <w:rFonts w:ascii="Calibri" w:hAnsi="Calibri" w:cs="Calibri"/>
          <w:b/>
          <w:bCs/>
          <w:color w:val="00188F"/>
        </w:rPr>
        <w:t>Capacidade</w:t>
      </w:r>
      <w:r w:rsidRPr="00FF1FCB">
        <w:rPr>
          <w:rFonts w:ascii="Calibri" w:hAnsi="Calibri" w:cs="Calibri"/>
          <w:b/>
          <w:bCs/>
          <w:color w:val="00188F"/>
        </w:rPr>
        <w:t>:</w:t>
      </w:r>
      <w:r>
        <w:rPr>
          <w:rFonts w:ascii="Calibri" w:hAnsi="Calibri" w:cs="Calibri"/>
          <w:color w:val="000000" w:themeColor="text1"/>
        </w:rPr>
        <w:t xml:space="preserve"> A capacidade é um conjunto dedicado de recursos que está disponível num determinado momento para ser utilizado. A capacidade define a aptidão de um recurso para realizar uma atividade ou produzir resultados. Diferentes itens consomem diferentes capacidades num </w:t>
      </w:r>
      <w:r>
        <w:rPr>
          <w:rFonts w:ascii="Calibri" w:hAnsi="Calibri" w:cs="Calibri"/>
          <w:color w:val="000000" w:themeColor="text1"/>
        </w:rPr>
        <w:lastRenderedPageBreak/>
        <w:t xml:space="preserve">determinado momento. O Fabric oferece capacidade através de Avaliações e da SKU do Fabric. Para mais informações, consulte </w:t>
      </w:r>
      <w:hyperlink r:id="rId23" w:anchor="capacity" w:history="1">
        <w:r>
          <w:rPr>
            <w:rStyle w:val="Hyperlink"/>
            <w:rFonts w:ascii="Calibri" w:hAnsi="Calibri" w:cs="Calibri"/>
          </w:rPr>
          <w:t>O que é a capacidade</w:t>
        </w:r>
      </w:hyperlink>
      <w:r>
        <w:rPr>
          <w:rStyle w:val="Hyperlink"/>
          <w:rFonts w:ascii="Calibri" w:hAnsi="Calibri" w:cs="Calibri"/>
        </w:rPr>
        <w:t xml:space="preserve"> (</w:t>
      </w:r>
      <w:hyperlink r:id="rId24"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329E415E" w14:textId="77777777" w:rsidR="00745257" w:rsidRPr="00917E39" w:rsidRDefault="00745257" w:rsidP="00745257">
      <w:pPr>
        <w:pStyle w:val="ProductList-Body"/>
        <w:rPr>
          <w:rFonts w:ascii="Calibri" w:hAnsi="Calibri" w:cs="Calibri"/>
          <w:color w:val="000000" w:themeColor="text1"/>
        </w:rPr>
      </w:pPr>
      <w:r>
        <w:rPr>
          <w:rFonts w:ascii="Calibri" w:hAnsi="Calibri" w:cs="Calibri"/>
          <w:b/>
          <w:bCs/>
          <w:color w:val="00188F"/>
        </w:rPr>
        <w:t>Máximo de Minutos Disponíveis</w:t>
      </w:r>
      <w:r w:rsidRPr="00FF1FCB">
        <w:rPr>
          <w:rFonts w:ascii="Calibri" w:hAnsi="Calibri" w:cs="Calibri"/>
          <w:b/>
          <w:bCs/>
          <w:color w:val="00188F"/>
        </w:rPr>
        <w:t>:</w:t>
      </w:r>
      <w:r>
        <w:rPr>
          <w:rFonts w:ascii="Calibri" w:hAnsi="Calibri" w:cs="Calibri"/>
          <w:color w:val="000000" w:themeColor="text1"/>
        </w:rPr>
        <w:t xml:space="preserve"> A soma de todos os minutos durante os quais uma determinada Capacidade individual foi atribuída a uma instância durante um Período Aplicável para um determinado inquilino.</w:t>
      </w:r>
    </w:p>
    <w:p w14:paraId="7C3E8724" w14:textId="77777777" w:rsidR="00745257" w:rsidRPr="00917E39" w:rsidRDefault="00745257" w:rsidP="00840862">
      <w:pPr>
        <w:pStyle w:val="ProductList-Body"/>
        <w:rPr>
          <w:rFonts w:ascii="Calibri" w:hAnsi="Calibri" w:cs="Calibri"/>
          <w:color w:val="000000" w:themeColor="text1"/>
        </w:rPr>
      </w:pPr>
      <w:r>
        <w:rPr>
          <w:rFonts w:ascii="Calibri" w:hAnsi="Calibri" w:cs="Calibri"/>
          <w:b/>
          <w:bCs/>
          <w:color w:val="00188F"/>
        </w:rPr>
        <w:t>Minutos de Período de Indisponibilidade*</w:t>
      </w:r>
      <w:r w:rsidRPr="00FF1FCB">
        <w:rPr>
          <w:rFonts w:ascii="Calibri" w:hAnsi="Calibri" w:cs="Calibri"/>
          <w:b/>
          <w:bCs/>
          <w:color w:val="00188F"/>
        </w:rPr>
        <w:t>:</w:t>
      </w:r>
      <w:r>
        <w:rPr>
          <w:rFonts w:ascii="Calibri" w:hAnsi="Calibri" w:cs="Calibri"/>
          <w:color w:val="000000" w:themeColor="text1"/>
        </w:rPr>
        <w:t xml:space="preserve"> O total de minutos acumulados num Período Aplicável para uma determinada Capacidade, após a sua criação, ou antes de ser desaprovisionada, durante os quais não é possível utilizar a Capacidade em todas as funcionalidades aplicáveis do Fabrica listadas abaixo:</w:t>
      </w:r>
    </w:p>
    <w:p w14:paraId="05D361AC" w14:textId="77777777" w:rsidR="00745257" w:rsidRPr="00917E39" w:rsidRDefault="00745257" w:rsidP="00840862">
      <w:pPr>
        <w:pStyle w:val="ProductList-Body"/>
        <w:rPr>
          <w:rFonts w:ascii="Calibri" w:hAnsi="Calibri" w:cs="Calibri"/>
          <w:b/>
          <w:bCs/>
          <w:color w:val="00188F"/>
        </w:rPr>
      </w:pPr>
      <w:r>
        <w:rPr>
          <w:rFonts w:ascii="Calibri" w:hAnsi="Calibri" w:cs="Calibri"/>
          <w:b/>
          <w:bCs/>
          <w:color w:val="00188F"/>
        </w:rPr>
        <w:t>Power BI: redirecionar para a secção Power BI</w:t>
      </w:r>
    </w:p>
    <w:p w14:paraId="1956C50D" w14:textId="77777777" w:rsidR="00745257" w:rsidRPr="00917E39" w:rsidRDefault="00745257" w:rsidP="00840862">
      <w:pPr>
        <w:pStyle w:val="ProductList-Body"/>
        <w:ind w:left="187"/>
        <w:rPr>
          <w:rFonts w:ascii="Calibri" w:hAnsi="Calibri" w:cs="Calibri"/>
          <w:szCs w:val="18"/>
        </w:rPr>
      </w:pPr>
      <w:r>
        <w:rPr>
          <w:rFonts w:ascii="Calibri" w:hAnsi="Calibri" w:cs="Calibri"/>
          <w:b/>
          <w:color w:val="00188F"/>
        </w:rPr>
        <w:t>Ver:</w:t>
      </w:r>
      <w:r>
        <w:rPr>
          <w:rFonts w:ascii="Calibri" w:hAnsi="Calibri" w:cs="Calibri"/>
          <w:szCs w:val="18"/>
        </w:rPr>
        <w:t xml:space="preserve"> ver Dashboards, Relatórios e Aplicações do Power BI no serviço.</w:t>
      </w:r>
    </w:p>
    <w:p w14:paraId="30D234BA" w14:textId="77777777" w:rsidR="00745257" w:rsidRPr="00917E39" w:rsidRDefault="00745257" w:rsidP="00840862">
      <w:pPr>
        <w:pStyle w:val="ProductList-Body"/>
        <w:ind w:left="187"/>
        <w:rPr>
          <w:rFonts w:ascii="Calibri" w:hAnsi="Calibri" w:cs="Calibri"/>
          <w:szCs w:val="18"/>
        </w:rPr>
      </w:pPr>
      <w:r>
        <w:rPr>
          <w:rFonts w:ascii="Calibri" w:hAnsi="Calibri" w:cs="Calibri"/>
          <w:b/>
          <w:color w:val="00188F"/>
        </w:rPr>
        <w:t>Atualização do Conjunto de Dados:</w:t>
      </w:r>
      <w:r>
        <w:rPr>
          <w:rFonts w:ascii="Calibri" w:hAnsi="Calibri" w:cs="Calibri"/>
          <w:szCs w:val="18"/>
        </w:rPr>
        <w:t xml:space="preserve"> agendar ou acionar manualmente a operação de atualização e esperar que estas operações sejam concluídas dentro dos períodos esperados, tendo em consideração todas as condições que poderão afetar as velocidades de atualização (por exemplo, o tamanho do conjunto de dados).</w:t>
      </w:r>
    </w:p>
    <w:p w14:paraId="0B3D9578" w14:textId="77777777" w:rsidR="00745257" w:rsidRPr="00917E39" w:rsidRDefault="00745257" w:rsidP="00840862">
      <w:pPr>
        <w:pStyle w:val="ProductList-Body"/>
        <w:ind w:left="180"/>
        <w:rPr>
          <w:rFonts w:ascii="Calibri" w:hAnsi="Calibri" w:cs="Calibri"/>
          <w:szCs w:val="18"/>
        </w:rPr>
      </w:pPr>
      <w:r>
        <w:rPr>
          <w:rFonts w:ascii="Calibri" w:hAnsi="Calibri" w:cs="Calibri"/>
          <w:b/>
          <w:color w:val="00188F"/>
        </w:rPr>
        <w:t>Acesso ao Portal do Power BI:</w:t>
      </w:r>
      <w:r>
        <w:rPr>
          <w:rFonts w:ascii="Calibri" w:hAnsi="Calibri" w:cs="Calibri"/>
          <w:szCs w:val="18"/>
        </w:rPr>
        <w:t xml:space="preserve"> acesso e utilização do Portal do Power BI dentro dos períodos esperados, tendo em consideração as condições e as limitações da rede, locais do ambiente do cliente ou externas à Microsoft.</w:t>
      </w:r>
    </w:p>
    <w:p w14:paraId="549BE486" w14:textId="77777777" w:rsidR="00745257" w:rsidRPr="00917E39" w:rsidRDefault="00745257" w:rsidP="00840862">
      <w:pPr>
        <w:pStyle w:val="ProductList-Body"/>
        <w:rPr>
          <w:rFonts w:ascii="Calibri" w:hAnsi="Calibri" w:cs="Calibri"/>
          <w:b/>
          <w:bCs/>
          <w:color w:val="00188F"/>
        </w:rPr>
      </w:pPr>
      <w:r>
        <w:rPr>
          <w:rFonts w:ascii="Calibri" w:hAnsi="Calibri" w:cs="Calibri"/>
          <w:b/>
          <w:bCs/>
          <w:color w:val="00188F"/>
        </w:rPr>
        <w:t>Gestor de Dados</w:t>
      </w:r>
    </w:p>
    <w:p w14:paraId="7B9AD0E7" w14:textId="77777777" w:rsidR="00745257" w:rsidRPr="00917E39" w:rsidRDefault="00745257" w:rsidP="00840862">
      <w:pPr>
        <w:pStyle w:val="ProductList-Body"/>
        <w:ind w:left="187"/>
        <w:rPr>
          <w:rFonts w:ascii="Calibri" w:hAnsi="Calibri" w:cs="Calibri"/>
          <w:szCs w:val="18"/>
        </w:rPr>
      </w:pPr>
      <w:r>
        <w:rPr>
          <w:rFonts w:ascii="Calibri" w:hAnsi="Calibri" w:cs="Calibri"/>
          <w:b/>
          <w:color w:val="00188F"/>
        </w:rPr>
        <w:t>Atualização do Fluxo de Dados de Gen2:</w:t>
      </w:r>
      <w:r>
        <w:rPr>
          <w:rFonts w:ascii="Calibri" w:hAnsi="Calibri" w:cs="Calibri"/>
          <w:szCs w:val="18"/>
        </w:rPr>
        <w:t xml:space="preserve"> Agende ou acione manualmente uma operação de atualização e espere pela conclusão dessas operações.</w:t>
      </w:r>
    </w:p>
    <w:p w14:paraId="7D4D2127" w14:textId="77777777" w:rsidR="00745257" w:rsidRPr="00917E39" w:rsidRDefault="00745257" w:rsidP="00840862">
      <w:pPr>
        <w:pStyle w:val="ProductList-Body"/>
        <w:ind w:left="187"/>
        <w:rPr>
          <w:rFonts w:ascii="Calibri" w:hAnsi="Calibri" w:cs="Calibri"/>
          <w:szCs w:val="18"/>
        </w:rPr>
      </w:pPr>
      <w:r>
        <w:rPr>
          <w:rFonts w:ascii="Calibri" w:hAnsi="Calibri" w:cs="Calibri"/>
          <w:b/>
          <w:color w:val="00188F"/>
        </w:rPr>
        <w:t>Abrir Pipelin</w:t>
      </w:r>
      <w:r w:rsidRPr="00FF1FCB">
        <w:rPr>
          <w:rFonts w:ascii="Calibri" w:hAnsi="Calibri" w:cs="Calibri"/>
          <w:b/>
          <w:bCs/>
          <w:color w:val="00188F"/>
        </w:rPr>
        <w:t>e:</w:t>
      </w:r>
      <w:r>
        <w:rPr>
          <w:rFonts w:ascii="Calibri" w:hAnsi="Calibri" w:cs="Calibri"/>
          <w:szCs w:val="18"/>
        </w:rPr>
        <w:t xml:space="preserve"> abra Pipelines no serviço.</w:t>
      </w:r>
    </w:p>
    <w:p w14:paraId="12FDE376" w14:textId="77777777" w:rsidR="00745257" w:rsidRPr="00917E39" w:rsidRDefault="00745257" w:rsidP="00840862">
      <w:pPr>
        <w:pStyle w:val="ProductList-Body"/>
        <w:rPr>
          <w:rFonts w:ascii="Calibri" w:hAnsi="Calibri" w:cs="Calibri"/>
          <w:b/>
          <w:bCs/>
          <w:color w:val="00188F"/>
        </w:rPr>
      </w:pPr>
      <w:r>
        <w:rPr>
          <w:rFonts w:ascii="Calibri" w:hAnsi="Calibri" w:cs="Calibri"/>
          <w:b/>
          <w:bCs/>
          <w:color w:val="00188F"/>
        </w:rPr>
        <w:t>Engenharia de Dados</w:t>
      </w:r>
    </w:p>
    <w:p w14:paraId="310BD6F2" w14:textId="77777777" w:rsidR="00745257" w:rsidRPr="00917E39" w:rsidRDefault="00745257" w:rsidP="00840862">
      <w:pPr>
        <w:pStyle w:val="ProductList-Body"/>
        <w:ind w:left="187"/>
        <w:rPr>
          <w:rFonts w:ascii="Calibri" w:hAnsi="Calibri" w:cs="Calibri"/>
          <w:szCs w:val="18"/>
        </w:rPr>
      </w:pPr>
      <w:r>
        <w:rPr>
          <w:rFonts w:ascii="Calibri" w:hAnsi="Calibri" w:cs="Calibri"/>
          <w:b/>
          <w:color w:val="00188F"/>
        </w:rPr>
        <w:t xml:space="preserve">Abrir </w:t>
      </w:r>
      <w:r w:rsidRPr="00FF1FCB">
        <w:rPr>
          <w:rFonts w:ascii="Calibri" w:hAnsi="Calibri" w:cs="Calibri"/>
          <w:b/>
          <w:bCs/>
          <w:color w:val="00188F"/>
        </w:rPr>
        <w:t>Lakehouse:</w:t>
      </w:r>
      <w:r>
        <w:rPr>
          <w:rFonts w:ascii="Calibri" w:hAnsi="Calibri" w:cs="Calibri"/>
          <w:szCs w:val="18"/>
        </w:rPr>
        <w:t xml:space="preserve"> abra e veja uma Lakehouse no serviço.</w:t>
      </w:r>
    </w:p>
    <w:p w14:paraId="2E41DAC8" w14:textId="77777777" w:rsidR="00745257" w:rsidRPr="00917E39" w:rsidRDefault="00745257" w:rsidP="00840862">
      <w:pPr>
        <w:pStyle w:val="ProductList-Body"/>
        <w:ind w:left="187"/>
        <w:rPr>
          <w:rFonts w:ascii="Calibri" w:hAnsi="Calibri" w:cs="Calibri"/>
          <w:szCs w:val="18"/>
        </w:rPr>
      </w:pPr>
      <w:r>
        <w:rPr>
          <w:rFonts w:ascii="Calibri" w:hAnsi="Calibri" w:cs="Calibri"/>
          <w:b/>
          <w:color w:val="00188F"/>
        </w:rPr>
        <w:t>Abrir Bloco de Notas:</w:t>
      </w:r>
      <w:r>
        <w:rPr>
          <w:rFonts w:ascii="Calibri" w:hAnsi="Calibri" w:cs="Calibri"/>
          <w:szCs w:val="18"/>
        </w:rPr>
        <w:t xml:space="preserve"> abra e veja uma Bloco de Notas no serviço.</w:t>
      </w:r>
    </w:p>
    <w:p w14:paraId="4AEF2803" w14:textId="77777777" w:rsidR="00745257" w:rsidRDefault="00745257" w:rsidP="00840862">
      <w:pPr>
        <w:pStyle w:val="ProductList-Body"/>
        <w:ind w:left="187"/>
        <w:rPr>
          <w:rFonts w:ascii="Calibri" w:hAnsi="Calibri" w:cs="Calibri"/>
          <w:szCs w:val="18"/>
        </w:rPr>
      </w:pPr>
      <w:r>
        <w:rPr>
          <w:rFonts w:ascii="Calibri" w:hAnsi="Calibri" w:cs="Calibri"/>
          <w:b/>
          <w:color w:val="00188F"/>
        </w:rPr>
        <w:t xml:space="preserve">Abrir Definição de Trabalho do </w:t>
      </w:r>
      <w:r w:rsidRPr="00FF1FCB">
        <w:rPr>
          <w:rFonts w:ascii="Calibri" w:hAnsi="Calibri" w:cs="Calibri"/>
          <w:b/>
          <w:bCs/>
          <w:color w:val="00188F"/>
        </w:rPr>
        <w:t>Spark:</w:t>
      </w:r>
      <w:r>
        <w:rPr>
          <w:rFonts w:ascii="Calibri" w:hAnsi="Calibri" w:cs="Calibri"/>
          <w:szCs w:val="18"/>
        </w:rPr>
        <w:t xml:space="preserve"> abra e veja uma Definição de Trabalho de Spark no serviço.</w:t>
      </w:r>
    </w:p>
    <w:p w14:paraId="4B60D8E8" w14:textId="6F31CE7A" w:rsidR="0064688B" w:rsidRPr="0064688B" w:rsidRDefault="0064688B" w:rsidP="0064688B">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Abrir API para GraphQL:</w:t>
      </w:r>
      <w:r>
        <w:rPr>
          <w:rFonts w:ascii="Calibri" w:eastAsia="Calibri" w:hAnsi="Calibri" w:cs="Arial"/>
          <w:sz w:val="18"/>
          <w:szCs w:val="18"/>
        </w:rPr>
        <w:t xml:space="preserve"> abra e veja uma API de GraphQL no serviço.</w:t>
      </w:r>
    </w:p>
    <w:p w14:paraId="53DED228" w14:textId="77777777" w:rsidR="00745257" w:rsidRPr="00917E39" w:rsidRDefault="00745257" w:rsidP="00840862">
      <w:pPr>
        <w:pStyle w:val="ProductList-Body"/>
        <w:rPr>
          <w:rFonts w:ascii="Calibri" w:hAnsi="Calibri" w:cs="Calibri"/>
          <w:b/>
          <w:bCs/>
          <w:color w:val="00188F"/>
        </w:rPr>
      </w:pPr>
      <w:r>
        <w:rPr>
          <w:rFonts w:ascii="Calibri" w:hAnsi="Calibri" w:cs="Calibri"/>
          <w:b/>
          <w:bCs/>
          <w:color w:val="00188F"/>
        </w:rPr>
        <w:t>Ciência de Dados</w:t>
      </w:r>
    </w:p>
    <w:p w14:paraId="2D7734DF" w14:textId="6E896C9A" w:rsidR="00745257" w:rsidRPr="00917E39" w:rsidRDefault="00745257" w:rsidP="00840862">
      <w:pPr>
        <w:pStyle w:val="ProductList-Body"/>
        <w:ind w:left="187"/>
        <w:rPr>
          <w:rFonts w:ascii="Calibri" w:hAnsi="Calibri" w:cs="Calibri"/>
          <w:szCs w:val="18"/>
        </w:rPr>
      </w:pPr>
      <w:r>
        <w:rPr>
          <w:rFonts w:ascii="Calibri" w:hAnsi="Calibri" w:cs="Calibri"/>
          <w:b/>
          <w:color w:val="00188F"/>
        </w:rPr>
        <w:t>Abrir modelo ML:</w:t>
      </w:r>
      <w:r>
        <w:rPr>
          <w:rFonts w:ascii="Calibri" w:hAnsi="Calibri" w:cs="Calibri"/>
          <w:szCs w:val="18"/>
        </w:rPr>
        <w:t xml:space="preserve"> abra e veja os modelos ML no serviço.</w:t>
      </w:r>
    </w:p>
    <w:p w14:paraId="2A36AA59" w14:textId="77777777" w:rsidR="00462EB3" w:rsidRPr="00917E39" w:rsidRDefault="00462EB3" w:rsidP="00840862">
      <w:pPr>
        <w:pStyle w:val="ProductList-Body"/>
        <w:rPr>
          <w:rFonts w:ascii="Calibri" w:hAnsi="Calibri" w:cs="Calibri"/>
          <w:b/>
          <w:bCs/>
          <w:color w:val="00188F"/>
        </w:rPr>
      </w:pPr>
      <w:r>
        <w:rPr>
          <w:rFonts w:ascii="Calibri" w:hAnsi="Calibri" w:cs="Calibri"/>
          <w:b/>
          <w:bCs/>
          <w:color w:val="00188F"/>
        </w:rPr>
        <w:t>Armazém de Dados</w:t>
      </w:r>
    </w:p>
    <w:p w14:paraId="0E31D660" w14:textId="77777777" w:rsidR="00462EB3" w:rsidRPr="00917E39" w:rsidRDefault="00462EB3" w:rsidP="00840862">
      <w:pPr>
        <w:pStyle w:val="ProductList-Body"/>
        <w:ind w:left="187"/>
        <w:rPr>
          <w:rFonts w:ascii="Calibri" w:hAnsi="Calibri" w:cs="Calibri"/>
          <w:szCs w:val="18"/>
        </w:rPr>
      </w:pPr>
      <w:r>
        <w:rPr>
          <w:rFonts w:ascii="Calibri" w:hAnsi="Calibri" w:cs="Calibri"/>
          <w:b/>
          <w:color w:val="00188F"/>
        </w:rPr>
        <w:t>Abrir Base de Dados:</w:t>
      </w:r>
      <w:r>
        <w:rPr>
          <w:rFonts w:ascii="Calibri" w:hAnsi="Calibri" w:cs="Calibri"/>
          <w:szCs w:val="18"/>
        </w:rPr>
        <w:t xml:space="preserve"> abra e veja uma base de dados de Armazém de Dados no serviço.</w:t>
      </w:r>
    </w:p>
    <w:p w14:paraId="28F9E3A3" w14:textId="77777777" w:rsidR="00462EB3" w:rsidRPr="00917E39" w:rsidRDefault="00462EB3" w:rsidP="00840862">
      <w:pPr>
        <w:pStyle w:val="ProductList-Body"/>
        <w:rPr>
          <w:rFonts w:ascii="Calibri" w:hAnsi="Calibri" w:cs="Calibri"/>
          <w:b/>
          <w:bCs/>
          <w:color w:val="00188F"/>
        </w:rPr>
      </w:pPr>
      <w:r>
        <w:rPr>
          <w:rFonts w:ascii="Calibri" w:hAnsi="Calibri" w:cs="Calibri"/>
          <w:b/>
          <w:bCs/>
          <w:color w:val="00188F"/>
        </w:rPr>
        <w:t>Análise em Tempo Real</w:t>
      </w:r>
    </w:p>
    <w:p w14:paraId="159EB7FD" w14:textId="77777777" w:rsidR="00462EB3" w:rsidRPr="00917E39" w:rsidRDefault="00462EB3" w:rsidP="00840862">
      <w:pPr>
        <w:pStyle w:val="ProductList-Body"/>
        <w:ind w:left="187"/>
        <w:rPr>
          <w:rFonts w:ascii="Calibri" w:hAnsi="Calibri" w:cs="Calibri"/>
          <w:szCs w:val="18"/>
        </w:rPr>
      </w:pPr>
      <w:r>
        <w:rPr>
          <w:rFonts w:ascii="Calibri" w:hAnsi="Calibri" w:cs="Calibri"/>
          <w:b/>
          <w:color w:val="00188F"/>
        </w:rPr>
        <w:t>Abrir Eventstream:</w:t>
      </w:r>
      <w:r>
        <w:rPr>
          <w:rFonts w:ascii="Calibri" w:hAnsi="Calibri" w:cs="Calibri"/>
          <w:szCs w:val="18"/>
        </w:rPr>
        <w:t xml:space="preserve"> abra e veja Eventstreams no serviço.</w:t>
      </w:r>
    </w:p>
    <w:p w14:paraId="05051B3D" w14:textId="77777777" w:rsidR="00462EB3" w:rsidRPr="00917E39" w:rsidRDefault="00462EB3" w:rsidP="00840862">
      <w:pPr>
        <w:pStyle w:val="ProductList-Body"/>
        <w:ind w:left="187"/>
        <w:rPr>
          <w:rFonts w:ascii="Calibri" w:hAnsi="Calibri" w:cs="Calibri"/>
          <w:szCs w:val="18"/>
        </w:rPr>
      </w:pPr>
      <w:r>
        <w:rPr>
          <w:rFonts w:ascii="Calibri" w:hAnsi="Calibri" w:cs="Calibri"/>
          <w:b/>
          <w:bCs/>
          <w:color w:val="00188F"/>
        </w:rPr>
        <w:t>Abrir Base de Dados KQL:</w:t>
      </w:r>
      <w:r>
        <w:rPr>
          <w:rFonts w:ascii="Calibri" w:hAnsi="Calibri" w:cs="Calibri"/>
        </w:rPr>
        <w:t xml:space="preserve"> abra e veja uma base de dados KQL no serviço.</w:t>
      </w:r>
    </w:p>
    <w:p w14:paraId="62D7C8FF" w14:textId="77777777" w:rsidR="0027169B" w:rsidRPr="00A115EE" w:rsidRDefault="0027169B" w:rsidP="0027169B">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Base de Dados SQL</w:t>
      </w:r>
    </w:p>
    <w:p w14:paraId="0B46DA6C" w14:textId="77777777" w:rsidR="0027169B" w:rsidRDefault="0027169B" w:rsidP="0027169B">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“Base de Dados SQL” </w:t>
      </w:r>
      <w:r>
        <w:rPr>
          <w:rFonts w:ascii="Calibri" w:eastAsia="Times New Roman" w:hAnsi="Calibri" w:cs="Calibri"/>
          <w:sz w:val="18"/>
          <w:szCs w:val="18"/>
        </w:rPr>
        <w:t>designa qualquer base de dados SQL criada no espaço de trabalho do Microsoft Fabric.</w:t>
      </w:r>
    </w:p>
    <w:p w14:paraId="38361769" w14:textId="77777777" w:rsidR="0027169B" w:rsidRPr="007572A7" w:rsidRDefault="0027169B" w:rsidP="0027169B">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Abrir Base de Dados</w:t>
      </w:r>
      <w:r>
        <w:rPr>
          <w:rFonts w:ascii="Calibri" w:eastAsia="Times New Roman" w:hAnsi="Calibri" w:cs="Calibri"/>
          <w:sz w:val="18"/>
          <w:szCs w:val="18"/>
        </w:rPr>
        <w:t>: abra e veja uma base de dados SQL no serviço.</w:t>
      </w:r>
    </w:p>
    <w:p w14:paraId="0E2CD723" w14:textId="77777777" w:rsidR="0027169B" w:rsidRPr="00A115EE" w:rsidRDefault="0027169B" w:rsidP="0027169B">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694611D5" w14:textId="77777777" w:rsidR="0027169B" w:rsidRDefault="0027169B" w:rsidP="0027169B">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“Contentor Cosmos DB” </w:t>
      </w:r>
      <w:r>
        <w:rPr>
          <w:rFonts w:ascii="Calibri" w:eastAsia="Times New Roman" w:hAnsi="Calibri" w:cs="Calibri"/>
          <w:sz w:val="18"/>
          <w:szCs w:val="18"/>
        </w:rPr>
        <w:t>designa qualquer contentor Cosmos DB criado no espaço de trabalho do Microsoft Fabric.</w:t>
      </w:r>
    </w:p>
    <w:p w14:paraId="40271A74" w14:textId="77777777" w:rsidR="0027169B" w:rsidRPr="007572A7" w:rsidRDefault="0027169B" w:rsidP="0027169B">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Abrir Contentor</w:t>
      </w:r>
      <w:r>
        <w:rPr>
          <w:rFonts w:ascii="Calibri" w:eastAsia="Times New Roman" w:hAnsi="Calibri" w:cs="Calibri"/>
          <w:sz w:val="18"/>
          <w:szCs w:val="18"/>
        </w:rPr>
        <w:t>: abra e veja um contentor Cosmos DB no serviço.</w:t>
      </w:r>
    </w:p>
    <w:p w14:paraId="2FF29AB9" w14:textId="2C6BB915" w:rsidR="00462EB3" w:rsidRPr="00917E39" w:rsidRDefault="00462EB3" w:rsidP="00840862">
      <w:pPr>
        <w:pStyle w:val="ProductList-Body"/>
        <w:rPr>
          <w:rFonts w:ascii="Calibri" w:hAnsi="Calibri" w:cs="Calibri"/>
          <w:b/>
          <w:bCs/>
          <w:color w:val="00188F"/>
        </w:rPr>
      </w:pPr>
      <w:r>
        <w:rPr>
          <w:rFonts w:ascii="Calibri" w:hAnsi="Calibri" w:cs="Calibri"/>
          <w:b/>
          <w:bCs/>
          <w:color w:val="00188F"/>
        </w:rPr>
        <w:t>OneLake</w:t>
      </w:r>
    </w:p>
    <w:p w14:paraId="09268174" w14:textId="77777777" w:rsidR="00462EB3" w:rsidRPr="00917E39" w:rsidRDefault="00462EB3" w:rsidP="00840862">
      <w:pPr>
        <w:pStyle w:val="ProductList-Body"/>
        <w:ind w:left="187"/>
        <w:rPr>
          <w:rFonts w:ascii="Calibri" w:hAnsi="Calibri" w:cs="Calibri"/>
          <w:szCs w:val="18"/>
        </w:rPr>
      </w:pPr>
      <w:r>
        <w:rPr>
          <w:rFonts w:ascii="Calibri" w:hAnsi="Calibri" w:cs="Calibri"/>
          <w:b/>
          <w:bCs/>
          <w:color w:val="00188F"/>
        </w:rPr>
        <w:t xml:space="preserve">Transações de leitura de OneLake: </w:t>
      </w:r>
      <w:r>
        <w:rPr>
          <w:rFonts w:ascii="Calibri" w:hAnsi="Calibri" w:cs="Calibri"/>
        </w:rPr>
        <w:t>Quaisquer operações de leitura para APIs DFS de OneLake</w:t>
      </w:r>
      <w:r>
        <w:rPr>
          <w:rFonts w:ascii="Calibri" w:hAnsi="Calibri" w:cs="Calibri"/>
          <w:color w:val="00188F"/>
        </w:rPr>
        <w:t>.</w:t>
      </w:r>
    </w:p>
    <w:p w14:paraId="2540F53E" w14:textId="77777777" w:rsidR="00462EB3" w:rsidRDefault="00462EB3" w:rsidP="00462EB3">
      <w:pPr>
        <w:pStyle w:val="ProductList-Body"/>
        <w:rPr>
          <w:rFonts w:ascii="Calibri" w:hAnsi="Calibri" w:cs="Calibri"/>
          <w:color w:val="000000" w:themeColor="text1"/>
        </w:rPr>
      </w:pPr>
      <w:r>
        <w:rPr>
          <w:rFonts w:ascii="Calibri" w:hAnsi="Calibri" w:cs="Calibri"/>
          <w:b/>
          <w:bCs/>
          <w:color w:val="00188F"/>
        </w:rPr>
        <w:t>Percentagem de Período de Disponibilidade</w:t>
      </w:r>
      <w:r w:rsidRPr="00FF1FCB">
        <w:rPr>
          <w:rFonts w:ascii="Calibri" w:hAnsi="Calibri" w:cs="Calibri"/>
          <w:b/>
          <w:bCs/>
          <w:color w:val="00188F"/>
        </w:rPr>
        <w:t>:</w:t>
      </w:r>
      <w:r>
        <w:rPr>
          <w:rFonts w:ascii="Calibri" w:hAnsi="Calibri" w:cs="Calibri"/>
          <w:color w:val="000000" w:themeColor="text1"/>
        </w:rPr>
        <w:t xml:space="preserve"> A Percentagem de Período de Disponibilidade é calculada através da seguinte fórmula:</w:t>
      </w:r>
    </w:p>
    <w:p w14:paraId="480D048B" w14:textId="77777777" w:rsidR="00462EB3" w:rsidRPr="00EF7CF9" w:rsidRDefault="00000000" w:rsidP="002212EA">
      <w:pPr>
        <w:pStyle w:val="ListParagraph"/>
        <w:spacing w:before="120" w:after="120" w:line="240" w:lineRule="auto"/>
        <w:contextualSpacing w:val="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6742B1A" w14:textId="77777777" w:rsidR="00462EB3" w:rsidRPr="006D4D6A" w:rsidRDefault="00462EB3" w:rsidP="00462EB3">
      <w:pPr>
        <w:pStyle w:val="ProductList-Body"/>
        <w:rPr>
          <w:rFonts w:ascii="Calibri" w:hAnsi="Calibri" w:cs="Calibri"/>
        </w:rPr>
      </w:pPr>
      <w:r>
        <w:rPr>
          <w:rFonts w:ascii="Calibri" w:hAnsi="Calibri" w:cs="Calibri"/>
          <w:b/>
          <w:bCs/>
          <w:color w:val="00188F"/>
        </w:rPr>
        <w:t>*</w:t>
      </w:r>
      <w:r>
        <w:rPr>
          <w:rFonts w:ascii="Calibri" w:hAnsi="Calibri" w:cs="Calibri"/>
        </w:rPr>
        <w:t>Os Minutos de Período de Indisponibilidade não incluem qualquer período de tempo em que a incapacidade de utilizar as funcionalidades do Fabric numa determinada capacidade se deva à política de limitação do Microsoft Fabric.</w:t>
      </w:r>
    </w:p>
    <w:p w14:paraId="06B5659C" w14:textId="77777777" w:rsidR="00462EB3" w:rsidRPr="00917E39" w:rsidRDefault="00462EB3" w:rsidP="00462EB3">
      <w:pPr>
        <w:pStyle w:val="ProductList-Body"/>
        <w:rPr>
          <w:rFonts w:ascii="Calibri" w:hAnsi="Calibri" w:cs="Calibri"/>
          <w:b/>
        </w:rPr>
      </w:pPr>
      <w:r>
        <w:rPr>
          <w:rFonts w:ascii="Calibri" w:hAnsi="Calibri" w:cs="Calibri"/>
          <w:b/>
          <w:color w:val="00188F"/>
        </w:rPr>
        <w:t>Crédito de Serviço</w:t>
      </w:r>
      <w:r>
        <w:rPr>
          <w:rFonts w:ascii="Calibri" w:hAnsi="Calibri" w:cs="Calibri"/>
          <w:b/>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62EB3" w:rsidRPr="00B44CF9" w14:paraId="53477AAD" w14:textId="77777777" w:rsidTr="00710B68">
        <w:trPr>
          <w:tblHeader/>
        </w:trPr>
        <w:tc>
          <w:tcPr>
            <w:tcW w:w="5400" w:type="dxa"/>
            <w:shd w:val="clear" w:color="auto" w:fill="0072C6"/>
          </w:tcPr>
          <w:p w14:paraId="7807BF00" w14:textId="77777777" w:rsidR="00462EB3" w:rsidRPr="00EF7CF9" w:rsidRDefault="00462EB3" w:rsidP="00710B68">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C375F14" w14:textId="77777777" w:rsidR="00462EB3" w:rsidRPr="00EF7CF9" w:rsidRDefault="00462EB3" w:rsidP="00710B68">
            <w:pPr>
              <w:pStyle w:val="ProductList-OfferingBody"/>
              <w:jc w:val="center"/>
              <w:rPr>
                <w:color w:val="FFFFFF" w:themeColor="background1"/>
              </w:rPr>
            </w:pPr>
            <w:r>
              <w:rPr>
                <w:color w:val="FFFFFF" w:themeColor="background1"/>
              </w:rPr>
              <w:t>Crédito de Serviço</w:t>
            </w:r>
          </w:p>
        </w:tc>
      </w:tr>
      <w:tr w:rsidR="00462EB3" w:rsidRPr="00B44CF9" w14:paraId="2667F2EF" w14:textId="77777777" w:rsidTr="00710B68">
        <w:tc>
          <w:tcPr>
            <w:tcW w:w="5400" w:type="dxa"/>
          </w:tcPr>
          <w:p w14:paraId="783A14B6" w14:textId="77777777" w:rsidR="00462EB3" w:rsidRPr="00EF7CF9" w:rsidRDefault="00462EB3" w:rsidP="00710B68">
            <w:pPr>
              <w:pStyle w:val="ProductList-OfferingBody"/>
              <w:jc w:val="center"/>
            </w:pPr>
            <w:r>
              <w:t>&lt; 99,9%</w:t>
            </w:r>
          </w:p>
        </w:tc>
        <w:tc>
          <w:tcPr>
            <w:tcW w:w="5400" w:type="dxa"/>
          </w:tcPr>
          <w:p w14:paraId="67399076" w14:textId="77777777" w:rsidR="00462EB3" w:rsidRPr="00EF7CF9" w:rsidRDefault="00462EB3" w:rsidP="00710B68">
            <w:pPr>
              <w:pStyle w:val="ProductList-OfferingBody"/>
              <w:jc w:val="center"/>
            </w:pPr>
            <w:r>
              <w:t>10%</w:t>
            </w:r>
          </w:p>
        </w:tc>
      </w:tr>
      <w:tr w:rsidR="00462EB3" w:rsidRPr="00B44CF9" w14:paraId="5306862D" w14:textId="77777777" w:rsidTr="00710B68">
        <w:tc>
          <w:tcPr>
            <w:tcW w:w="5400" w:type="dxa"/>
          </w:tcPr>
          <w:p w14:paraId="7CDF7C29" w14:textId="77777777" w:rsidR="00462EB3" w:rsidRPr="00EF7CF9" w:rsidRDefault="00462EB3" w:rsidP="00710B68">
            <w:pPr>
              <w:pStyle w:val="ProductList-OfferingBody"/>
              <w:jc w:val="center"/>
            </w:pPr>
            <w:r>
              <w:t>&lt; 99%</w:t>
            </w:r>
          </w:p>
        </w:tc>
        <w:tc>
          <w:tcPr>
            <w:tcW w:w="5400" w:type="dxa"/>
          </w:tcPr>
          <w:p w14:paraId="24AB19B9" w14:textId="77777777" w:rsidR="00462EB3" w:rsidRPr="00EF7CF9" w:rsidRDefault="00462EB3" w:rsidP="00710B68">
            <w:pPr>
              <w:pStyle w:val="ProductList-OfferingBody"/>
              <w:jc w:val="center"/>
            </w:pPr>
            <w:r>
              <w:t>25%</w:t>
            </w:r>
          </w:p>
        </w:tc>
      </w:tr>
    </w:tbl>
    <w:p w14:paraId="3C56607D" w14:textId="77777777" w:rsidR="00462EB3" w:rsidRPr="00EF7CF9" w:rsidRDefault="00462EB3" w:rsidP="00462E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739C090" w14:textId="2381B0DD" w:rsidR="00CA66E5" w:rsidRPr="00EF7CF9" w:rsidRDefault="00CA66E5" w:rsidP="00A45F33">
      <w:pPr>
        <w:pStyle w:val="ProductList-Offering2Heading"/>
        <w:keepNext/>
        <w:keepLines/>
        <w:tabs>
          <w:tab w:val="clear" w:pos="360"/>
          <w:tab w:val="clear" w:pos="720"/>
          <w:tab w:val="clear" w:pos="1080"/>
        </w:tabs>
        <w:outlineLvl w:val="2"/>
      </w:pPr>
      <w:bookmarkStart w:id="337" w:name="_Toc239176504"/>
      <w:r>
        <w:t>Microsoft Genomics</w:t>
      </w:r>
      <w:bookmarkEnd w:id="334"/>
      <w:bookmarkEnd w:id="337"/>
    </w:p>
    <w:p w14:paraId="0D9D2ADC" w14:textId="77777777" w:rsidR="00CA66E5" w:rsidRPr="00F2068A" w:rsidRDefault="00CA66E5" w:rsidP="00A45F33">
      <w:pPr>
        <w:pStyle w:val="ProductList-Body"/>
        <w:keepNext/>
        <w:keepLines/>
        <w:rPr>
          <w:rFonts w:cstheme="minorHAnsi"/>
          <w:b/>
          <w:color w:val="00188F"/>
          <w:szCs w:val="18"/>
        </w:rPr>
      </w:pPr>
      <w:r w:rsidRPr="00F2068A">
        <w:rPr>
          <w:rFonts w:cstheme="minorHAnsi"/>
          <w:b/>
          <w:color w:val="00188F"/>
          <w:szCs w:val="18"/>
        </w:rPr>
        <w:t>Definições Adicionais</w:t>
      </w:r>
      <w:r w:rsidRPr="00473DD3">
        <w:rPr>
          <w:rFonts w:cstheme="minorHAnsi"/>
          <w:b/>
          <w:color w:val="00188F"/>
          <w:szCs w:val="18"/>
        </w:rPr>
        <w:t>:</w:t>
      </w:r>
    </w:p>
    <w:p w14:paraId="6181E587" w14:textId="60CF2B12" w:rsidR="00CA66E5" w:rsidRPr="006F3CBD" w:rsidRDefault="00380305" w:rsidP="00F01ED6">
      <w:pPr>
        <w:spacing w:after="0" w:line="240" w:lineRule="auto"/>
        <w:rPr>
          <w:rFonts w:cstheme="minorHAnsi"/>
          <w:strike/>
          <w:sz w:val="18"/>
          <w:szCs w:val="18"/>
        </w:rPr>
      </w:pPr>
      <w:r>
        <w:rPr>
          <w:rFonts w:cstheme="minorHAnsi"/>
          <w:sz w:val="18"/>
          <w:szCs w:val="18"/>
        </w:rPr>
        <w:t>“</w:t>
      </w:r>
      <w:r w:rsidR="00CA66E5" w:rsidRPr="00F2068A">
        <w:rPr>
          <w:rFonts w:eastAsiaTheme="minorEastAsia" w:cstheme="minorHAnsi"/>
          <w:b/>
          <w:color w:val="00188F"/>
          <w:sz w:val="18"/>
          <w:szCs w:val="18"/>
        </w:rPr>
        <w:t>Máximo de Minutos Disponíveis</w:t>
      </w:r>
      <w:r>
        <w:rPr>
          <w:rFonts w:cstheme="minorHAnsi"/>
          <w:sz w:val="18"/>
          <w:szCs w:val="18"/>
        </w:rPr>
        <w:t>”</w:t>
      </w:r>
      <w:r w:rsidR="00CA66E5" w:rsidRPr="00F2068A">
        <w:rPr>
          <w:rFonts w:cstheme="minorHAnsi"/>
          <w:sz w:val="18"/>
          <w:szCs w:val="18"/>
        </w:rPr>
        <w:t xml:space="preserve"> é o número total de minutos acumulados para todas as contas do Microsoft Genomics criadas pelo Cliente e</w:t>
      </w:r>
      <w:r w:rsidR="005E5DC2">
        <w:rPr>
          <w:rFonts w:cstheme="minorHAnsi"/>
          <w:sz w:val="18"/>
          <w:szCs w:val="18"/>
        </w:rPr>
        <w:t> </w:t>
      </w:r>
      <w:r w:rsidR="00CA66E5" w:rsidRPr="00F2068A">
        <w:rPr>
          <w:rFonts w:cstheme="minorHAnsi"/>
          <w:sz w:val="18"/>
          <w:szCs w:val="18"/>
        </w:rPr>
        <w:t>ativas durante um Período Aplicável para uma determinada Subscrição do Microsoft Azure.</w:t>
      </w:r>
    </w:p>
    <w:p w14:paraId="4F4F614E" w14:textId="579BD7E0" w:rsidR="00CA66E5" w:rsidRPr="006F3CBD" w:rsidRDefault="00380305" w:rsidP="00F01ED6">
      <w:pPr>
        <w:spacing w:after="0" w:line="240" w:lineRule="auto"/>
        <w:rPr>
          <w:rFonts w:cstheme="minorHAnsi"/>
          <w:sz w:val="18"/>
          <w:szCs w:val="18"/>
        </w:rPr>
      </w:pPr>
      <w:r>
        <w:rPr>
          <w:rFonts w:cstheme="minorHAnsi"/>
          <w:sz w:val="18"/>
          <w:szCs w:val="18"/>
        </w:rPr>
        <w:lastRenderedPageBreak/>
        <w:t>“</w:t>
      </w:r>
      <w:r w:rsidR="00CA66E5" w:rsidRPr="00F2068A">
        <w:rPr>
          <w:rFonts w:cstheme="minorHAnsi"/>
          <w:b/>
          <w:color w:val="00188F"/>
          <w:sz w:val="18"/>
          <w:szCs w:val="18"/>
        </w:rPr>
        <w:t>Período de Indisponibilidade</w:t>
      </w:r>
      <w:r>
        <w:rPr>
          <w:rFonts w:cstheme="minorHAnsi"/>
          <w:sz w:val="18"/>
          <w:szCs w:val="18"/>
        </w:rPr>
        <w:t>”</w:t>
      </w:r>
      <w:r w:rsidR="00CA66E5" w:rsidRPr="00F2068A">
        <w:rPr>
          <w:rFonts w:cstheme="minorHAnsi"/>
          <w:sz w:val="18"/>
          <w:szCs w:val="18"/>
        </w:rPr>
        <w:t xml:space="preserve"> é o número total de minutos no Máximo de Minutos Disponíveis durante o qual o Microsoft Genomics está indisponível. Um minuto é considerado indisponível se todas as tentativas contínuas para enviar pedidos autenticados da API REST do serviço Genomics nesse minuto devolverem um Código de Erro ou não responderem com uma confirmação nesse minuto. </w:t>
      </w:r>
    </w:p>
    <w:p w14:paraId="3354D171" w14:textId="523044E7" w:rsidR="00CA66E5" w:rsidRPr="006F3CBD" w:rsidRDefault="00CA66E5" w:rsidP="00F01ED6">
      <w:pPr>
        <w:spacing w:after="0" w:line="240" w:lineRule="auto"/>
        <w:rPr>
          <w:rFonts w:cstheme="minorHAnsi"/>
          <w:sz w:val="18"/>
          <w:szCs w:val="18"/>
        </w:rPr>
      </w:pPr>
      <w:r w:rsidRPr="00F2068A">
        <w:rPr>
          <w:rFonts w:cstheme="minorHAnsi"/>
          <w:sz w:val="18"/>
          <w:szCs w:val="18"/>
        </w:rPr>
        <w:t xml:space="preserve">A </w:t>
      </w:r>
      <w:r w:rsidR="00380305">
        <w:rPr>
          <w:rFonts w:cstheme="minorHAnsi"/>
          <w:sz w:val="18"/>
          <w:szCs w:val="18"/>
        </w:rPr>
        <w:t>“</w:t>
      </w:r>
      <w:r w:rsidRPr="00F2068A">
        <w:rPr>
          <w:rFonts w:cstheme="minorHAnsi"/>
          <w:b/>
          <w:color w:val="00188F"/>
          <w:sz w:val="18"/>
          <w:szCs w:val="18"/>
        </w:rPr>
        <w:t>Percentagem de Período de Disponibilidade</w:t>
      </w:r>
      <w:r w:rsidR="00380305">
        <w:rPr>
          <w:rFonts w:cstheme="minorHAnsi"/>
          <w:sz w:val="18"/>
          <w:szCs w:val="18"/>
        </w:rPr>
        <w:t>”</w:t>
      </w:r>
      <w:r w:rsidRPr="00F2068A">
        <w:rPr>
          <w:rFonts w:cstheme="minorHAnsi"/>
          <w:sz w:val="18"/>
          <w:szCs w:val="18"/>
        </w:rPr>
        <w:t xml:space="preserve"> para o Microsoft Genomics é calculada com a seguinte fórmula:</w:t>
      </w:r>
    </w:p>
    <w:p w14:paraId="39B2D33A" w14:textId="79F54080" w:rsidR="00CA66E5" w:rsidRPr="00F90F7C" w:rsidRDefault="00000000" w:rsidP="00D67D10">
      <w:pPr>
        <w:spacing w:before="120" w:after="0" w:line="240" w:lineRule="auto"/>
        <w:rPr>
          <w:sz w:val="18"/>
          <w:szCs w:val="18"/>
          <w:lang w:val="pt-BR"/>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C5E3343" w14:textId="77777777" w:rsidR="00CA66E5" w:rsidRPr="00EF7CF9" w:rsidRDefault="00CA66E5" w:rsidP="00F01ED6">
      <w:pPr>
        <w:pStyle w:val="ProductList-Body"/>
      </w:pPr>
      <w:r>
        <w:rPr>
          <w:b/>
          <w:color w:val="00188F"/>
        </w:rPr>
        <w:t>Crédito de Serviço</w:t>
      </w:r>
      <w:r w:rsidRPr="00473DD3">
        <w:rPr>
          <w:b/>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0F31B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907318" w:rsidRDefault="00AC48A7" w:rsidP="00840862">
            <w:pPr>
              <w:spacing w:before="20" w:after="20"/>
              <w:ind w:left="-14" w:right="-101"/>
              <w:jc w:val="center"/>
              <w:rPr>
                <w:sz w:val="16"/>
                <w:szCs w:val="16"/>
              </w:rPr>
            </w:pPr>
            <w:r w:rsidRPr="00907318">
              <w:rPr>
                <w:sz w:val="16"/>
                <w:szCs w:val="16"/>
              </w:rPr>
              <w:t xml:space="preserve">Percentagem de Período de Disponibilidade </w:t>
            </w:r>
          </w:p>
        </w:tc>
        <w:tc>
          <w:tcPr>
            <w:tcW w:w="2500" w:type="pct"/>
            <w:shd w:val="clear" w:color="auto" w:fill="0070C0"/>
          </w:tcPr>
          <w:p w14:paraId="316D33D9" w14:textId="77777777" w:rsidR="00CA66E5" w:rsidRPr="00907318" w:rsidRDefault="00CA66E5" w:rsidP="00840862">
            <w:pPr>
              <w:spacing w:before="20" w:after="20"/>
              <w:ind w:left="-14" w:right="-101"/>
              <w:jc w:val="center"/>
              <w:cnfStyle w:val="100000000000" w:firstRow="1" w:lastRow="0" w:firstColumn="0" w:lastColumn="0" w:oddVBand="0" w:evenVBand="0" w:oddHBand="0" w:evenHBand="0" w:firstRowFirstColumn="0" w:firstRowLastColumn="0" w:lastRowFirstColumn="0" w:lastRowLastColumn="0"/>
              <w:rPr>
                <w:sz w:val="16"/>
                <w:szCs w:val="16"/>
              </w:rPr>
            </w:pPr>
            <w:r w:rsidRPr="00907318">
              <w:rPr>
                <w:sz w:val="16"/>
                <w:szCs w:val="16"/>
              </w:rPr>
              <w:t>Crédito de Serviço</w:t>
            </w:r>
          </w:p>
        </w:tc>
      </w:tr>
      <w:tr w:rsidR="00CA66E5" w:rsidRPr="00B44CF9" w14:paraId="3B15BAC8"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907318" w:rsidRDefault="00CA66E5" w:rsidP="00840862">
            <w:pPr>
              <w:spacing w:before="20" w:after="20"/>
              <w:ind w:left="-14" w:right="-101"/>
              <w:jc w:val="center"/>
              <w:rPr>
                <w:b w:val="0"/>
                <w:sz w:val="16"/>
                <w:szCs w:val="16"/>
              </w:rPr>
            </w:pPr>
            <w:r w:rsidRPr="00907318">
              <w:rPr>
                <w:b w:val="0"/>
                <w:sz w:val="16"/>
                <w:szCs w:val="16"/>
              </w:rPr>
              <w:t>&lt; 99,9%</w:t>
            </w:r>
          </w:p>
        </w:tc>
        <w:tc>
          <w:tcPr>
            <w:tcW w:w="2500" w:type="pct"/>
          </w:tcPr>
          <w:p w14:paraId="79C5FA06" w14:textId="77777777" w:rsidR="00CA66E5" w:rsidRPr="00907318" w:rsidRDefault="00CA66E5" w:rsidP="00840862">
            <w:pPr>
              <w:spacing w:before="20" w:after="20"/>
              <w:ind w:left="-1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907318">
              <w:rPr>
                <w:sz w:val="16"/>
                <w:szCs w:val="16"/>
              </w:rPr>
              <w:t>10%</w:t>
            </w:r>
          </w:p>
        </w:tc>
      </w:tr>
      <w:tr w:rsidR="00CA66E5" w:rsidRPr="00B44CF9" w14:paraId="5E3CD5E4"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907318" w:rsidRDefault="00CA66E5" w:rsidP="00840862">
            <w:pPr>
              <w:spacing w:before="20" w:after="20"/>
              <w:ind w:left="-14" w:right="-101"/>
              <w:jc w:val="center"/>
              <w:rPr>
                <w:b w:val="0"/>
                <w:sz w:val="16"/>
                <w:szCs w:val="16"/>
              </w:rPr>
            </w:pPr>
            <w:r w:rsidRPr="00907318">
              <w:rPr>
                <w:b w:val="0"/>
                <w:sz w:val="16"/>
                <w:szCs w:val="16"/>
              </w:rPr>
              <w:t>&lt; 99%</w:t>
            </w:r>
          </w:p>
        </w:tc>
        <w:tc>
          <w:tcPr>
            <w:tcW w:w="2500" w:type="pct"/>
          </w:tcPr>
          <w:p w14:paraId="06F0C832" w14:textId="77777777" w:rsidR="00CA66E5" w:rsidRPr="00907318" w:rsidRDefault="00CA66E5" w:rsidP="00840862">
            <w:pPr>
              <w:spacing w:before="20" w:after="20"/>
              <w:ind w:left="-1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907318">
              <w:rPr>
                <w:sz w:val="16"/>
                <w:szCs w:val="16"/>
              </w:rPr>
              <w:t>25%</w:t>
            </w:r>
          </w:p>
        </w:tc>
      </w:tr>
    </w:tbl>
    <w:bookmarkStart w:id="338" w:name="_Toc457821566"/>
    <w:bookmarkStart w:id="339" w:name="_Toc52348975"/>
    <w:bookmarkEnd w:id="335"/>
    <w:p w14:paraId="06B442D6"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146ADC00" w14:textId="77777777" w:rsidR="00BC2336" w:rsidRPr="000E3757" w:rsidRDefault="00BC2336" w:rsidP="00BC2336">
      <w:pPr>
        <w:pStyle w:val="ProductList-Offering2Heading"/>
        <w:keepNext/>
        <w:tabs>
          <w:tab w:val="clear" w:pos="360"/>
          <w:tab w:val="clear" w:pos="720"/>
          <w:tab w:val="clear" w:pos="1080"/>
        </w:tabs>
        <w:outlineLvl w:val="2"/>
        <w:rPr>
          <w:rFonts w:ascii="Calibri Light" w:hAnsi="Calibri Light" w:cs="Calibri Light"/>
          <w:lang w:val="en-US"/>
        </w:rPr>
      </w:pPr>
      <w:bookmarkStart w:id="340" w:name="_Toc230011454"/>
      <w:bookmarkStart w:id="341" w:name="_Toc239176505"/>
      <w:r w:rsidRPr="000E3757">
        <w:rPr>
          <w:rFonts w:ascii="Calibri Light" w:hAnsi="Calibri Light" w:cs="Calibri Light"/>
          <w:lang w:val="en-US"/>
        </w:rPr>
        <w:t>Microsoft Planetary Computer Pro – SLA:</w:t>
      </w:r>
      <w:bookmarkEnd w:id="340"/>
      <w:bookmarkEnd w:id="341"/>
    </w:p>
    <w:p w14:paraId="6286B01C" w14:textId="77777777" w:rsidR="00BC2336" w:rsidRPr="00E13F9B" w:rsidRDefault="00BC2336" w:rsidP="00BC2336">
      <w:pPr>
        <w:pStyle w:val="ProductList-Body"/>
        <w:rPr>
          <w:rFonts w:ascii="Calibri" w:hAnsi="Calibri" w:cs="Calibri"/>
        </w:rPr>
      </w:pPr>
      <w:r>
        <w:rPr>
          <w:rFonts w:ascii="Calibri" w:hAnsi="Calibri" w:cs="Calibri"/>
          <w:b/>
          <w:color w:val="00188F"/>
          <w:szCs w:val="18"/>
        </w:rPr>
        <w:t>“Total de Tentativas de Transação”</w:t>
      </w:r>
      <w:r>
        <w:rPr>
          <w:rFonts w:ascii="Calibri" w:hAnsi="Calibri" w:cs="Calibri"/>
        </w:rPr>
        <w:t xml:space="preserve"> designa o número total de pedidos da API autenticadas efetuados pelo Cliente para uma determinada API de Planetary Computer Pro durante um Período Aplicável numa determinada subscrição do Microsoft Azure. Cada operação com um código de estado acessível ao utilizador será considerada uma tentativa de Transação. O Total de Tentativas de Transação não inclui os pedidos de API autenticados que devolvem um Código de Erro e que são repetidos continuamente num intervalo de cinco minutos após a receção do primeiro Código de Erro.</w:t>
      </w:r>
    </w:p>
    <w:p w14:paraId="641F0048" w14:textId="77777777" w:rsidR="00BC2336" w:rsidRPr="00E13F9B" w:rsidRDefault="00BC2336" w:rsidP="00BC2336">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“Transações Falhadas”</w:t>
      </w:r>
      <w:r>
        <w:rPr>
          <w:rFonts w:ascii="Calibri" w:hAnsi="Calibri" w:cs="Calibri"/>
          <w:sz w:val="18"/>
          <w:szCs w:val="18"/>
        </w:rPr>
        <w:t xml:space="preserve"> é o conjunto de todos os pedidos incluídos no Total de Tentativas de Transação que resultam num Código de Erro ou que, de outro modo, não devolvem um Código de Êxito no prazo de 60 segundos após a receção por parte do Serviço. As Transações Falhadas </w:t>
      </w:r>
      <w:r>
        <w:rPr>
          <w:rFonts w:ascii="Calibri" w:eastAsia="Times New Roman" w:hAnsi="Calibri" w:cs="Calibri"/>
          <w:color w:val="242424"/>
          <w:sz w:val="18"/>
          <w:szCs w:val="18"/>
          <w:bdr w:val="none" w:sz="0" w:space="0" w:color="auto" w:frame="1"/>
        </w:rPr>
        <w:t>não incluem pedidos de API autenticados assíncronos que demorem mais de 60 segundos a ser concluídos devido a erros do utilizador.</w:t>
      </w:r>
    </w:p>
    <w:p w14:paraId="145AA965" w14:textId="77777777" w:rsidR="00BC2336" w:rsidRPr="00244F03" w:rsidRDefault="00BC2336" w:rsidP="00BC2336">
      <w:pPr>
        <w:shd w:val="clear" w:color="auto" w:fill="FFFFFF"/>
        <w:spacing w:after="0" w:line="240" w:lineRule="auto"/>
        <w:rPr>
          <w:rFonts w:ascii="Calibri" w:eastAsia="Times New Roman" w:hAnsi="Calibri" w:cs="Calibri"/>
          <w:color w:val="242424"/>
          <w:sz w:val="18"/>
          <w:szCs w:val="18"/>
        </w:rPr>
      </w:pPr>
      <w:r w:rsidRPr="00D40378">
        <w:rPr>
          <w:rFonts w:ascii="Calibri" w:eastAsia="Times New Roman" w:hAnsi="Calibri" w:cs="Calibri"/>
          <w:color w:val="242424"/>
          <w:sz w:val="18"/>
          <w:szCs w:val="18"/>
          <w:bdr w:val="none" w:sz="0" w:space="0" w:color="auto" w:frame="1"/>
        </w:rPr>
        <w:t xml:space="preserve">A </w:t>
      </w:r>
      <w:r>
        <w:rPr>
          <w:rFonts w:ascii="Calibri" w:hAnsi="Calibri" w:cs="Calibri"/>
          <w:b/>
          <w:color w:val="00188F"/>
          <w:sz w:val="18"/>
          <w:szCs w:val="18"/>
        </w:rPr>
        <w:t>“Percentagem de Tempo de Atividade”</w:t>
      </w:r>
      <w:r>
        <w:rPr>
          <w:rFonts w:ascii="Calibri" w:eastAsia="Times New Roman" w:hAnsi="Calibri" w:cs="Calibri"/>
          <w:color w:val="242424"/>
          <w:sz w:val="18"/>
          <w:szCs w:val="18"/>
          <w:bdr w:val="none" w:sz="0" w:space="0" w:color="auto" w:frame="1"/>
        </w:rPr>
        <w:t xml:space="preserve"> para uma determinada API de Planetary Computer Pro é calculada como o Total de Tentativas de Transação menos as Transações Falhadas a dividir pelo Total de Tentativas de Transação multiplicado por 100.</w:t>
      </w:r>
    </w:p>
    <w:p w14:paraId="752135FF" w14:textId="77777777" w:rsidR="00BC2336" w:rsidRPr="00244F03" w:rsidRDefault="00BC2336" w:rsidP="00BC2336">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A Percentagem de Tempo de Atividade é calculada através da seguinte fórmula:</w:t>
      </w:r>
    </w:p>
    <w:p w14:paraId="16215B38" w14:textId="77777777" w:rsidR="00BC2336" w:rsidRPr="00DB462E" w:rsidRDefault="00000000" w:rsidP="00BC2336">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Falhadas</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8B53642" w14:textId="77777777" w:rsidR="00BC2336" w:rsidRPr="00784C9D" w:rsidRDefault="00BC2336" w:rsidP="00BC2336">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Os seguintes Níveis de Serviço e Crédito de Serviço são aplicáveis à utilização do Planetary Computer Pro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336" w14:paraId="5689978C" w14:textId="77777777" w:rsidTr="00E1735E">
        <w:trPr>
          <w:trHeight w:val="245"/>
          <w:tblHeader/>
        </w:trPr>
        <w:tc>
          <w:tcPr>
            <w:tcW w:w="5400" w:type="dxa"/>
            <w:shd w:val="clear" w:color="auto" w:fill="0072C6"/>
          </w:tcPr>
          <w:p w14:paraId="7AEF3D51" w14:textId="77777777" w:rsidR="00BC2336" w:rsidRPr="00BE16CF" w:rsidRDefault="00BC2336"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Tempo de Atividade</w:t>
            </w:r>
          </w:p>
        </w:tc>
        <w:tc>
          <w:tcPr>
            <w:tcW w:w="5400" w:type="dxa"/>
            <w:shd w:val="clear" w:color="auto" w:fill="0072C6"/>
          </w:tcPr>
          <w:p w14:paraId="4710473C" w14:textId="77777777" w:rsidR="00BC2336" w:rsidRPr="00BE16CF" w:rsidRDefault="00BC2336"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BC2336" w14:paraId="562762D9" w14:textId="77777777" w:rsidTr="00E1735E">
        <w:trPr>
          <w:trHeight w:val="245"/>
        </w:trPr>
        <w:tc>
          <w:tcPr>
            <w:tcW w:w="5400" w:type="dxa"/>
          </w:tcPr>
          <w:p w14:paraId="7787AC06" w14:textId="77777777" w:rsidR="00BC2336" w:rsidRPr="00BE16CF" w:rsidRDefault="00BC2336" w:rsidP="00E1735E">
            <w:pPr>
              <w:pStyle w:val="ProductList-OfferingBody"/>
              <w:jc w:val="center"/>
              <w:rPr>
                <w:rFonts w:ascii="Calibri" w:hAnsi="Calibri" w:cs="Calibri"/>
                <w:szCs w:val="16"/>
              </w:rPr>
            </w:pPr>
            <w:r>
              <w:rPr>
                <w:rFonts w:ascii="Calibri" w:hAnsi="Calibri" w:cs="Calibri"/>
                <w:szCs w:val="16"/>
              </w:rPr>
              <w:t>&lt; 99,9%</w:t>
            </w:r>
          </w:p>
        </w:tc>
        <w:tc>
          <w:tcPr>
            <w:tcW w:w="5400" w:type="dxa"/>
          </w:tcPr>
          <w:p w14:paraId="2ADF5E0A" w14:textId="77777777" w:rsidR="00BC2336" w:rsidRPr="00BE16CF" w:rsidRDefault="00BC2336" w:rsidP="00E1735E">
            <w:pPr>
              <w:pStyle w:val="ProductList-OfferingBody"/>
              <w:jc w:val="center"/>
              <w:rPr>
                <w:rFonts w:ascii="Calibri" w:hAnsi="Calibri" w:cs="Calibri"/>
                <w:szCs w:val="16"/>
              </w:rPr>
            </w:pPr>
            <w:r>
              <w:rPr>
                <w:rFonts w:ascii="Calibri" w:hAnsi="Calibri" w:cs="Calibri"/>
                <w:szCs w:val="16"/>
              </w:rPr>
              <w:t>25%</w:t>
            </w:r>
          </w:p>
        </w:tc>
      </w:tr>
      <w:tr w:rsidR="00BC2336" w14:paraId="31649382" w14:textId="77777777" w:rsidTr="00E1735E">
        <w:trPr>
          <w:trHeight w:val="245"/>
        </w:trPr>
        <w:tc>
          <w:tcPr>
            <w:tcW w:w="5400" w:type="dxa"/>
          </w:tcPr>
          <w:p w14:paraId="40080808" w14:textId="77777777" w:rsidR="00BC2336" w:rsidRPr="00BE16CF" w:rsidRDefault="00BC2336" w:rsidP="00E1735E">
            <w:pPr>
              <w:pStyle w:val="ProductList-OfferingBody"/>
              <w:jc w:val="center"/>
              <w:rPr>
                <w:rFonts w:ascii="Calibri" w:hAnsi="Calibri" w:cs="Calibri"/>
                <w:szCs w:val="16"/>
              </w:rPr>
            </w:pPr>
            <w:r>
              <w:rPr>
                <w:rFonts w:ascii="Calibri" w:hAnsi="Calibri" w:cs="Calibri"/>
                <w:szCs w:val="16"/>
              </w:rPr>
              <w:t>&lt; 99%</w:t>
            </w:r>
          </w:p>
        </w:tc>
        <w:tc>
          <w:tcPr>
            <w:tcW w:w="5400" w:type="dxa"/>
          </w:tcPr>
          <w:p w14:paraId="0F28F5A6" w14:textId="77777777" w:rsidR="00BC2336" w:rsidRPr="00BE16CF" w:rsidRDefault="00BC2336" w:rsidP="00E1735E">
            <w:pPr>
              <w:pStyle w:val="ProductList-OfferingBody"/>
              <w:jc w:val="center"/>
              <w:rPr>
                <w:rFonts w:ascii="Calibri" w:hAnsi="Calibri" w:cs="Calibri"/>
                <w:szCs w:val="16"/>
              </w:rPr>
            </w:pPr>
            <w:r>
              <w:rPr>
                <w:rFonts w:ascii="Calibri" w:hAnsi="Calibri" w:cs="Calibri"/>
                <w:szCs w:val="16"/>
              </w:rPr>
              <w:t>50%</w:t>
            </w:r>
          </w:p>
        </w:tc>
      </w:tr>
      <w:tr w:rsidR="00BC2336" w14:paraId="2A271010" w14:textId="77777777" w:rsidTr="00E1735E">
        <w:trPr>
          <w:trHeight w:val="245"/>
        </w:trPr>
        <w:tc>
          <w:tcPr>
            <w:tcW w:w="5400" w:type="dxa"/>
          </w:tcPr>
          <w:p w14:paraId="7A7BB086" w14:textId="77777777" w:rsidR="00BC2336" w:rsidRPr="00BE16CF" w:rsidRDefault="00BC2336" w:rsidP="00E1735E">
            <w:pPr>
              <w:pStyle w:val="ProductList-OfferingBody"/>
              <w:jc w:val="center"/>
              <w:rPr>
                <w:rFonts w:ascii="Calibri" w:hAnsi="Calibri" w:cs="Calibri"/>
                <w:szCs w:val="16"/>
              </w:rPr>
            </w:pPr>
            <w:r>
              <w:rPr>
                <w:rFonts w:ascii="Calibri" w:hAnsi="Calibri" w:cs="Calibri"/>
                <w:szCs w:val="16"/>
              </w:rPr>
              <w:t>&lt; 95%</w:t>
            </w:r>
          </w:p>
        </w:tc>
        <w:tc>
          <w:tcPr>
            <w:tcW w:w="5400" w:type="dxa"/>
          </w:tcPr>
          <w:p w14:paraId="762FFDC3" w14:textId="77777777" w:rsidR="00BC2336" w:rsidRPr="00BE16CF" w:rsidRDefault="00BC2336" w:rsidP="00E1735E">
            <w:pPr>
              <w:pStyle w:val="ProductList-OfferingBody"/>
              <w:jc w:val="center"/>
              <w:rPr>
                <w:rFonts w:ascii="Calibri" w:hAnsi="Calibri" w:cs="Calibri"/>
                <w:szCs w:val="16"/>
              </w:rPr>
            </w:pPr>
            <w:r>
              <w:rPr>
                <w:rFonts w:ascii="Calibri" w:hAnsi="Calibri" w:cs="Calibri"/>
                <w:szCs w:val="16"/>
              </w:rPr>
              <w:t>100%</w:t>
            </w:r>
          </w:p>
        </w:tc>
      </w:tr>
    </w:tbl>
    <w:p w14:paraId="3CDD0722" w14:textId="77777777" w:rsidR="00BC2336" w:rsidRPr="00EF7CF9" w:rsidRDefault="00BC2336" w:rsidP="00BC23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D2F2ABD" w14:textId="3DCCA625" w:rsidR="00D066A8" w:rsidRPr="00D066A8" w:rsidRDefault="00D066A8" w:rsidP="00F01ED6">
      <w:pPr>
        <w:pStyle w:val="ProductList-Offering2Heading"/>
        <w:keepNext/>
        <w:tabs>
          <w:tab w:val="clear" w:pos="360"/>
          <w:tab w:val="clear" w:pos="720"/>
          <w:tab w:val="clear" w:pos="1080"/>
        </w:tabs>
        <w:outlineLvl w:val="2"/>
      </w:pPr>
      <w:bookmarkStart w:id="342" w:name="_Toc239176506"/>
      <w:r>
        <w:t>Microsoft Sentinel</w:t>
      </w:r>
      <w:bookmarkEnd w:id="342"/>
    </w:p>
    <w:p w14:paraId="4587874D" w14:textId="77777777" w:rsidR="00D066A8" w:rsidRPr="00CB7596" w:rsidRDefault="00D066A8" w:rsidP="00F01ED6">
      <w:pPr>
        <w:keepNext/>
        <w:shd w:val="clear" w:color="auto" w:fill="FFFFFF"/>
        <w:spacing w:after="0" w:line="240" w:lineRule="auto"/>
        <w:rPr>
          <w:rFonts w:ascii="Calibri" w:eastAsia="Times New Roman" w:hAnsi="Calibri" w:cs="Calibri"/>
          <w:color w:val="000000"/>
          <w:sz w:val="18"/>
          <w:szCs w:val="18"/>
        </w:rPr>
      </w:pPr>
      <w:r w:rsidRPr="00CB7596">
        <w:rPr>
          <w:rFonts w:ascii="Calibri" w:eastAsia="Times New Roman" w:hAnsi="Calibri" w:cs="Calibri"/>
          <w:b/>
          <w:bCs/>
          <w:color w:val="00188F"/>
          <w:sz w:val="18"/>
          <w:szCs w:val="18"/>
          <w:bdr w:val="none" w:sz="0" w:space="0" w:color="auto" w:frame="1"/>
        </w:rPr>
        <w:t>Definições Adicionais</w:t>
      </w:r>
      <w:r w:rsidRPr="00473DD3">
        <w:rPr>
          <w:rFonts w:ascii="Calibri" w:eastAsia="Times New Roman" w:hAnsi="Calibri" w:cs="Calibri"/>
          <w:b/>
          <w:bCs/>
          <w:color w:val="00188F"/>
          <w:sz w:val="18"/>
          <w:szCs w:val="18"/>
          <w:bdr w:val="none" w:sz="0" w:space="0" w:color="auto" w:frame="1"/>
        </w:rPr>
        <w:t>:</w:t>
      </w:r>
      <w:r w:rsidRPr="00CB7596">
        <w:rPr>
          <w:rFonts w:ascii="Calibri" w:eastAsia="Times New Roman" w:hAnsi="Calibri" w:cs="Calibri"/>
          <w:color w:val="000000"/>
          <w:sz w:val="18"/>
          <w:szCs w:val="18"/>
          <w:bdr w:val="none" w:sz="0" w:space="0" w:color="auto" w:frame="1"/>
        </w:rPr>
        <w:t> </w:t>
      </w:r>
    </w:p>
    <w:p w14:paraId="7B5E6B83" w14:textId="34968C7E" w:rsidR="00D066A8" w:rsidRPr="00CB7596" w:rsidRDefault="00380305" w:rsidP="00F01ED6">
      <w:pPr>
        <w:shd w:val="clear" w:color="auto" w:fill="FFFFFF"/>
        <w:spacing w:after="0" w:line="240" w:lineRule="auto"/>
        <w:rPr>
          <w:rFonts w:ascii="Calibri" w:eastAsia="Times New Roman" w:hAnsi="Calibri" w:cs="Calibri"/>
          <w:color w:val="000000"/>
          <w:sz w:val="18"/>
          <w:szCs w:val="18"/>
        </w:rPr>
      </w:pPr>
      <w:r w:rsidRPr="00CB7596">
        <w:rPr>
          <w:sz w:val="18"/>
          <w:szCs w:val="18"/>
        </w:rPr>
        <w:t>“</w:t>
      </w:r>
      <w:r w:rsidR="00D066A8" w:rsidRPr="00CB7596">
        <w:rPr>
          <w:rFonts w:ascii="Calibri" w:eastAsia="Times New Roman" w:hAnsi="Calibri" w:cs="Calibri"/>
          <w:b/>
          <w:bCs/>
          <w:color w:val="00188F"/>
          <w:sz w:val="18"/>
          <w:szCs w:val="18"/>
          <w:bdr w:val="none" w:sz="0" w:space="0" w:color="auto" w:frame="1"/>
        </w:rPr>
        <w:t>Máximo de Minutos Disponíveis</w:t>
      </w:r>
      <w:r w:rsidRPr="00CB7596">
        <w:rPr>
          <w:sz w:val="18"/>
          <w:szCs w:val="18"/>
        </w:rPr>
        <w:t>”</w:t>
      </w:r>
      <w:r w:rsidR="00D066A8" w:rsidRPr="00CB7596">
        <w:rPr>
          <w:rFonts w:ascii="Calibri" w:eastAsia="Times New Roman" w:hAnsi="Calibri" w:cs="Calibri"/>
          <w:color w:val="000000"/>
          <w:sz w:val="18"/>
          <w:szCs w:val="18"/>
          <w:bdr w:val="none" w:sz="0" w:space="0" w:color="auto" w:frame="1"/>
        </w:rPr>
        <w:t> é o número total de minutos durante os quais um determinado Microsoft Sentinel foi implementado pelo Cliente numa subscrição do Microsoft Azure durante um Período Aplicável.</w:t>
      </w:r>
    </w:p>
    <w:p w14:paraId="704F78EC" w14:textId="57D0CDD6" w:rsidR="00D066A8" w:rsidRPr="00CB7596" w:rsidRDefault="00380305" w:rsidP="00F01ED6">
      <w:pPr>
        <w:shd w:val="clear" w:color="auto" w:fill="FFFFFF"/>
        <w:spacing w:after="0" w:line="240" w:lineRule="auto"/>
        <w:rPr>
          <w:rFonts w:ascii="Calibri" w:eastAsia="Times New Roman" w:hAnsi="Calibri" w:cs="Calibri"/>
          <w:color w:val="000000"/>
          <w:sz w:val="18"/>
          <w:szCs w:val="18"/>
        </w:rPr>
      </w:pPr>
      <w:r w:rsidRPr="00CB7596">
        <w:rPr>
          <w:sz w:val="18"/>
          <w:szCs w:val="18"/>
        </w:rPr>
        <w:t>“</w:t>
      </w:r>
      <w:r w:rsidR="00D066A8" w:rsidRPr="00CB7596">
        <w:rPr>
          <w:rFonts w:ascii="Calibri" w:eastAsia="Times New Roman" w:hAnsi="Calibri" w:cs="Calibri"/>
          <w:b/>
          <w:bCs/>
          <w:color w:val="00188F"/>
          <w:sz w:val="18"/>
          <w:szCs w:val="18"/>
          <w:bdr w:val="none" w:sz="0" w:space="0" w:color="auto" w:frame="1"/>
        </w:rPr>
        <w:t>Período de Indisponibilidade</w:t>
      </w:r>
      <w:r w:rsidRPr="00CB7596">
        <w:rPr>
          <w:sz w:val="18"/>
          <w:szCs w:val="18"/>
        </w:rPr>
        <w:t>”</w:t>
      </w:r>
      <w:r w:rsidR="00D066A8" w:rsidRPr="00CB7596">
        <w:rPr>
          <w:rFonts w:ascii="Calibri" w:eastAsia="Times New Roman" w:hAnsi="Calibri" w:cs="Calibri"/>
          <w:color w:val="000000"/>
          <w:sz w:val="18"/>
          <w:szCs w:val="18"/>
          <w:bdr w:val="none" w:sz="0" w:space="0" w:color="auto" w:frame="1"/>
        </w:rPr>
        <w:t> é número total de minutos dentro do Máximo de Minutos Disponíveis durante os quais os dados do Microsoft Sentinel estão indisponíveis. Um minuto será considerado indisponível para um determinado Azure Sentinel durante o que nenhuma operação de</w:t>
      </w:r>
      <w:r w:rsidR="003E7D23">
        <w:rPr>
          <w:rFonts w:ascii="Calibri" w:eastAsia="Times New Roman" w:hAnsi="Calibri" w:cs="Calibri"/>
          <w:color w:val="000000"/>
          <w:sz w:val="18"/>
          <w:szCs w:val="18"/>
          <w:bdr w:val="none" w:sz="0" w:space="0" w:color="auto" w:frame="1"/>
        </w:rPr>
        <w:t> </w:t>
      </w:r>
      <w:r w:rsidR="00D066A8" w:rsidRPr="00CB7596">
        <w:rPr>
          <w:rFonts w:ascii="Calibri" w:eastAsia="Times New Roman" w:hAnsi="Calibri" w:cs="Calibri"/>
          <w:color w:val="000000"/>
          <w:sz w:val="18"/>
          <w:szCs w:val="18"/>
          <w:bdr w:val="none" w:sz="0" w:space="0" w:color="auto" w:frame="1"/>
        </w:rPr>
        <w:t>HTTP resultou um Código de Êxito.</w:t>
      </w:r>
    </w:p>
    <w:p w14:paraId="33DEEB26" w14:textId="729F8402" w:rsidR="00D066A8" w:rsidRPr="00CB7596" w:rsidRDefault="00D066A8" w:rsidP="00F01ED6">
      <w:pPr>
        <w:shd w:val="clear" w:color="auto" w:fill="FFFFFF"/>
        <w:spacing w:after="0" w:line="240" w:lineRule="auto"/>
        <w:rPr>
          <w:rFonts w:ascii="Calibri" w:eastAsia="Times New Roman" w:hAnsi="Calibri" w:cs="Calibri"/>
          <w:color w:val="000000"/>
          <w:sz w:val="18"/>
          <w:szCs w:val="18"/>
        </w:rPr>
      </w:pPr>
      <w:r w:rsidRPr="00CB7596">
        <w:rPr>
          <w:sz w:val="18"/>
          <w:szCs w:val="18"/>
        </w:rPr>
        <w:t xml:space="preserve">A </w:t>
      </w:r>
      <w:r w:rsidR="00380305" w:rsidRPr="00CB7596">
        <w:rPr>
          <w:sz w:val="18"/>
        </w:rPr>
        <w:t>“</w:t>
      </w:r>
      <w:r w:rsidRPr="00CB7596">
        <w:rPr>
          <w:rFonts w:ascii="Calibri" w:eastAsia="Times New Roman" w:hAnsi="Calibri" w:cs="Calibri"/>
          <w:b/>
          <w:bCs/>
          <w:color w:val="00188F"/>
          <w:sz w:val="18"/>
          <w:szCs w:val="18"/>
          <w:bdr w:val="none" w:sz="0" w:space="0" w:color="auto" w:frame="1"/>
        </w:rPr>
        <w:t>Percentagem de Disponibilidade para Consulta</w:t>
      </w:r>
      <w:r w:rsidR="00380305" w:rsidRPr="00CB7596">
        <w:rPr>
          <w:sz w:val="18"/>
        </w:rPr>
        <w:t>”</w:t>
      </w:r>
      <w:r w:rsidRPr="00CB7596">
        <w:rPr>
          <w:rFonts w:ascii="Calibri" w:eastAsia="Times New Roman" w:hAnsi="Calibri" w:cs="Calibri"/>
          <w:color w:val="000000"/>
          <w:sz w:val="18"/>
          <w:szCs w:val="18"/>
          <w:bdr w:val="none" w:sz="0" w:space="0" w:color="auto" w:frame="1"/>
        </w:rPr>
        <w:t> de um determinado Microsoft Sentinel é calculada como o Máximo de Minutos Disponíveis menos o Período de Indisponibilidade, dividido pelo Máximo de Minutos Disponíveis a multiplicar por 100.</w:t>
      </w:r>
    </w:p>
    <w:p w14:paraId="11D4D5FC" w14:textId="6E3E332A" w:rsidR="00D066A8" w:rsidRPr="00CB7596" w:rsidRDefault="00D066A8" w:rsidP="00F01ED6">
      <w:pPr>
        <w:shd w:val="clear" w:color="auto" w:fill="FFFFFF"/>
        <w:spacing w:after="0" w:line="240" w:lineRule="auto"/>
        <w:rPr>
          <w:rFonts w:ascii="Calibri" w:eastAsia="Times New Roman" w:hAnsi="Calibri" w:cs="Calibri"/>
          <w:color w:val="000000"/>
          <w:sz w:val="18"/>
          <w:szCs w:val="18"/>
        </w:rPr>
      </w:pPr>
      <w:r w:rsidRPr="00CB7596">
        <w:rPr>
          <w:rFonts w:ascii="Calibri" w:eastAsia="Times New Roman" w:hAnsi="Calibri" w:cs="Calibri"/>
          <w:b/>
          <w:bCs/>
          <w:color w:val="00188F"/>
          <w:sz w:val="18"/>
          <w:szCs w:val="18"/>
          <w:bdr w:val="none" w:sz="0" w:space="0" w:color="auto" w:frame="1"/>
        </w:rPr>
        <w:t>Percentagem de Disponibilidade para Consulta</w:t>
      </w:r>
      <w:r w:rsidRPr="00473DD3">
        <w:rPr>
          <w:rFonts w:ascii="Calibri" w:eastAsia="Times New Roman" w:hAnsi="Calibri" w:cs="Calibri"/>
          <w:b/>
          <w:bCs/>
          <w:color w:val="00188F"/>
          <w:sz w:val="18"/>
          <w:szCs w:val="18"/>
          <w:bdr w:val="none" w:sz="0" w:space="0" w:color="auto" w:frame="1"/>
        </w:rPr>
        <w:t>:</w:t>
      </w:r>
      <w:r w:rsidRPr="00CB7596">
        <w:rPr>
          <w:rFonts w:ascii="Calibri" w:eastAsia="Times New Roman" w:hAnsi="Calibri" w:cs="Calibri"/>
          <w:color w:val="000000"/>
          <w:sz w:val="18"/>
          <w:szCs w:val="18"/>
          <w:bdr w:val="none" w:sz="0" w:space="0" w:color="auto" w:frame="1"/>
        </w:rPr>
        <w:t xml:space="preserve"> A Percentagem de Disponibilidade para Consulta é calculada utilizando a seguinte fórmula: </w:t>
      </w:r>
    </w:p>
    <w:p w14:paraId="059D190A" w14:textId="77777777" w:rsidR="00D066A8" w:rsidRPr="00E90A02" w:rsidRDefault="00D066A8" w:rsidP="00F01ED6">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Crédito de Serviço</w:t>
      </w:r>
      <w:r w:rsidRPr="00473DD3">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D9543D">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F01ED6">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Percentagem de Disponibilidade para Consulta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F01ED6">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Serviço </w:t>
            </w:r>
          </w:p>
        </w:tc>
      </w:tr>
      <w:tr w:rsidR="00D066A8" w:rsidRPr="00E90A02" w14:paraId="2A541A90" w14:textId="77777777" w:rsidTr="00907318">
        <w:trPr>
          <w:trHeight w:val="178"/>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F01ED6">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F01ED6">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D066A8" w:rsidRPr="00E90A02" w14:paraId="28F9A805" w14:textId="77777777" w:rsidTr="00907318">
        <w:trPr>
          <w:trHeight w:val="142"/>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F01ED6">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F01ED6">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bookmarkStart w:id="343" w:name="ServiceSpecificTerms_Azure_MobileServ"/>
    <w:bookmarkEnd w:id="343"/>
    <w:p w14:paraId="6F2F42D2"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4451F0F" w14:textId="5CB1FCFB" w:rsidR="00CA66E5" w:rsidRPr="00EF7CF9" w:rsidRDefault="00CA66E5" w:rsidP="00762971">
      <w:pPr>
        <w:pStyle w:val="ProductList-Offering2Heading"/>
        <w:keepNext/>
        <w:pageBreakBefore/>
        <w:tabs>
          <w:tab w:val="clear" w:pos="360"/>
          <w:tab w:val="clear" w:pos="720"/>
          <w:tab w:val="clear" w:pos="1080"/>
        </w:tabs>
        <w:outlineLvl w:val="2"/>
      </w:pPr>
      <w:bookmarkStart w:id="344" w:name="_Toc239176507"/>
      <w:r>
        <w:lastRenderedPageBreak/>
        <w:t>Serviços Móveis</w:t>
      </w:r>
      <w:bookmarkEnd w:id="338"/>
      <w:bookmarkEnd w:id="339"/>
      <w:bookmarkEnd w:id="344"/>
    </w:p>
    <w:p w14:paraId="4AC57098" w14:textId="77777777" w:rsidR="00CA66E5" w:rsidRPr="00EF7CF9" w:rsidRDefault="00CA66E5" w:rsidP="00F01ED6">
      <w:pPr>
        <w:pStyle w:val="ProductList-Body"/>
      </w:pPr>
      <w:r>
        <w:rPr>
          <w:b/>
          <w:color w:val="00188F"/>
        </w:rPr>
        <w:t>Definições Adicionais</w:t>
      </w:r>
      <w:r w:rsidRPr="00473DD3">
        <w:rPr>
          <w:b/>
          <w:color w:val="00188F"/>
        </w:rPr>
        <w:t>:</w:t>
      </w:r>
    </w:p>
    <w:p w14:paraId="137D5183" w14:textId="04190CEC" w:rsidR="00CA66E5" w:rsidRPr="00EF7CF9" w:rsidRDefault="00380305" w:rsidP="00F01ED6">
      <w:pPr>
        <w:pStyle w:val="ProductList-Body"/>
      </w:pPr>
      <w:r>
        <w:t>“</w:t>
      </w:r>
      <w:r w:rsidR="00CA66E5">
        <w:rPr>
          <w:b/>
          <w:color w:val="00188F"/>
        </w:rPr>
        <w:t>Transações com Falha</w:t>
      </w:r>
      <w:r>
        <w:t>”</w:t>
      </w:r>
      <w:r w:rsidR="00CA66E5">
        <w:t xml:space="preserve"> </w:t>
      </w:r>
      <w:r w:rsidR="00CA66E5">
        <w:rPr>
          <w:rFonts w:eastAsia="Times New Roman"/>
        </w:rPr>
        <w:t>incluem quaisquer chamadas de API incluídas no Total de Tentativas de Transação que resultam num Código de Erro ou</w:t>
      </w:r>
      <w:r w:rsidR="00175C81">
        <w:rPr>
          <w:rFonts w:eastAsia="Times New Roman"/>
        </w:rPr>
        <w:t> </w:t>
      </w:r>
      <w:r w:rsidR="00CA66E5">
        <w:rPr>
          <w:rFonts w:eastAsia="Times New Roman"/>
        </w:rPr>
        <w:t>que não devolvem um Código de Êxito.</w:t>
      </w:r>
    </w:p>
    <w:p w14:paraId="49ACBD58" w14:textId="073DB131" w:rsidR="00CA66E5" w:rsidRPr="00EF7CF9" w:rsidRDefault="00CA66E5" w:rsidP="00F01ED6">
      <w:pPr>
        <w:pStyle w:val="ProductList-Body"/>
      </w:pPr>
      <w:r>
        <w:t xml:space="preserve">O </w:t>
      </w:r>
      <w:r w:rsidR="00380305">
        <w:t>“</w:t>
      </w:r>
      <w:r>
        <w:rPr>
          <w:b/>
          <w:color w:val="00188F"/>
        </w:rPr>
        <w:t>Total de Tentativas de Transação</w:t>
      </w:r>
      <w:r w:rsidR="00380305">
        <w:t>”</w:t>
      </w:r>
      <w:r>
        <w:t xml:space="preserve"> é </w:t>
      </w:r>
      <w:r>
        <w:rPr>
          <w:rFonts w:eastAsia="Times New Roman"/>
        </w:rPr>
        <w:t>o total de chamadas de API acumuladas efetuadas aos Serviços Móveis do Azure durante um Período Aplicável para uma determinada subscrição do Microsoft Azure para a qual os Serviços Móveis do Azure estão em execução</w:t>
      </w:r>
      <w:r>
        <w:t>.</w:t>
      </w:r>
    </w:p>
    <w:p w14:paraId="361A6A1C" w14:textId="3C0B06C6" w:rsidR="00CA66E5"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097EAC56" w14:textId="1E3A930D" w:rsidR="00CA66E5" w:rsidRPr="00EF7CF9" w:rsidRDefault="00000000" w:rsidP="00271701">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Tentativas de Transação - Transações com Falha</m:t>
              </m:r>
            </m:num>
            <m:den>
              <m:r>
                <m:rPr>
                  <m:nor/>
                </m:rPr>
                <w:rPr>
                  <w:rFonts w:ascii="Cambria Math" w:hAnsi="Cambria Math" w:cs="Tahoma"/>
                  <w:i/>
                  <w:iCs/>
                  <w:color w:val="000000" w:themeColor="text1"/>
                  <w:sz w:val="18"/>
                  <w:szCs w:val="18"/>
                </w:rPr>
                <m:t>Total de Tentativas de Transação</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227F7E4" w14:textId="77777777" w:rsidR="00CA66E5" w:rsidRPr="00EF7CF9" w:rsidRDefault="00CA66E5" w:rsidP="00F01ED6">
            <w:pPr>
              <w:pStyle w:val="ProductList-OfferingBody"/>
              <w:jc w:val="center"/>
              <w:rPr>
                <w:color w:val="FFFFFF" w:themeColor="background1"/>
              </w:rPr>
            </w:pPr>
            <w:r>
              <w:rPr>
                <w:color w:val="FFFFFF" w:themeColor="background1"/>
              </w:rPr>
              <w:t>Crédito de Serviço</w:t>
            </w:r>
          </w:p>
        </w:tc>
      </w:tr>
      <w:tr w:rsidR="00CA66E5" w:rsidRPr="00B44CF9" w14:paraId="7917301A" w14:textId="77777777" w:rsidTr="00277097">
        <w:tc>
          <w:tcPr>
            <w:tcW w:w="5400" w:type="dxa"/>
          </w:tcPr>
          <w:p w14:paraId="66B91960" w14:textId="77777777" w:rsidR="00CA66E5" w:rsidRPr="00EF7CF9" w:rsidRDefault="00CA66E5" w:rsidP="00F01ED6">
            <w:pPr>
              <w:pStyle w:val="ProductList-OfferingBody"/>
              <w:jc w:val="center"/>
            </w:pPr>
            <w:r>
              <w:t>&lt; 99,9%</w:t>
            </w:r>
          </w:p>
        </w:tc>
        <w:tc>
          <w:tcPr>
            <w:tcW w:w="5400" w:type="dxa"/>
          </w:tcPr>
          <w:p w14:paraId="660F6EB6" w14:textId="77777777" w:rsidR="00CA66E5" w:rsidRPr="00EF7CF9" w:rsidRDefault="00CA66E5" w:rsidP="00F01ED6">
            <w:pPr>
              <w:pStyle w:val="ProductList-OfferingBody"/>
              <w:jc w:val="center"/>
            </w:pPr>
            <w:r>
              <w:t>10%</w:t>
            </w:r>
          </w:p>
        </w:tc>
      </w:tr>
      <w:tr w:rsidR="00CA66E5" w:rsidRPr="00B44CF9" w14:paraId="50C34805" w14:textId="77777777" w:rsidTr="00277097">
        <w:tc>
          <w:tcPr>
            <w:tcW w:w="5400" w:type="dxa"/>
          </w:tcPr>
          <w:p w14:paraId="099D5C8B" w14:textId="77777777" w:rsidR="00CA66E5" w:rsidRPr="00EF7CF9" w:rsidRDefault="00CA66E5" w:rsidP="00F01ED6">
            <w:pPr>
              <w:pStyle w:val="ProductList-OfferingBody"/>
              <w:jc w:val="center"/>
            </w:pPr>
            <w:r>
              <w:t>&lt; 99%</w:t>
            </w:r>
          </w:p>
        </w:tc>
        <w:tc>
          <w:tcPr>
            <w:tcW w:w="5400" w:type="dxa"/>
          </w:tcPr>
          <w:p w14:paraId="74F40727" w14:textId="77777777" w:rsidR="00CA66E5" w:rsidRPr="00EF7CF9" w:rsidRDefault="00CA66E5" w:rsidP="00F01ED6">
            <w:pPr>
              <w:pStyle w:val="ProductList-OfferingBody"/>
              <w:jc w:val="center"/>
            </w:pPr>
            <w:r>
              <w:t>25%</w:t>
            </w:r>
          </w:p>
        </w:tc>
      </w:tr>
    </w:tbl>
    <w:p w14:paraId="441C7B1D" w14:textId="45E738D4" w:rsidR="00CA66E5" w:rsidRPr="00EF7CF9" w:rsidRDefault="00CA66E5" w:rsidP="00F16390">
      <w:pPr>
        <w:pStyle w:val="ProductList-Body"/>
        <w:keepNext/>
        <w:keepLines/>
        <w:spacing w:before="120"/>
      </w:pPr>
      <w:r>
        <w:rPr>
          <w:b/>
          <w:color w:val="00188F"/>
        </w:rPr>
        <w:t>Exceções de Nível de Serviço</w:t>
      </w:r>
      <w:r w:rsidRPr="00473DD3">
        <w:rPr>
          <w:b/>
          <w:color w:val="00188F"/>
        </w:rPr>
        <w:t>:</w:t>
      </w:r>
      <w:r>
        <w:t xml:space="preserve"> Os Níveis de Serviço e Créditos de Serviço são aplicáveis à utilização que o Cliente faz das camadas Standard e</w:t>
      </w:r>
      <w:r w:rsidR="005E5DC2">
        <w:t> </w:t>
      </w:r>
      <w:r>
        <w:t>Premium dos Serviços Móveis.</w:t>
      </w:r>
    </w:p>
    <w:p w14:paraId="13B93336"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2F17D0F" w14:textId="41132E1D" w:rsidR="004005AF" w:rsidRPr="00EF7CF9" w:rsidRDefault="004005AF" w:rsidP="00F01ED6">
      <w:pPr>
        <w:pStyle w:val="ProductList-Offering2Heading"/>
        <w:keepNext/>
        <w:tabs>
          <w:tab w:val="clear" w:pos="360"/>
          <w:tab w:val="clear" w:pos="720"/>
          <w:tab w:val="clear" w:pos="1080"/>
        </w:tabs>
        <w:outlineLvl w:val="2"/>
      </w:pPr>
      <w:bookmarkStart w:id="345" w:name="_Toc239176508"/>
      <w:r>
        <w:t>Azure Monitor</w:t>
      </w:r>
      <w:bookmarkEnd w:id="303"/>
      <w:bookmarkEnd w:id="330"/>
      <w:bookmarkEnd w:id="345"/>
    </w:p>
    <w:p w14:paraId="755788BB" w14:textId="092E983D" w:rsidR="004005AF" w:rsidRPr="004C3ABB" w:rsidRDefault="00EE6E3C" w:rsidP="00F01ED6">
      <w:pPr>
        <w:pStyle w:val="ProductList-Body"/>
        <w:rPr>
          <w:b/>
          <w:color w:val="00188F"/>
        </w:rPr>
      </w:pPr>
      <w:r>
        <w:rPr>
          <w:b/>
          <w:color w:val="00188F"/>
        </w:rPr>
        <w:t>Cálculo do Período de Disponibilidade e Níveis de Serviço para Alertas do Azure Monitor</w:t>
      </w:r>
    </w:p>
    <w:p w14:paraId="3A25576F" w14:textId="77777777" w:rsidR="004005AF" w:rsidRPr="00ED4527" w:rsidRDefault="004005AF" w:rsidP="00F01ED6">
      <w:pPr>
        <w:pStyle w:val="ProductList-Body"/>
        <w:rPr>
          <w:b/>
          <w:color w:val="00188F"/>
        </w:rPr>
      </w:pPr>
      <w:r>
        <w:rPr>
          <w:b/>
          <w:color w:val="00188F"/>
        </w:rPr>
        <w:t>Definições Adicionais:</w:t>
      </w:r>
    </w:p>
    <w:p w14:paraId="45980D93" w14:textId="5F13A27B" w:rsidR="004005AF" w:rsidRPr="00ED4527" w:rsidRDefault="00380305" w:rsidP="00F01ED6">
      <w:pPr>
        <w:pStyle w:val="ProductList-Body"/>
        <w:rPr>
          <w:bCs/>
          <w:color w:val="000000" w:themeColor="text1"/>
        </w:rPr>
      </w:pPr>
      <w:r>
        <w:rPr>
          <w:bCs/>
          <w:color w:val="000000" w:themeColor="text1"/>
        </w:rPr>
        <w:t>“</w:t>
      </w:r>
      <w:r w:rsidR="004005AF">
        <w:rPr>
          <w:b/>
          <w:color w:val="00188F"/>
        </w:rPr>
        <w:t>Regra de Alerta</w:t>
      </w:r>
      <w:r>
        <w:rPr>
          <w:bCs/>
          <w:color w:val="000000" w:themeColor="text1"/>
        </w:rPr>
        <w:t>”</w:t>
      </w:r>
      <w:r w:rsidR="004005AF">
        <w:rPr>
          <w:bCs/>
          <w:color w:val="000000" w:themeColor="text1"/>
        </w:rPr>
        <w:t xml:space="preserve"> designa uma coleção de critérios de sinais utilizada para gerar alertas através da monitorização dos dados dos eventos já disponíveis para o Serviço de Alertas para análise.</w:t>
      </w:r>
    </w:p>
    <w:p w14:paraId="754D887B" w14:textId="7D31EE13" w:rsidR="004005AF" w:rsidRPr="00ED4527" w:rsidRDefault="00380305" w:rsidP="00F01ED6">
      <w:pPr>
        <w:pStyle w:val="ProductList-Body"/>
        <w:rPr>
          <w:bCs/>
          <w:color w:val="000000" w:themeColor="text1"/>
        </w:rPr>
      </w:pPr>
      <w:r>
        <w:rPr>
          <w:bCs/>
          <w:color w:val="000000" w:themeColor="text1"/>
        </w:rPr>
        <w:t>“</w:t>
      </w:r>
      <w:r w:rsidR="004005AF">
        <w:rPr>
          <w:b/>
          <w:color w:val="00188F"/>
        </w:rPr>
        <w:t>Máximo de Minutos Disponíveis</w:t>
      </w:r>
      <w:r>
        <w:rPr>
          <w:bCs/>
          <w:color w:val="000000" w:themeColor="text1"/>
        </w:rPr>
        <w:t>”</w:t>
      </w:r>
      <w:r w:rsidR="004005AF">
        <w:rPr>
          <w:bCs/>
          <w:color w:val="000000" w:themeColor="text1"/>
        </w:rPr>
        <w:t xml:space="preserve"> designa o número total de minutos durante os quais as Regras de Alertas são implementadas pelo Cliente numa determinada subscrição do Microsoft Azure durante um Período Aplicável.</w:t>
      </w:r>
    </w:p>
    <w:p w14:paraId="3A79CCD9" w14:textId="6724E001" w:rsidR="004005AF" w:rsidRPr="00ED4527" w:rsidRDefault="00380305" w:rsidP="00F01ED6">
      <w:pPr>
        <w:pStyle w:val="ProductList-Body"/>
        <w:rPr>
          <w:bCs/>
          <w:color w:val="000000" w:themeColor="text1"/>
        </w:rPr>
      </w:pPr>
      <w:r>
        <w:rPr>
          <w:bCs/>
          <w:color w:val="000000" w:themeColor="text1"/>
        </w:rPr>
        <w:t>“</w:t>
      </w:r>
      <w:r w:rsidR="004005AF">
        <w:rPr>
          <w:b/>
          <w:color w:val="00188F"/>
        </w:rPr>
        <w:t>Período de Indisponibilidade</w:t>
      </w:r>
      <w:r>
        <w:rPr>
          <w:bCs/>
          <w:color w:val="000000" w:themeColor="text1"/>
        </w:rPr>
        <w:t>”</w:t>
      </w:r>
      <w:r w:rsidR="004005AF">
        <w:rPr>
          <w:bCs/>
          <w:color w:val="000000" w:themeColor="text1"/>
        </w:rPr>
        <w:t xml:space="preserve"> designa o número total de minutos durante o Máximo de Minutos Disponíveis durante os quais a Regra de Alerta está indisponível. Um minuto é considerado indisponível para uma determinada Regra de Alertas se todas as tentativas contínuas para analisar sinais de telemetria para recursos definidos na Regra de Alertas nesse minuto devolverem um Código de Erro ou não resultarem num Código de Êxito num prazo de cinco minutos a partir da hora inicial da Regra de Alertas agendada.</w:t>
      </w:r>
    </w:p>
    <w:p w14:paraId="6DB4658A" w14:textId="399FBD01" w:rsidR="004005AF" w:rsidRDefault="004005AF" w:rsidP="00F01ED6">
      <w:pPr>
        <w:pStyle w:val="ProductList-Body"/>
        <w:rPr>
          <w:bCs/>
          <w:color w:val="000000" w:themeColor="text1"/>
        </w:rPr>
      </w:pPr>
      <w:r>
        <w:t xml:space="preserve">A </w:t>
      </w:r>
      <w:r w:rsidR="00380305">
        <w:rPr>
          <w:bCs/>
          <w:color w:val="000000" w:themeColor="text1"/>
        </w:rPr>
        <w:t>“</w:t>
      </w:r>
      <w:r>
        <w:rPr>
          <w:b/>
          <w:color w:val="00188F"/>
        </w:rPr>
        <w:t>Percentagem de Período de Disponibilidade</w:t>
      </w:r>
      <w:r w:rsidR="00380305">
        <w:rPr>
          <w:bCs/>
          <w:color w:val="000000" w:themeColor="text1"/>
        </w:rPr>
        <w:t>”</w:t>
      </w:r>
      <w:r>
        <w:rPr>
          <w:bCs/>
          <w:color w:val="000000" w:themeColor="text1"/>
        </w:rPr>
        <w:t xml:space="preserve"> é calculada como o Máximo de Minutos Disponíveis menos o Período de Indisponibilidade a</w:t>
      </w:r>
      <w:r w:rsidR="00B81749">
        <w:rPr>
          <w:bCs/>
          <w:color w:val="000000" w:themeColor="text1"/>
        </w:rPr>
        <w:t> </w:t>
      </w:r>
      <w:r>
        <w:rPr>
          <w:bCs/>
          <w:color w:val="000000" w:themeColor="text1"/>
        </w:rPr>
        <w:t>dividir pelo Máximo de Minutos Disponíveis multiplicado por 100.</w:t>
      </w:r>
    </w:p>
    <w:p w14:paraId="3CA84EA0" w14:textId="0B513C5E" w:rsidR="004005AF" w:rsidRPr="00ED4527" w:rsidRDefault="00AC48A7" w:rsidP="00F01ED6">
      <w:pPr>
        <w:pStyle w:val="ProductList-Body"/>
        <w:rPr>
          <w:bCs/>
          <w:color w:val="000000" w:themeColor="text1"/>
        </w:rPr>
      </w:pPr>
      <w:r>
        <w:rPr>
          <w:bCs/>
          <w:color w:val="000000" w:themeColor="text1"/>
        </w:rPr>
        <w:t>A Percentagem de Período de Disponibilidade é representada pela seguinte fórmula:</w:t>
      </w:r>
    </w:p>
    <w:p w14:paraId="043DA7C9" w14:textId="3E9DCA3F" w:rsidR="004005AF" w:rsidRPr="00EF7CF9" w:rsidRDefault="00000000" w:rsidP="0027170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C5A6B10" w14:textId="77777777" w:rsidR="004005AF" w:rsidRDefault="004005AF" w:rsidP="00F01ED6">
      <w:pPr>
        <w:pStyle w:val="ProductList-Body"/>
        <w:keepNext/>
      </w:pPr>
      <w:r>
        <w:rPr>
          <w:b/>
          <w:color w:val="00188F"/>
        </w:rPr>
        <w:t>Os seguintes Níveis de Serviço e Créditos de Serviço são aplicáveis à utilização de Alertas do Azure Monitor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C9F177C"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47AAD3A7" w14:textId="77777777" w:rsidTr="00277097">
        <w:trPr>
          <w:trHeight w:val="242"/>
        </w:trPr>
        <w:tc>
          <w:tcPr>
            <w:tcW w:w="5400" w:type="dxa"/>
          </w:tcPr>
          <w:p w14:paraId="5783E79B" w14:textId="77777777" w:rsidR="004005AF" w:rsidRPr="0076238C" w:rsidRDefault="004005AF" w:rsidP="00F01ED6">
            <w:pPr>
              <w:pStyle w:val="ProductList-OfferingBody"/>
              <w:jc w:val="center"/>
            </w:pPr>
            <w:r>
              <w:t>&lt; 99,9%</w:t>
            </w:r>
          </w:p>
        </w:tc>
        <w:tc>
          <w:tcPr>
            <w:tcW w:w="5400" w:type="dxa"/>
          </w:tcPr>
          <w:p w14:paraId="7A591C97" w14:textId="77777777" w:rsidR="004005AF" w:rsidRPr="0076238C" w:rsidRDefault="004005AF" w:rsidP="00F01ED6">
            <w:pPr>
              <w:pStyle w:val="ProductList-OfferingBody"/>
              <w:jc w:val="center"/>
            </w:pPr>
            <w:r>
              <w:t>10%</w:t>
            </w:r>
          </w:p>
        </w:tc>
      </w:tr>
      <w:tr w:rsidR="004005AF" w:rsidRPr="00B44CF9" w14:paraId="7495F0C6" w14:textId="77777777" w:rsidTr="00277097">
        <w:trPr>
          <w:trHeight w:val="249"/>
        </w:trPr>
        <w:tc>
          <w:tcPr>
            <w:tcW w:w="5400" w:type="dxa"/>
          </w:tcPr>
          <w:p w14:paraId="7F867ED0" w14:textId="77777777" w:rsidR="004005AF" w:rsidRPr="0076238C" w:rsidRDefault="004005AF" w:rsidP="00F01ED6">
            <w:pPr>
              <w:pStyle w:val="ProductList-OfferingBody"/>
              <w:jc w:val="center"/>
            </w:pPr>
            <w:r>
              <w:t>&lt; 99%</w:t>
            </w:r>
          </w:p>
        </w:tc>
        <w:tc>
          <w:tcPr>
            <w:tcW w:w="5400" w:type="dxa"/>
          </w:tcPr>
          <w:p w14:paraId="65BBE6E6" w14:textId="77777777" w:rsidR="004005AF" w:rsidRPr="0076238C" w:rsidRDefault="004005AF" w:rsidP="00F01ED6">
            <w:pPr>
              <w:pStyle w:val="ProductList-OfferingBody"/>
              <w:jc w:val="center"/>
            </w:pPr>
            <w:r>
              <w:t>25%</w:t>
            </w:r>
          </w:p>
        </w:tc>
      </w:tr>
    </w:tbl>
    <w:p w14:paraId="0D0EEF5C" w14:textId="0B79C771" w:rsidR="004005AF" w:rsidRPr="00CA08CF" w:rsidRDefault="00EE6E3C" w:rsidP="00907318">
      <w:pPr>
        <w:pStyle w:val="ProductList-Body"/>
        <w:spacing w:before="120"/>
        <w:rPr>
          <w:b/>
          <w:color w:val="00188F"/>
        </w:rPr>
      </w:pPr>
      <w:r>
        <w:rPr>
          <w:b/>
          <w:color w:val="00188F"/>
        </w:rPr>
        <w:t>Cálculo do Período de Disponibilidade e Níveis de Serviço para a Distribuição de Notificações do Azure Monitor</w:t>
      </w:r>
    </w:p>
    <w:p w14:paraId="1101548C" w14:textId="77777777" w:rsidR="004005AF" w:rsidRPr="00EF7CF9" w:rsidRDefault="004005AF" w:rsidP="00F01ED6">
      <w:pPr>
        <w:pStyle w:val="ProductList-Body"/>
      </w:pPr>
      <w:r>
        <w:rPr>
          <w:b/>
          <w:color w:val="00188F"/>
        </w:rPr>
        <w:t>Definições Adicionais</w:t>
      </w:r>
      <w:r w:rsidRPr="00473DD3">
        <w:rPr>
          <w:b/>
          <w:color w:val="00188F"/>
        </w:rPr>
        <w:t>:</w:t>
      </w:r>
    </w:p>
    <w:p w14:paraId="7B153434" w14:textId="6C766EE7" w:rsidR="004005AF" w:rsidRPr="00EF7CF9" w:rsidRDefault="00380305" w:rsidP="00F01ED6">
      <w:pPr>
        <w:pStyle w:val="ProductList-Body"/>
      </w:pPr>
      <w:r>
        <w:t>“</w:t>
      </w:r>
      <w:r w:rsidR="004005AF">
        <w:rPr>
          <w:b/>
          <w:color w:val="00188F"/>
        </w:rPr>
        <w:t>Grupo de Ação</w:t>
      </w:r>
      <w:r>
        <w:t>”</w:t>
      </w:r>
      <w:r w:rsidR="004005AF">
        <w:t xml:space="preserve"> é uma coleção de ações que define os métodos de distribuição de notificações preferenciais.</w:t>
      </w:r>
    </w:p>
    <w:p w14:paraId="7780BBAE" w14:textId="1D83AF0B" w:rsidR="004005AF" w:rsidRPr="00EF7CF9" w:rsidRDefault="00380305" w:rsidP="00F01ED6">
      <w:pPr>
        <w:pStyle w:val="ProductList-Body"/>
      </w:pPr>
      <w:r>
        <w:t>“</w:t>
      </w:r>
      <w:r w:rsidR="004005AF">
        <w:rPr>
          <w:b/>
          <w:color w:val="00188F"/>
        </w:rPr>
        <w:t>Máximo de Minutos Disponíveis</w:t>
      </w:r>
      <w:r>
        <w:t>”</w:t>
      </w:r>
      <w:r w:rsidR="004005AF">
        <w:t xml:space="preserve"> designa a soma de todos os Minutos de Implementação em que os Grupos de Ação são implementados pelo</w:t>
      </w:r>
      <w:r w:rsidR="00FE06B4">
        <w:t> </w:t>
      </w:r>
      <w:r w:rsidR="004005AF">
        <w:t>Cliente numa determinada subscrição do Microsoft Azure durante um Período Aplicável.</w:t>
      </w:r>
    </w:p>
    <w:p w14:paraId="20ACE7BE" w14:textId="1E28BE3A" w:rsidR="004005AF" w:rsidRPr="00EF7CF9" w:rsidRDefault="004005AF" w:rsidP="00F01ED6">
      <w:pPr>
        <w:pStyle w:val="ProductList-Body"/>
      </w:pPr>
      <w:r>
        <w:rPr>
          <w:b/>
          <w:color w:val="00188F"/>
        </w:rPr>
        <w:t>Período de Indisponibilidade</w:t>
      </w:r>
      <w:r w:rsidRPr="00473DD3">
        <w:rPr>
          <w:b/>
          <w:color w:val="00188F"/>
        </w:rPr>
        <w:t>:</w:t>
      </w:r>
      <w:r>
        <w:t xml:space="preserve"> é o número total de minutos durante o Máximo de Minutos Disponíveis durante os quais o Grupo de Ação está indisponível. Um minuto é considerado indisponível para um determinado Grupo de Ação se todas as tentativas contínuas para enviar alertas ou executar operações de gestão de registos relativamente ao Grupo de Ação nesse minuto devolverem um Código de Erro ou não resultarem num Código de Êxito num prazo de cinco minutos.</w:t>
      </w:r>
    </w:p>
    <w:p w14:paraId="24431C4C" w14:textId="21298850" w:rsidR="004005AF" w:rsidRPr="006F3CBD" w:rsidRDefault="00AC48A7" w:rsidP="00F01ED6">
      <w:pPr>
        <w:spacing w:after="0" w:line="240" w:lineRule="auto"/>
        <w:rPr>
          <w:sz w:val="18"/>
          <w:szCs w:val="18"/>
        </w:rPr>
      </w:pPr>
      <w:r>
        <w:rPr>
          <w:b/>
          <w:color w:val="00188F"/>
          <w:sz w:val="18"/>
        </w:rPr>
        <w:t>Percentagem de Período de Disponibilidade</w:t>
      </w:r>
      <w:r w:rsidRPr="00473DD3">
        <w:rPr>
          <w:b/>
          <w:color w:val="00188F"/>
          <w:sz w:val="18"/>
        </w:rPr>
        <w:t>:</w:t>
      </w:r>
      <w:r>
        <w:rPr>
          <w:b/>
          <w:color w:val="00188F"/>
          <w:sz w:val="18"/>
        </w:rPr>
        <w:t xml:space="preserve"> </w:t>
      </w:r>
      <w:r>
        <w:rPr>
          <w:sz w:val="18"/>
          <w:szCs w:val="18"/>
        </w:rPr>
        <w:t xml:space="preserve">é calculada como o Máximo de Minutos Disponíveis menos o Período de Indisponibilidade a dividir pelo Máximo de Minutos Disponíveis num Período Aplicável para uma determinada subscrição do Microsoft Azure. </w:t>
      </w:r>
    </w:p>
    <w:p w14:paraId="3DA152E5" w14:textId="515F2367" w:rsidR="004005AF" w:rsidRPr="006F3CBD" w:rsidRDefault="00AC48A7" w:rsidP="00F01ED6">
      <w:pPr>
        <w:spacing w:after="0" w:line="240" w:lineRule="auto"/>
        <w:rPr>
          <w:sz w:val="18"/>
          <w:szCs w:val="18"/>
        </w:rPr>
      </w:pPr>
      <w:r>
        <w:rPr>
          <w:sz w:val="18"/>
          <w:szCs w:val="18"/>
        </w:rPr>
        <w:t>A Percentagem de Período de Disponibilidade é representada pela seguinte fórmula:</w:t>
      </w:r>
    </w:p>
    <w:p w14:paraId="276CBE14" w14:textId="26E0F776" w:rsidR="004005AF" w:rsidRPr="00EF7CF9" w:rsidRDefault="00000000" w:rsidP="0027170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1C4D5D1" w14:textId="77777777" w:rsidR="004005AF" w:rsidRDefault="004005AF" w:rsidP="00F01ED6">
      <w:pPr>
        <w:pStyle w:val="ProductList-Body"/>
      </w:pPr>
      <w:r>
        <w:rPr>
          <w:b/>
          <w:color w:val="00188F"/>
        </w:rPr>
        <w:lastRenderedPageBreak/>
        <w:t>Níveis de Serviço e Créditos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4285DA2" w14:textId="77777777" w:rsidR="004005AF" w:rsidRPr="001A0074"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2C4CAEBB" w14:textId="77777777" w:rsidTr="00277097">
        <w:trPr>
          <w:trHeight w:val="242"/>
        </w:trPr>
        <w:tc>
          <w:tcPr>
            <w:tcW w:w="5400" w:type="dxa"/>
          </w:tcPr>
          <w:p w14:paraId="1AC9FEFD" w14:textId="77777777" w:rsidR="004005AF" w:rsidRPr="0076238C" w:rsidRDefault="004005AF" w:rsidP="00F01ED6">
            <w:pPr>
              <w:pStyle w:val="ProductList-OfferingBody"/>
              <w:jc w:val="center"/>
            </w:pPr>
            <w:r>
              <w:t>&lt; 99,9%</w:t>
            </w:r>
          </w:p>
        </w:tc>
        <w:tc>
          <w:tcPr>
            <w:tcW w:w="5400" w:type="dxa"/>
          </w:tcPr>
          <w:p w14:paraId="5247EC9A" w14:textId="77777777" w:rsidR="004005AF" w:rsidRPr="0076238C" w:rsidRDefault="004005AF" w:rsidP="00F01ED6">
            <w:pPr>
              <w:pStyle w:val="ProductList-OfferingBody"/>
              <w:jc w:val="center"/>
            </w:pPr>
            <w:r>
              <w:t>10%</w:t>
            </w:r>
          </w:p>
        </w:tc>
      </w:tr>
      <w:tr w:rsidR="004005AF" w:rsidRPr="00B44CF9" w14:paraId="4EA941E8" w14:textId="77777777" w:rsidTr="00277097">
        <w:trPr>
          <w:trHeight w:val="249"/>
        </w:trPr>
        <w:tc>
          <w:tcPr>
            <w:tcW w:w="5400" w:type="dxa"/>
          </w:tcPr>
          <w:p w14:paraId="14D80D29" w14:textId="77777777" w:rsidR="004005AF" w:rsidRPr="0076238C" w:rsidRDefault="004005AF" w:rsidP="00F01ED6">
            <w:pPr>
              <w:pStyle w:val="ProductList-OfferingBody"/>
              <w:jc w:val="center"/>
            </w:pPr>
            <w:r>
              <w:t>&lt; 99%</w:t>
            </w:r>
          </w:p>
        </w:tc>
        <w:tc>
          <w:tcPr>
            <w:tcW w:w="5400" w:type="dxa"/>
          </w:tcPr>
          <w:p w14:paraId="3F7D8D79" w14:textId="77777777" w:rsidR="004005AF" w:rsidRPr="0076238C" w:rsidRDefault="004005AF" w:rsidP="00F01ED6">
            <w:pPr>
              <w:pStyle w:val="ProductList-OfferingBody"/>
              <w:jc w:val="center"/>
            </w:pPr>
            <w:r>
              <w:t>25%</w:t>
            </w:r>
          </w:p>
        </w:tc>
      </w:tr>
    </w:tbl>
    <w:p w14:paraId="46FFFFE9" w14:textId="77777777" w:rsidR="004005AF" w:rsidRDefault="004005AF" w:rsidP="005D1414">
      <w:pPr>
        <w:pStyle w:val="ProductList-Body"/>
        <w:spacing w:before="120"/>
        <w:rPr>
          <w:i/>
          <w:szCs w:val="18"/>
        </w:rPr>
      </w:pPr>
      <w:r>
        <w:rPr>
          <w:i/>
          <w:szCs w:val="18"/>
        </w:rPr>
        <w:t>Consulte também Log Analytics e Application Insights.</w:t>
      </w:r>
    </w:p>
    <w:p w14:paraId="6776721E" w14:textId="77777777" w:rsidR="00BB635C" w:rsidRDefault="00BB635C" w:rsidP="00F01ED6">
      <w:pPr>
        <w:pStyle w:val="ProductList-Body"/>
        <w:rPr>
          <w:i/>
          <w:szCs w:val="18"/>
        </w:rPr>
      </w:pPr>
    </w:p>
    <w:p w14:paraId="2A7A8051" w14:textId="77777777" w:rsidR="00D65305" w:rsidRPr="00D65305" w:rsidRDefault="00D65305" w:rsidP="00D65305">
      <w:pPr>
        <w:spacing w:after="0" w:line="240" w:lineRule="auto"/>
        <w:rPr>
          <w:rFonts w:cstheme="minorHAnsi"/>
          <w:b/>
          <w:color w:val="00188F"/>
          <w:sz w:val="18"/>
        </w:rPr>
      </w:pPr>
      <w:r w:rsidRPr="00D65305">
        <w:rPr>
          <w:rFonts w:cstheme="minorHAnsi"/>
          <w:b/>
          <w:color w:val="00188F"/>
          <w:sz w:val="18"/>
        </w:rPr>
        <w:t>Cálculo do Período de Disponibilidade Mensal e Níveis de Serviço para o serviço gerido Azure Monitor para Prometheus</w:t>
      </w:r>
    </w:p>
    <w:p w14:paraId="70F4C791" w14:textId="77777777" w:rsidR="00D65305" w:rsidRPr="00D65305" w:rsidRDefault="00D65305" w:rsidP="00D65305">
      <w:pPr>
        <w:spacing w:after="0" w:line="240" w:lineRule="auto"/>
        <w:rPr>
          <w:rFonts w:cstheme="minorHAnsi"/>
          <w:b/>
          <w:color w:val="00188F"/>
          <w:sz w:val="18"/>
        </w:rPr>
      </w:pPr>
      <w:r w:rsidRPr="00D65305">
        <w:rPr>
          <w:rFonts w:cstheme="minorHAnsi"/>
          <w:b/>
          <w:color w:val="00188F"/>
          <w:sz w:val="18"/>
        </w:rPr>
        <w:t>Definições Adicionais:</w:t>
      </w:r>
    </w:p>
    <w:p w14:paraId="7998EF19" w14:textId="77777777" w:rsidR="00D65305" w:rsidRPr="00D65305" w:rsidRDefault="00D65305" w:rsidP="00D65305">
      <w:pPr>
        <w:spacing w:after="0" w:line="240" w:lineRule="auto"/>
        <w:rPr>
          <w:rFonts w:cstheme="minorHAnsi"/>
        </w:rPr>
      </w:pPr>
      <w:r w:rsidRPr="00D65305">
        <w:rPr>
          <w:rFonts w:cstheme="minorHAnsi"/>
          <w:b/>
          <w:color w:val="00188F"/>
          <w:sz w:val="18"/>
        </w:rPr>
        <w:t>“Máximo de Minutos Disponíveis”</w:t>
      </w:r>
      <w:r w:rsidRPr="00D65305">
        <w:rPr>
          <w:rFonts w:cstheme="minorHAnsi"/>
        </w:rPr>
        <w:t xml:space="preserve"> </w:t>
      </w:r>
      <w:r w:rsidRPr="00D65305">
        <w:rPr>
          <w:rFonts w:cstheme="minorHAnsi"/>
          <w:sz w:val="18"/>
        </w:rPr>
        <w:t>designa o número total de minutos durante os quais uma determinada área de trabalho do Azure Monitor foi implementada pelo Cliente numa determinada subscrição do Microsoft Azure durante um mês de faturação.</w:t>
      </w:r>
    </w:p>
    <w:p w14:paraId="7B1981CC" w14:textId="77777777" w:rsidR="00D65305" w:rsidRPr="00D65305" w:rsidRDefault="00D65305" w:rsidP="00D65305">
      <w:pPr>
        <w:spacing w:after="0" w:line="240" w:lineRule="auto"/>
        <w:rPr>
          <w:rFonts w:cstheme="minorHAnsi"/>
          <w:sz w:val="18"/>
        </w:rPr>
      </w:pPr>
      <w:r w:rsidRPr="00D65305">
        <w:rPr>
          <w:rFonts w:cstheme="minorHAnsi"/>
          <w:b/>
          <w:color w:val="00188F"/>
          <w:sz w:val="18"/>
        </w:rPr>
        <w:t>Período de Indisponibilidade:</w:t>
      </w:r>
      <w:r w:rsidRPr="00D65305">
        <w:rPr>
          <w:rFonts w:cstheme="minorHAnsi"/>
        </w:rPr>
        <w:t xml:space="preserve"> </w:t>
      </w:r>
      <w:r w:rsidRPr="00D65305">
        <w:rPr>
          <w:rFonts w:cstheme="minorHAnsi"/>
          <w:sz w:val="18"/>
        </w:rPr>
        <w:t>designa o número total de minutos durante o Máximo de Minutos Disponíveis durante os quais os dados numa determinada área de trabalho do Azure Monitor estão indisponíveis. Um minuto é considerado indisponível para uma determinada área de trabalho do Azure Monitor se todas as tentativas contínuas para obter dados de métricas do Prometheus durante um minuto resultarem num Código de Erro ou não devolverem qualquer código HTTP no prazo de 60 segundos.</w:t>
      </w:r>
    </w:p>
    <w:p w14:paraId="1C9568B8" w14:textId="77777777" w:rsidR="00D65305" w:rsidRPr="00D65305" w:rsidRDefault="00D65305" w:rsidP="00D65305">
      <w:pPr>
        <w:spacing w:after="0" w:line="240" w:lineRule="auto"/>
        <w:rPr>
          <w:rFonts w:cstheme="minorHAnsi"/>
          <w:sz w:val="18"/>
        </w:rPr>
      </w:pPr>
      <w:r w:rsidRPr="00D65305">
        <w:rPr>
          <w:rFonts w:cstheme="minorHAnsi"/>
          <w:b/>
          <w:color w:val="00188F"/>
          <w:sz w:val="18"/>
        </w:rPr>
        <w:t>Percentagem de Disponibilidade para Consulta Mensal:</w:t>
      </w:r>
      <w:r w:rsidRPr="00D65305">
        <w:rPr>
          <w:rFonts w:cstheme="minorHAnsi"/>
        </w:rPr>
        <w:t xml:space="preserve"> </w:t>
      </w:r>
      <w:r w:rsidRPr="00D65305">
        <w:rPr>
          <w:rFonts w:cstheme="minorHAnsi"/>
          <w:sz w:val="18"/>
        </w:rPr>
        <w:t>para uma determinada área de trabalho do Azure Monitor é calculada como o Máximo de Minutos Disponíveis menos o Período de Indisponibilidade, a dividir pelo Máximo de Minutos Disponíveis a multiplicar por 100.</w:t>
      </w:r>
    </w:p>
    <w:p w14:paraId="4ED57C2E" w14:textId="77777777" w:rsidR="00D65305" w:rsidRPr="00D65305" w:rsidRDefault="00D65305" w:rsidP="00D65305">
      <w:pPr>
        <w:spacing w:after="0" w:line="240" w:lineRule="auto"/>
        <w:rPr>
          <w:rFonts w:cstheme="minorHAnsi"/>
          <w:sz w:val="18"/>
        </w:rPr>
      </w:pPr>
      <w:r w:rsidRPr="00D65305">
        <w:rPr>
          <w:rFonts w:cstheme="minorHAnsi"/>
          <w:sz w:val="18"/>
        </w:rPr>
        <w:t>A Percentagem de Disponibilidade para Consulta Mensal é representada pela seguinte fórmula:</w:t>
      </w:r>
    </w:p>
    <w:p w14:paraId="641FA6BD" w14:textId="77777777" w:rsidR="00D65305" w:rsidRDefault="00000000" w:rsidP="00A7593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D4C99AC" w14:textId="77777777" w:rsidR="00D65305" w:rsidRPr="00D65305" w:rsidRDefault="00D65305" w:rsidP="00D65305">
      <w:pPr>
        <w:pStyle w:val="ProductList-Body"/>
        <w:rPr>
          <w:rFonts w:cstheme="minorHAnsi"/>
        </w:rPr>
      </w:pPr>
      <w:r w:rsidRPr="00D65305">
        <w:rPr>
          <w:rFonts w:cstheme="minorHAnsi"/>
          <w:b/>
          <w:color w:val="00188F"/>
        </w:rPr>
        <w:t>Níveis de Serviço e Créditos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5305" w14:paraId="4BE1F487" w14:textId="77777777" w:rsidTr="00EA2F1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EB01C5F" w14:textId="77777777" w:rsidR="00D65305" w:rsidRPr="00D37901" w:rsidRDefault="00D65305" w:rsidP="00EA2F1A">
            <w:pPr>
              <w:pStyle w:val="ProductList-OfferingBody"/>
              <w:spacing w:line="254" w:lineRule="auto"/>
              <w:jc w:val="center"/>
              <w:rPr>
                <w:rFonts w:ascii="Calibri Light" w:hAnsi="Calibri Light" w:cs="Calibri Light"/>
                <w:color w:val="FFFFFF" w:themeColor="background1"/>
              </w:rPr>
            </w:pPr>
            <w:r>
              <w:rPr>
                <w:rFonts w:ascii="Calibri Light" w:hAnsi="Calibri Light" w:cs="Calibri Light"/>
                <w:color w:val="FFFFFF" w:themeColor="background1"/>
              </w:rPr>
              <w:t>Percentagem de Período de Disponibilidade Mensal</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53D4DE3" w14:textId="77777777" w:rsidR="00D65305" w:rsidRPr="00D37901" w:rsidRDefault="00D65305" w:rsidP="00EA2F1A">
            <w:pPr>
              <w:pStyle w:val="ProductList-OfferingBody"/>
              <w:spacing w:line="254" w:lineRule="auto"/>
              <w:jc w:val="center"/>
              <w:rPr>
                <w:rFonts w:ascii="Calibri Light" w:hAnsi="Calibri Light" w:cs="Calibri Light"/>
                <w:color w:val="FFFFFF" w:themeColor="background1"/>
              </w:rPr>
            </w:pPr>
            <w:r>
              <w:rPr>
                <w:rFonts w:ascii="Calibri Light" w:hAnsi="Calibri Light" w:cs="Calibri Light"/>
                <w:color w:val="FFFFFF" w:themeColor="background1"/>
              </w:rPr>
              <w:t>Crédito de Serviço</w:t>
            </w:r>
          </w:p>
        </w:tc>
      </w:tr>
      <w:tr w:rsidR="00D65305" w14:paraId="539DF918" w14:textId="77777777" w:rsidTr="00EA2F1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6EAAA6" w14:textId="77777777" w:rsidR="00D65305" w:rsidRPr="00D65305" w:rsidRDefault="00D65305" w:rsidP="00EA2F1A">
            <w:pPr>
              <w:pStyle w:val="ProductList-OfferingBody"/>
              <w:spacing w:line="254" w:lineRule="auto"/>
              <w:jc w:val="center"/>
              <w:rPr>
                <w:rFonts w:cstheme="minorHAnsi"/>
              </w:rPr>
            </w:pPr>
            <w:r w:rsidRPr="00D65305">
              <w:rPr>
                <w:rFonts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956058" w14:textId="77777777" w:rsidR="00D65305" w:rsidRPr="00D65305" w:rsidRDefault="00D65305" w:rsidP="00EA2F1A">
            <w:pPr>
              <w:pStyle w:val="ProductList-OfferingBody"/>
              <w:spacing w:line="254" w:lineRule="auto"/>
              <w:jc w:val="center"/>
              <w:rPr>
                <w:rFonts w:cstheme="minorHAnsi"/>
              </w:rPr>
            </w:pPr>
            <w:r w:rsidRPr="00D65305">
              <w:rPr>
                <w:rFonts w:cstheme="minorHAnsi"/>
              </w:rPr>
              <w:t>10%</w:t>
            </w:r>
          </w:p>
        </w:tc>
      </w:tr>
      <w:tr w:rsidR="00D65305" w14:paraId="61596E15" w14:textId="77777777" w:rsidTr="00EA2F1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69E17C" w14:textId="77777777" w:rsidR="00D65305" w:rsidRPr="00D65305" w:rsidRDefault="00D65305" w:rsidP="00EA2F1A">
            <w:pPr>
              <w:pStyle w:val="ProductList-OfferingBody"/>
              <w:spacing w:line="254" w:lineRule="auto"/>
              <w:jc w:val="center"/>
              <w:rPr>
                <w:rFonts w:cstheme="minorHAnsi"/>
              </w:rPr>
            </w:pPr>
            <w:r w:rsidRPr="00D65305">
              <w:rPr>
                <w:rFonts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FC5518" w14:textId="77777777" w:rsidR="00D65305" w:rsidRPr="00D65305" w:rsidRDefault="00D65305" w:rsidP="00EA2F1A">
            <w:pPr>
              <w:pStyle w:val="ProductList-OfferingBody"/>
              <w:spacing w:line="254" w:lineRule="auto"/>
              <w:jc w:val="center"/>
              <w:rPr>
                <w:rFonts w:cstheme="minorHAnsi"/>
              </w:rPr>
            </w:pPr>
            <w:r w:rsidRPr="00D65305">
              <w:rPr>
                <w:rFonts w:cstheme="minorHAnsi"/>
              </w:rPr>
              <w:t>25%</w:t>
            </w:r>
          </w:p>
        </w:tc>
      </w:tr>
    </w:tbl>
    <w:bookmarkStart w:id="346" w:name="_Toc526859666"/>
    <w:bookmarkStart w:id="347" w:name="_Toc52348940"/>
    <w:bookmarkStart w:id="348" w:name="_Toc457821541"/>
    <w:bookmarkEnd w:id="149"/>
    <w:bookmarkEnd w:id="150"/>
    <w:p w14:paraId="0A193771"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02DD07D7" w14:textId="4B1CB8C8" w:rsidR="005642C9" w:rsidRPr="005642C9" w:rsidRDefault="005642C9" w:rsidP="00F01ED6">
      <w:pPr>
        <w:pStyle w:val="ProductList-Offering2Heading"/>
        <w:keepNext/>
        <w:tabs>
          <w:tab w:val="clear" w:pos="360"/>
          <w:tab w:val="clear" w:pos="720"/>
          <w:tab w:val="clear" w:pos="1080"/>
        </w:tabs>
        <w:outlineLvl w:val="2"/>
      </w:pPr>
      <w:bookmarkStart w:id="349" w:name="_Toc239176509"/>
      <w:r>
        <w:t>Azure NetApp Files</w:t>
      </w:r>
      <w:bookmarkEnd w:id="349"/>
    </w:p>
    <w:p w14:paraId="74827AED" w14:textId="77777777" w:rsidR="005642C9" w:rsidRPr="005642C9" w:rsidRDefault="005642C9" w:rsidP="00F01ED6">
      <w:pPr>
        <w:pStyle w:val="ProductList-Body"/>
        <w:keepNext/>
        <w:rPr>
          <w:b/>
          <w:bCs/>
          <w:color w:val="00188F"/>
        </w:rPr>
      </w:pPr>
      <w:r>
        <w:rPr>
          <w:b/>
          <w:bCs/>
          <w:color w:val="00188F"/>
        </w:rPr>
        <w:t>Definições Adicionais</w:t>
      </w:r>
    </w:p>
    <w:p w14:paraId="4CB2BC4D" w14:textId="06F12C07" w:rsidR="005642C9" w:rsidRDefault="00380305" w:rsidP="00F01ED6">
      <w:pPr>
        <w:pStyle w:val="ProductList-Body"/>
      </w:pPr>
      <w:r>
        <w:t>“</w:t>
      </w:r>
      <w:r w:rsidR="005642C9">
        <w:rPr>
          <w:b/>
          <w:bCs/>
          <w:color w:val="00188F"/>
        </w:rPr>
        <w:t>Volume</w:t>
      </w:r>
      <w:r>
        <w:t>”</w:t>
      </w:r>
      <w:r w:rsidR="005642C9">
        <w:t xml:space="preserve"> é um recurso de armazenamento lógico nos Ficheiros Azure NetApp (Azure NetApp Files) que contém um sistema de ficheiros e</w:t>
      </w:r>
      <w:r w:rsidR="005E5DC2">
        <w:t> </w:t>
      </w:r>
      <w:r w:rsidR="005642C9">
        <w:t>é</w:t>
      </w:r>
      <w:r w:rsidR="005E5DC2">
        <w:t> </w:t>
      </w:r>
      <w:r w:rsidR="005642C9">
        <w:t>utilizado para armazenar dados.</w:t>
      </w:r>
    </w:p>
    <w:p w14:paraId="04EC7871" w14:textId="4F319DA9" w:rsidR="005642C9" w:rsidRDefault="00380305" w:rsidP="00F01ED6">
      <w:pPr>
        <w:pStyle w:val="ProductList-Body"/>
      </w:pPr>
      <w:r>
        <w:t>“</w:t>
      </w:r>
      <w:r w:rsidR="005642C9">
        <w:rPr>
          <w:b/>
          <w:bCs/>
          <w:color w:val="00188F"/>
        </w:rPr>
        <w:t>Conectividade do Volume</w:t>
      </w:r>
      <w:r>
        <w:t>”</w:t>
      </w:r>
      <w:r w:rsidR="005642C9">
        <w:t xml:space="preserve"> designa o tráfego de rede bidirecional entre o Volume e os outros endereços IP que utilizam os protocolos de rede TCP ou UDP, nos quais o Volume está configurado para o tráfego permitido.</w:t>
      </w:r>
    </w:p>
    <w:p w14:paraId="56808FB6" w14:textId="3A1C4DA1" w:rsidR="005642C9" w:rsidRDefault="00380305" w:rsidP="00F01ED6">
      <w:pPr>
        <w:pStyle w:val="ProductList-Body"/>
      </w:pPr>
      <w:r>
        <w:t>“</w:t>
      </w:r>
      <w:r w:rsidR="005642C9">
        <w:rPr>
          <w:b/>
          <w:bCs/>
          <w:color w:val="00188F"/>
        </w:rPr>
        <w:t>Máximo de Minutos Disponíveis</w:t>
      </w:r>
      <w:r>
        <w:t>”</w:t>
      </w:r>
      <w:r w:rsidR="005642C9">
        <w:t xml:space="preserve"> é o número total de minutos durante os quais um Volume foi implementado pelo Cliente numa determinada subscrição do Microsoft Azure durante um Período Aplicável.</w:t>
      </w:r>
    </w:p>
    <w:p w14:paraId="75EFEF7F" w14:textId="1A67D620" w:rsidR="005642C9" w:rsidRDefault="00380305" w:rsidP="00F01ED6">
      <w:pPr>
        <w:pStyle w:val="ProductList-Body"/>
      </w:pPr>
      <w:r>
        <w:t>“</w:t>
      </w:r>
      <w:r w:rsidR="005642C9">
        <w:rPr>
          <w:b/>
          <w:bCs/>
          <w:color w:val="00188F"/>
        </w:rPr>
        <w:t>Período de Indisponibilidade</w:t>
      </w:r>
      <w:r>
        <w:t>”</w:t>
      </w:r>
      <w:r w:rsidR="005642C9">
        <w:t xml:space="preserve"> é o total de minutos acumulados que fazem parte do Máximo de Minutos Disponíveis nos quais não há Conectividade do Volume na região Azure.</w:t>
      </w:r>
    </w:p>
    <w:p w14:paraId="436F399D" w14:textId="7A0442CD" w:rsidR="005642C9" w:rsidRDefault="00380305" w:rsidP="00F01ED6">
      <w:pPr>
        <w:pStyle w:val="ProductList-Body"/>
      </w:pPr>
      <w:r>
        <w:t>“</w:t>
      </w:r>
      <w:r w:rsidR="005642C9">
        <w:rPr>
          <w:b/>
          <w:bCs/>
          <w:color w:val="00188F"/>
        </w:rPr>
        <w:t>Percentagem de Período de Disponibilidade</w:t>
      </w:r>
      <w:r>
        <w:t>”</w:t>
      </w:r>
      <w:r w:rsidR="005642C9">
        <w:t xml:space="preserve"> A Percentagem de Período de Disponibilidade é calculada utilizando a seguinte fórmula:</w:t>
      </w:r>
    </w:p>
    <w:p w14:paraId="1D10D425" w14:textId="7EF617A2" w:rsidR="005642C9" w:rsidRPr="00EF7CF9" w:rsidRDefault="00000000" w:rsidP="004D0C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51036C63" w14:textId="03FBE558" w:rsidR="00FC13C6" w:rsidRDefault="005642C9" w:rsidP="00F01ED6">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A08C4DD" w14:textId="77777777" w:rsidR="005642C9" w:rsidRPr="00EF7CF9" w:rsidRDefault="005642C9" w:rsidP="00F01ED6">
            <w:pPr>
              <w:pStyle w:val="ProductList-OfferingBody"/>
              <w:jc w:val="center"/>
              <w:rPr>
                <w:color w:val="FFFFFF" w:themeColor="background1"/>
              </w:rPr>
            </w:pPr>
            <w:r>
              <w:rPr>
                <w:color w:val="FFFFFF" w:themeColor="background1"/>
              </w:rPr>
              <w:t>Crédito de Serviço</w:t>
            </w:r>
          </w:p>
        </w:tc>
      </w:tr>
      <w:tr w:rsidR="005642C9" w:rsidRPr="00B44CF9" w14:paraId="70D7652F" w14:textId="77777777" w:rsidTr="00277097">
        <w:tc>
          <w:tcPr>
            <w:tcW w:w="5400" w:type="dxa"/>
          </w:tcPr>
          <w:p w14:paraId="02FF7B3E" w14:textId="6A0A2252" w:rsidR="005642C9" w:rsidRPr="00EF7CF9" w:rsidRDefault="005642C9" w:rsidP="00F01ED6">
            <w:pPr>
              <w:pStyle w:val="ProductList-OfferingBody"/>
              <w:jc w:val="center"/>
            </w:pPr>
            <w:r>
              <w:t>&lt; 99,99%</w:t>
            </w:r>
          </w:p>
        </w:tc>
        <w:tc>
          <w:tcPr>
            <w:tcW w:w="5400" w:type="dxa"/>
          </w:tcPr>
          <w:p w14:paraId="1E279DA4" w14:textId="77777777" w:rsidR="005642C9" w:rsidRPr="00EF7CF9" w:rsidRDefault="005642C9" w:rsidP="00F01ED6">
            <w:pPr>
              <w:pStyle w:val="ProductList-OfferingBody"/>
              <w:jc w:val="center"/>
            </w:pPr>
            <w:r>
              <w:t>10%</w:t>
            </w:r>
          </w:p>
        </w:tc>
      </w:tr>
      <w:tr w:rsidR="005642C9" w:rsidRPr="00B44CF9" w14:paraId="44FAF15C" w14:textId="77777777" w:rsidTr="00277097">
        <w:tc>
          <w:tcPr>
            <w:tcW w:w="5400" w:type="dxa"/>
          </w:tcPr>
          <w:p w14:paraId="1251AD4B" w14:textId="77777777" w:rsidR="005642C9" w:rsidRPr="00EF7CF9" w:rsidRDefault="005642C9" w:rsidP="00F01ED6">
            <w:pPr>
              <w:pStyle w:val="ProductList-OfferingBody"/>
              <w:jc w:val="center"/>
            </w:pPr>
            <w:r>
              <w:t>&lt; 99%</w:t>
            </w:r>
          </w:p>
        </w:tc>
        <w:tc>
          <w:tcPr>
            <w:tcW w:w="5400" w:type="dxa"/>
          </w:tcPr>
          <w:p w14:paraId="6271DB67" w14:textId="77777777" w:rsidR="005642C9" w:rsidRPr="00EF7CF9" w:rsidRDefault="005642C9" w:rsidP="00F01ED6">
            <w:pPr>
              <w:pStyle w:val="ProductList-OfferingBody"/>
              <w:jc w:val="center"/>
            </w:pPr>
            <w:r>
              <w:t>25%</w:t>
            </w:r>
          </w:p>
        </w:tc>
      </w:tr>
    </w:tbl>
    <w:bookmarkStart w:id="350" w:name="_Toc52348976"/>
    <w:bookmarkStart w:id="351" w:name="NetworkWatcher"/>
    <w:bookmarkStart w:id="352" w:name="_Toc457821568"/>
    <w:p w14:paraId="6D32C528"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7F611FD" w14:textId="54E874B7" w:rsidR="00430979" w:rsidRPr="00EF7CF9" w:rsidRDefault="00430979" w:rsidP="00F01ED6">
      <w:pPr>
        <w:pStyle w:val="ProductList-Offering2Heading"/>
        <w:keepNext/>
        <w:tabs>
          <w:tab w:val="clear" w:pos="360"/>
          <w:tab w:val="clear" w:pos="720"/>
          <w:tab w:val="clear" w:pos="1080"/>
        </w:tabs>
        <w:outlineLvl w:val="2"/>
      </w:pPr>
      <w:bookmarkStart w:id="353" w:name="_Toc239176510"/>
      <w:r>
        <w:t>Observador de Rede</w:t>
      </w:r>
      <w:bookmarkEnd w:id="350"/>
      <w:bookmarkEnd w:id="353"/>
    </w:p>
    <w:bookmarkEnd w:id="351"/>
    <w:p w14:paraId="661CF817" w14:textId="77777777" w:rsidR="00430979" w:rsidRDefault="00430979" w:rsidP="00F01ED6">
      <w:pPr>
        <w:pStyle w:val="ProductList-Body"/>
        <w:rPr>
          <w:b/>
          <w:color w:val="00188F"/>
        </w:rPr>
      </w:pPr>
      <w:r>
        <w:rPr>
          <w:b/>
          <w:color w:val="00188F"/>
        </w:rPr>
        <w:t>Definições Adicionais</w:t>
      </w:r>
      <w:r w:rsidRPr="00473DD3">
        <w:rPr>
          <w:b/>
          <w:color w:val="00188F"/>
        </w:rPr>
        <w:t>:</w:t>
      </w:r>
    </w:p>
    <w:p w14:paraId="00667AC1" w14:textId="1E963768" w:rsidR="00430979" w:rsidRPr="00EF7CF9" w:rsidRDefault="00380305" w:rsidP="00F01ED6">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Ferramentas de Diagnóstico de Rede</w:t>
      </w:r>
      <w:r>
        <w:rPr>
          <w:rFonts w:cstheme="minorHAnsi"/>
          <w:sz w:val="18"/>
          <w:szCs w:val="18"/>
        </w:rPr>
        <w:t>”</w:t>
      </w:r>
      <w:r w:rsidR="00430979">
        <w:rPr>
          <w:rFonts w:cstheme="minorHAnsi"/>
          <w:sz w:val="18"/>
          <w:szCs w:val="18"/>
        </w:rPr>
        <w:t xml:space="preserve"> é uma coleção de ferramentas de topologia e diagnóstico de rede.</w:t>
      </w:r>
    </w:p>
    <w:p w14:paraId="767FDCE8" w14:textId="39952022" w:rsidR="00430979" w:rsidRPr="00EF7CF9" w:rsidRDefault="00380305" w:rsidP="00F01ED6">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Máximo de Verificações de Diagnóstico</w:t>
      </w:r>
      <w:r>
        <w:rPr>
          <w:rFonts w:cstheme="minorHAnsi"/>
          <w:sz w:val="18"/>
          <w:szCs w:val="18"/>
        </w:rPr>
        <w:t>”</w:t>
      </w:r>
      <w:r w:rsidR="00430979">
        <w:rPr>
          <w:rFonts w:cstheme="minorHAnsi"/>
          <w:sz w:val="18"/>
          <w:szCs w:val="18"/>
        </w:rPr>
        <w:t xml:space="preserve"> é o número total de ações de diagnóstico efetuadas pela Ferramenta de Diagnóstico de Rede, tal como configurado pelo Cliente num Período Aplicável para uma determinada subscrição do Microsoft Azure.</w:t>
      </w:r>
    </w:p>
    <w:p w14:paraId="224AA33A" w14:textId="6C0287E7" w:rsidR="00430979" w:rsidRDefault="00380305" w:rsidP="00F01ED6">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Verificações de Diagnóstico com Falha</w:t>
      </w:r>
      <w:r>
        <w:rPr>
          <w:rFonts w:cstheme="minorHAnsi"/>
          <w:sz w:val="18"/>
          <w:szCs w:val="18"/>
        </w:rPr>
        <w:t>”</w:t>
      </w:r>
      <w:r w:rsidR="00430979">
        <w:rPr>
          <w:rFonts w:cstheme="minorHAnsi"/>
          <w:sz w:val="18"/>
          <w:szCs w:val="18"/>
        </w:rPr>
        <w:t xml:space="preserve"> designa o número total de ações de diagnóstico no Máximo de Verificações de Diagnóstico que devolve um Código de Erro ou não devolve uma resposta no Tempo Máximo de Processamento documentado na tabela abaixo.</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B50E44" w:rsidRDefault="00430979" w:rsidP="00F01ED6">
            <w:pPr>
              <w:pStyle w:val="ProductList-OfferingBody"/>
              <w:rPr>
                <w:color w:val="FFFFFF" w:themeColor="background1"/>
                <w:szCs w:val="16"/>
              </w:rPr>
            </w:pPr>
            <w:r w:rsidRPr="00B50E44">
              <w:rPr>
                <w:color w:val="FFFFFF" w:themeColor="background1"/>
                <w:szCs w:val="16"/>
              </w:rPr>
              <w:lastRenderedPageBreak/>
              <w:t>Ferramenta de Diagnóstico</w:t>
            </w:r>
          </w:p>
        </w:tc>
        <w:tc>
          <w:tcPr>
            <w:tcW w:w="2491" w:type="pct"/>
            <w:shd w:val="clear" w:color="auto" w:fill="0072C6"/>
          </w:tcPr>
          <w:p w14:paraId="42C15AC1" w14:textId="77777777" w:rsidR="00430979" w:rsidRPr="00B50E44" w:rsidRDefault="00430979" w:rsidP="00F01ED6">
            <w:pPr>
              <w:pStyle w:val="ProductList-OfferingBody"/>
              <w:rPr>
                <w:color w:val="FFFFFF" w:themeColor="background1"/>
                <w:szCs w:val="16"/>
              </w:rPr>
            </w:pPr>
            <w:r w:rsidRPr="00B50E44">
              <w:rPr>
                <w:color w:val="FFFFFF" w:themeColor="background1"/>
                <w:szCs w:val="16"/>
              </w:rPr>
              <w:t>Tempo Máximo de Processamento</w:t>
            </w:r>
          </w:p>
        </w:tc>
      </w:tr>
      <w:tr w:rsidR="00430979" w:rsidRPr="00B44CF9" w14:paraId="07761AA6" w14:textId="77777777" w:rsidTr="000F31B4">
        <w:trPr>
          <w:trHeight w:val="242"/>
        </w:trPr>
        <w:tc>
          <w:tcPr>
            <w:tcW w:w="2509" w:type="pct"/>
          </w:tcPr>
          <w:p w14:paraId="7DD7868C" w14:textId="77777777" w:rsidR="00430979" w:rsidRPr="00B50E44" w:rsidRDefault="00430979" w:rsidP="00F01ED6">
            <w:pPr>
              <w:pStyle w:val="Heading2"/>
              <w:keepNext w:val="0"/>
              <w:keepLines w:val="0"/>
              <w:spacing w:line="240" w:lineRule="auto"/>
              <w:rPr>
                <w:rFonts w:asciiTheme="minorHAnsi" w:eastAsiaTheme="minorEastAsia" w:hAnsiTheme="minorHAnsi" w:cstheme="minorHAnsi"/>
                <w:b/>
                <w:bCs/>
                <w:color w:val="auto"/>
                <w:sz w:val="16"/>
                <w:szCs w:val="16"/>
              </w:rPr>
            </w:pPr>
            <w:r w:rsidRPr="00B50E44">
              <w:rPr>
                <w:rFonts w:asciiTheme="minorHAnsi" w:eastAsiaTheme="minorEastAsia" w:hAnsiTheme="minorHAnsi" w:cstheme="minorHAnsi"/>
                <w:color w:val="auto"/>
                <w:sz w:val="16"/>
                <w:szCs w:val="16"/>
              </w:rPr>
              <w:t>Verificação IPFlow</w:t>
            </w:r>
          </w:p>
          <w:p w14:paraId="5051AC35" w14:textId="77777777" w:rsidR="00430979" w:rsidRPr="00B50E44" w:rsidRDefault="00430979" w:rsidP="00F01ED6">
            <w:pPr>
              <w:pStyle w:val="Heading2"/>
              <w:keepNext w:val="0"/>
              <w:spacing w:line="240" w:lineRule="auto"/>
              <w:rPr>
                <w:rFonts w:asciiTheme="minorHAnsi" w:eastAsiaTheme="minorEastAsia" w:hAnsiTheme="minorHAnsi" w:cstheme="minorHAnsi"/>
                <w:b/>
                <w:bCs/>
                <w:color w:val="auto"/>
                <w:sz w:val="16"/>
                <w:szCs w:val="16"/>
              </w:rPr>
            </w:pPr>
            <w:r w:rsidRPr="00B50E44">
              <w:rPr>
                <w:rFonts w:asciiTheme="minorHAnsi" w:eastAsiaTheme="minorEastAsia" w:hAnsiTheme="minorHAnsi" w:cstheme="minorHAnsi"/>
                <w:color w:val="auto"/>
                <w:sz w:val="16"/>
                <w:szCs w:val="16"/>
              </w:rPr>
              <w:t>NextHop</w:t>
            </w:r>
          </w:p>
          <w:p w14:paraId="68485720" w14:textId="77777777" w:rsidR="00430979" w:rsidRPr="00B50E44" w:rsidRDefault="00430979" w:rsidP="00F01ED6">
            <w:pPr>
              <w:pStyle w:val="Heading2"/>
              <w:keepNext w:val="0"/>
              <w:spacing w:line="240" w:lineRule="auto"/>
              <w:rPr>
                <w:rFonts w:asciiTheme="minorHAnsi" w:eastAsiaTheme="minorEastAsia" w:hAnsiTheme="minorHAnsi" w:cstheme="minorHAnsi"/>
                <w:b/>
                <w:bCs/>
                <w:color w:val="auto"/>
                <w:sz w:val="16"/>
                <w:szCs w:val="16"/>
              </w:rPr>
            </w:pPr>
            <w:r w:rsidRPr="00B50E44">
              <w:rPr>
                <w:rFonts w:asciiTheme="minorHAnsi" w:eastAsiaTheme="minorEastAsia" w:hAnsiTheme="minorHAnsi" w:cstheme="minorHAnsi"/>
                <w:color w:val="auto"/>
                <w:sz w:val="16"/>
                <w:szCs w:val="16"/>
              </w:rPr>
              <w:t>Captura de Pacotes</w:t>
            </w:r>
          </w:p>
          <w:p w14:paraId="3A4359B7" w14:textId="77777777" w:rsidR="00430979" w:rsidRPr="00B50E44" w:rsidRDefault="00430979" w:rsidP="00F01ED6">
            <w:pPr>
              <w:pStyle w:val="Heading2"/>
              <w:keepNext w:val="0"/>
              <w:spacing w:line="240" w:lineRule="auto"/>
              <w:rPr>
                <w:rFonts w:asciiTheme="minorHAnsi" w:eastAsiaTheme="minorEastAsia" w:hAnsiTheme="minorHAnsi" w:cstheme="minorHAnsi"/>
                <w:b/>
                <w:bCs/>
                <w:color w:val="auto"/>
                <w:sz w:val="16"/>
                <w:szCs w:val="16"/>
              </w:rPr>
            </w:pPr>
            <w:r w:rsidRPr="00B50E44">
              <w:rPr>
                <w:rFonts w:asciiTheme="minorHAnsi" w:eastAsiaTheme="minorEastAsia" w:hAnsiTheme="minorHAnsi" w:cstheme="minorHAnsi"/>
                <w:color w:val="auto"/>
                <w:sz w:val="16"/>
                <w:szCs w:val="16"/>
              </w:rPr>
              <w:t>Vista do Grupo de Segurança</w:t>
            </w:r>
          </w:p>
          <w:p w14:paraId="44D59B52" w14:textId="77777777" w:rsidR="00430979" w:rsidRPr="00B50E44" w:rsidRDefault="00430979" w:rsidP="00F01ED6">
            <w:pPr>
              <w:pStyle w:val="ProductList-OfferingBody"/>
              <w:rPr>
                <w:rFonts w:eastAsiaTheme="minorEastAsia" w:cstheme="minorHAnsi"/>
                <w:szCs w:val="16"/>
              </w:rPr>
            </w:pPr>
            <w:r w:rsidRPr="00B50E44">
              <w:rPr>
                <w:rFonts w:eastAsiaTheme="minorEastAsia" w:cstheme="minorHAnsi"/>
                <w:szCs w:val="16"/>
              </w:rPr>
              <w:t>Topologia</w:t>
            </w:r>
          </w:p>
          <w:p w14:paraId="51B46A76" w14:textId="77777777" w:rsidR="00430979" w:rsidRPr="00B50E44" w:rsidRDefault="00430979" w:rsidP="00F01ED6">
            <w:pPr>
              <w:pStyle w:val="ProductList-Body"/>
              <w:rPr>
                <w:sz w:val="16"/>
                <w:szCs w:val="16"/>
              </w:rPr>
            </w:pPr>
            <w:r w:rsidRPr="00B50E44">
              <w:rPr>
                <w:sz w:val="16"/>
                <w:szCs w:val="16"/>
              </w:rPr>
              <w:t>Monitor de Ligações</w:t>
            </w:r>
          </w:p>
          <w:p w14:paraId="11650A43" w14:textId="77777777" w:rsidR="00430979" w:rsidRPr="00B50E44" w:rsidRDefault="00430979" w:rsidP="00F01ED6">
            <w:pPr>
              <w:pStyle w:val="ProductList-Body"/>
              <w:rPr>
                <w:sz w:val="16"/>
                <w:szCs w:val="16"/>
              </w:rPr>
            </w:pPr>
            <w:r w:rsidRPr="00B50E44">
              <w:rPr>
                <w:sz w:val="16"/>
                <w:szCs w:val="16"/>
              </w:rPr>
              <w:t>Monitor de Ligações (clássico)</w:t>
            </w:r>
          </w:p>
        </w:tc>
        <w:tc>
          <w:tcPr>
            <w:tcW w:w="2491" w:type="pct"/>
          </w:tcPr>
          <w:p w14:paraId="6C475433" w14:textId="77777777" w:rsidR="00430979" w:rsidRPr="00B50E44" w:rsidRDefault="00430979" w:rsidP="00F01ED6">
            <w:pPr>
              <w:pStyle w:val="ProductList-OfferingBody"/>
              <w:rPr>
                <w:szCs w:val="16"/>
              </w:rPr>
            </w:pPr>
            <w:r w:rsidRPr="00B50E44">
              <w:rPr>
                <w:szCs w:val="16"/>
              </w:rPr>
              <w:t>2 minutos</w:t>
            </w:r>
          </w:p>
        </w:tc>
      </w:tr>
      <w:tr w:rsidR="00430979" w:rsidRPr="00B44CF9" w14:paraId="23AAA306" w14:textId="77777777" w:rsidTr="000F31B4">
        <w:trPr>
          <w:trHeight w:val="249"/>
        </w:trPr>
        <w:tc>
          <w:tcPr>
            <w:tcW w:w="2509" w:type="pct"/>
          </w:tcPr>
          <w:p w14:paraId="58E8F7FE" w14:textId="77777777" w:rsidR="00430979" w:rsidRPr="00B50E44" w:rsidRDefault="00430979" w:rsidP="00F01ED6">
            <w:pPr>
              <w:pStyle w:val="ProductList-OfferingBody"/>
              <w:rPr>
                <w:szCs w:val="16"/>
              </w:rPr>
            </w:pPr>
            <w:r w:rsidRPr="00B50E44">
              <w:rPr>
                <w:szCs w:val="16"/>
              </w:rPr>
              <w:t>Resolução de Problemas da VPN</w:t>
            </w:r>
          </w:p>
        </w:tc>
        <w:tc>
          <w:tcPr>
            <w:tcW w:w="2491" w:type="pct"/>
          </w:tcPr>
          <w:p w14:paraId="7C7EB31F" w14:textId="77777777" w:rsidR="00430979" w:rsidRPr="00B50E44" w:rsidRDefault="00430979" w:rsidP="00F01ED6">
            <w:pPr>
              <w:pStyle w:val="ProductList-OfferingBody"/>
              <w:rPr>
                <w:szCs w:val="16"/>
              </w:rPr>
            </w:pPr>
            <w:r w:rsidRPr="00B50E44">
              <w:rPr>
                <w:szCs w:val="16"/>
              </w:rPr>
              <w:t xml:space="preserve">10 minutos </w:t>
            </w:r>
          </w:p>
        </w:tc>
      </w:tr>
    </w:tbl>
    <w:p w14:paraId="643CF345" w14:textId="5E16B9F6" w:rsidR="00430979" w:rsidRPr="00CB7596" w:rsidRDefault="00430979" w:rsidP="00F01ED6">
      <w:pPr>
        <w:spacing w:before="120" w:after="0" w:line="240" w:lineRule="auto"/>
        <w:rPr>
          <w:rFonts w:cstheme="minorHAnsi"/>
          <w:sz w:val="18"/>
          <w:szCs w:val="18"/>
        </w:rPr>
      </w:pPr>
      <w:r w:rsidRPr="00CB7596">
        <w:rPr>
          <w:sz w:val="18"/>
          <w:szCs w:val="18"/>
        </w:rPr>
        <w:t xml:space="preserve">A </w:t>
      </w:r>
      <w:r w:rsidR="00380305" w:rsidRPr="00CB7596">
        <w:rPr>
          <w:rFonts w:cstheme="minorHAnsi"/>
          <w:sz w:val="18"/>
          <w:szCs w:val="18"/>
        </w:rPr>
        <w:t>“</w:t>
      </w:r>
      <w:r w:rsidRPr="00CB7596">
        <w:rPr>
          <w:rFonts w:cstheme="minorHAnsi"/>
          <w:b/>
          <w:color w:val="00188F"/>
          <w:sz w:val="18"/>
          <w:szCs w:val="18"/>
        </w:rPr>
        <w:t>Percentagem de Período de Disponibilidade</w:t>
      </w:r>
      <w:r w:rsidR="00380305" w:rsidRPr="00CB7596">
        <w:rPr>
          <w:rFonts w:cstheme="minorHAnsi"/>
          <w:sz w:val="18"/>
          <w:szCs w:val="18"/>
        </w:rPr>
        <w:t>”</w:t>
      </w:r>
      <w:r w:rsidRPr="00CB7596">
        <w:rPr>
          <w:rFonts w:cstheme="minorHAnsi"/>
          <w:sz w:val="18"/>
          <w:szCs w:val="18"/>
        </w:rPr>
        <w:t xml:space="preserve"> é calculada através da seguinte fórmula:</w:t>
      </w:r>
    </w:p>
    <w:p w14:paraId="680B8244" w14:textId="35A39F3A" w:rsidR="00430979" w:rsidRPr="00EF7CF9" w:rsidRDefault="00000000" w:rsidP="00271701">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Verificações de Diagnóstico - Verificações de Diagnóstico com Falha</m:t>
              </m:r>
            </m:num>
            <m:den>
              <m:r>
                <m:rPr>
                  <m:nor/>
                </m:rPr>
                <w:rPr>
                  <w:rFonts w:ascii="Cambria Math" w:hAnsi="Cambria Math" w:cs="Tahoma"/>
                  <w:i/>
                  <w:sz w:val="18"/>
                  <w:szCs w:val="18"/>
                </w:rPr>
                <m:t>Máximo de Verificações de Diagnóstico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77777777" w:rsidR="00430979" w:rsidRPr="00EF7CF9" w:rsidRDefault="00430979" w:rsidP="00F01ED6">
      <w:pPr>
        <w:pStyle w:val="ProductList-Body"/>
      </w:pPr>
      <w:r>
        <w:rPr>
          <w:b/>
          <w:color w:val="00188F"/>
        </w:rPr>
        <w:t>Níveis de Serviço</w:t>
      </w:r>
      <w:r w:rsidRPr="00473DD3">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B50E44" w:rsidRDefault="00AC48A7" w:rsidP="00F01ED6">
            <w:pPr>
              <w:pStyle w:val="ProductList-OfferingBody"/>
              <w:jc w:val="center"/>
              <w:rPr>
                <w:color w:val="FFFFFF" w:themeColor="background1"/>
                <w:szCs w:val="16"/>
              </w:rPr>
            </w:pPr>
            <w:r w:rsidRPr="00B50E44">
              <w:rPr>
                <w:color w:val="FFFFFF" w:themeColor="background1"/>
                <w:szCs w:val="16"/>
              </w:rPr>
              <w:t>Percentagem de Período de Disponibilidade</w:t>
            </w:r>
          </w:p>
        </w:tc>
        <w:tc>
          <w:tcPr>
            <w:tcW w:w="2487" w:type="pct"/>
            <w:shd w:val="clear" w:color="auto" w:fill="0072C6"/>
          </w:tcPr>
          <w:p w14:paraId="75A13F4F" w14:textId="77777777" w:rsidR="00430979" w:rsidRPr="00B50E44" w:rsidRDefault="00430979" w:rsidP="00F01ED6">
            <w:pPr>
              <w:pStyle w:val="ProductList-OfferingBody"/>
              <w:jc w:val="center"/>
              <w:rPr>
                <w:color w:val="FFFFFF" w:themeColor="background1"/>
                <w:szCs w:val="16"/>
              </w:rPr>
            </w:pPr>
            <w:r w:rsidRPr="00B50E44">
              <w:rPr>
                <w:color w:val="FFFFFF" w:themeColor="background1"/>
                <w:szCs w:val="16"/>
              </w:rPr>
              <w:t>Crédito de Serviço</w:t>
            </w:r>
          </w:p>
        </w:tc>
      </w:tr>
      <w:tr w:rsidR="00430979" w:rsidRPr="00B44CF9" w14:paraId="3DDD643D" w14:textId="77777777" w:rsidTr="000F31B4">
        <w:trPr>
          <w:trHeight w:val="242"/>
        </w:trPr>
        <w:tc>
          <w:tcPr>
            <w:tcW w:w="2513" w:type="pct"/>
          </w:tcPr>
          <w:p w14:paraId="099B35BD" w14:textId="77777777" w:rsidR="00430979" w:rsidRPr="00B50E44" w:rsidRDefault="00430979" w:rsidP="00F01ED6">
            <w:pPr>
              <w:pStyle w:val="ProductList-OfferingBody"/>
              <w:jc w:val="center"/>
              <w:rPr>
                <w:szCs w:val="16"/>
              </w:rPr>
            </w:pPr>
            <w:r w:rsidRPr="00B50E44">
              <w:rPr>
                <w:szCs w:val="16"/>
              </w:rPr>
              <w:t>&lt; 99,9%</w:t>
            </w:r>
          </w:p>
        </w:tc>
        <w:tc>
          <w:tcPr>
            <w:tcW w:w="2487" w:type="pct"/>
          </w:tcPr>
          <w:p w14:paraId="2269548D" w14:textId="77777777" w:rsidR="00430979" w:rsidRPr="00B50E44" w:rsidRDefault="00430979" w:rsidP="00F01ED6">
            <w:pPr>
              <w:pStyle w:val="ProductList-OfferingBody"/>
              <w:jc w:val="center"/>
              <w:rPr>
                <w:szCs w:val="16"/>
              </w:rPr>
            </w:pPr>
            <w:r w:rsidRPr="00B50E44">
              <w:rPr>
                <w:szCs w:val="16"/>
              </w:rPr>
              <w:t>10%</w:t>
            </w:r>
          </w:p>
        </w:tc>
      </w:tr>
      <w:tr w:rsidR="00430979" w:rsidRPr="00B44CF9" w14:paraId="743D0E65" w14:textId="77777777" w:rsidTr="000F31B4">
        <w:trPr>
          <w:trHeight w:val="249"/>
        </w:trPr>
        <w:tc>
          <w:tcPr>
            <w:tcW w:w="2513" w:type="pct"/>
          </w:tcPr>
          <w:p w14:paraId="715B48C8" w14:textId="77777777" w:rsidR="00430979" w:rsidRPr="00B50E44" w:rsidRDefault="00430979" w:rsidP="00F01ED6">
            <w:pPr>
              <w:pStyle w:val="ProductList-OfferingBody"/>
              <w:jc w:val="center"/>
              <w:rPr>
                <w:szCs w:val="16"/>
              </w:rPr>
            </w:pPr>
            <w:r w:rsidRPr="00B50E44">
              <w:rPr>
                <w:szCs w:val="16"/>
              </w:rPr>
              <w:t>&lt; 99%</w:t>
            </w:r>
          </w:p>
        </w:tc>
        <w:tc>
          <w:tcPr>
            <w:tcW w:w="2487" w:type="pct"/>
          </w:tcPr>
          <w:p w14:paraId="56040B94" w14:textId="77777777" w:rsidR="00430979" w:rsidRPr="00B50E44" w:rsidRDefault="00430979" w:rsidP="00F01ED6">
            <w:pPr>
              <w:pStyle w:val="ProductList-OfferingBody"/>
              <w:jc w:val="center"/>
              <w:rPr>
                <w:szCs w:val="16"/>
              </w:rPr>
            </w:pPr>
            <w:r w:rsidRPr="00B50E44">
              <w:rPr>
                <w:szCs w:val="16"/>
              </w:rPr>
              <w:t>25%</w:t>
            </w:r>
          </w:p>
        </w:tc>
      </w:tr>
    </w:tbl>
    <w:bookmarkStart w:id="354" w:name="_Toc457821572"/>
    <w:bookmarkStart w:id="355" w:name="_Toc52348982"/>
    <w:bookmarkEnd w:id="352"/>
    <w:p w14:paraId="373B34EF"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50314EE" w14:textId="77777777" w:rsidR="00430979" w:rsidRPr="00EF7CF9" w:rsidRDefault="00430979" w:rsidP="00F01ED6">
      <w:pPr>
        <w:pStyle w:val="ProductList-Offering2Heading"/>
        <w:tabs>
          <w:tab w:val="clear" w:pos="360"/>
          <w:tab w:val="clear" w:pos="720"/>
          <w:tab w:val="clear" w:pos="1080"/>
        </w:tabs>
        <w:outlineLvl w:val="2"/>
      </w:pPr>
      <w:bookmarkStart w:id="356" w:name="_Toc239176511"/>
      <w:r>
        <w:t>Hubs de Notificação</w:t>
      </w:r>
      <w:bookmarkEnd w:id="354"/>
      <w:bookmarkEnd w:id="355"/>
      <w:bookmarkEnd w:id="356"/>
    </w:p>
    <w:p w14:paraId="7246C680" w14:textId="77777777" w:rsidR="00430979" w:rsidRPr="00EF7CF9" w:rsidRDefault="00430979" w:rsidP="00F01ED6">
      <w:pPr>
        <w:pStyle w:val="ProductList-Body"/>
      </w:pPr>
      <w:r>
        <w:rPr>
          <w:b/>
          <w:color w:val="00188F"/>
        </w:rPr>
        <w:t>Definições Adicionais</w:t>
      </w:r>
      <w:r w:rsidRPr="00473DD3">
        <w:rPr>
          <w:b/>
          <w:color w:val="00188F"/>
        </w:rPr>
        <w:t>:</w:t>
      </w:r>
    </w:p>
    <w:p w14:paraId="203A06C0" w14:textId="79802AD3" w:rsidR="00430979" w:rsidRPr="00EF7CF9" w:rsidRDefault="00380305" w:rsidP="00F01ED6">
      <w:pPr>
        <w:pStyle w:val="ProductList-Body"/>
      </w:pPr>
      <w:r>
        <w:t>“</w:t>
      </w:r>
      <w:r w:rsidR="00430979">
        <w:rPr>
          <w:b/>
          <w:color w:val="00188F"/>
        </w:rPr>
        <w:t>Minutos de Implementação</w:t>
      </w:r>
      <w:r>
        <w:t>”</w:t>
      </w:r>
      <w:r w:rsidR="00430979">
        <w:t xml:space="preserve"> designa o número total de minutos durante os quais um determinado Hub de Notificação foi implementado no Microsoft Azure durante um Período Aplicável.</w:t>
      </w:r>
    </w:p>
    <w:p w14:paraId="6D21BD1A" w14:textId="308F999E" w:rsidR="00430979" w:rsidRPr="00EF7CF9" w:rsidRDefault="00380305" w:rsidP="00F01ED6">
      <w:pPr>
        <w:pStyle w:val="ProductList-Body"/>
      </w:pPr>
      <w:r>
        <w:t>“</w:t>
      </w:r>
      <w:r w:rsidR="00430979">
        <w:rPr>
          <w:b/>
          <w:color w:val="00188F"/>
        </w:rPr>
        <w:t>Máximo de Minutos Disponíveis</w:t>
      </w:r>
      <w:r>
        <w:t>”</w:t>
      </w:r>
      <w:r w:rsidR="00430979">
        <w:t xml:space="preserve"> designa a soma de todos os Minutos de Implementação em todos os Hubs de Notificação implementados pelo Cliente numa determinada subscrição do Microsoft Azure nas camadas Basic ou Standard dos Hubs de Notificação durante um Período Aplicável.</w:t>
      </w:r>
    </w:p>
    <w:p w14:paraId="426087FB" w14:textId="168DD1DC" w:rsidR="00430979" w:rsidRPr="00EF7CF9" w:rsidRDefault="00430979" w:rsidP="005E5DC2">
      <w:pPr>
        <w:pStyle w:val="ProductList-Body"/>
        <w:keepNext/>
        <w:keepLines/>
      </w:pPr>
      <w:r>
        <w:rPr>
          <w:b/>
          <w:color w:val="00188F"/>
        </w:rPr>
        <w:t>Período de Indisponibilidade</w:t>
      </w:r>
      <w:r w:rsidRPr="00473DD3">
        <w:rPr>
          <w:b/>
          <w:color w:val="00188F"/>
        </w:rPr>
        <w:t>:</w:t>
      </w:r>
      <w:r>
        <w:t xml:space="preserve"> O total de Minutos de Implementação acumulados, em todos os Hubs de Notificação implementados pelo Cliente numa determinada subscrição do Microsoft Azure nas camadas Basic ou Standard dos Hubs de Notificação, no qual o Hub de Notificação está indisponível. Um minuto é considerado indisponível para um determinado Hub de Notificação se todas as tentativas contínuas para enviar notificações ou executar operações de gestão de registos relativamente ao Hub de Notificação nesse minuto devolverem um Código de Erro ou não resultarem num Código de Êxito num prazo de cinco minutos.</w:t>
      </w:r>
    </w:p>
    <w:p w14:paraId="0C4D73A4" w14:textId="77D9F744" w:rsidR="0043097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2358A694" w14:textId="113B4B4B" w:rsidR="00430979" w:rsidRPr="00EF7CF9" w:rsidRDefault="00000000" w:rsidP="00AB6E4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AFB4ECA" w14:textId="77777777" w:rsidR="00430979" w:rsidRPr="00EF7CF9" w:rsidRDefault="00430979"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5FB8E86" w14:textId="77777777" w:rsidR="00430979" w:rsidRPr="00EF7CF9" w:rsidRDefault="00430979" w:rsidP="00F01ED6">
            <w:pPr>
              <w:pStyle w:val="ProductList-OfferingBody"/>
              <w:jc w:val="center"/>
              <w:rPr>
                <w:color w:val="FFFFFF" w:themeColor="background1"/>
              </w:rPr>
            </w:pPr>
            <w:r>
              <w:rPr>
                <w:color w:val="FFFFFF" w:themeColor="background1"/>
              </w:rPr>
              <w:t>Crédito de Serviço</w:t>
            </w:r>
          </w:p>
        </w:tc>
      </w:tr>
      <w:tr w:rsidR="00430979" w:rsidRPr="00B44CF9" w14:paraId="41130667" w14:textId="77777777" w:rsidTr="00277097">
        <w:tc>
          <w:tcPr>
            <w:tcW w:w="5400" w:type="dxa"/>
          </w:tcPr>
          <w:p w14:paraId="74AA00A9" w14:textId="77777777" w:rsidR="00430979" w:rsidRPr="00EF7CF9" w:rsidRDefault="00430979" w:rsidP="00F01ED6">
            <w:pPr>
              <w:pStyle w:val="ProductList-OfferingBody"/>
              <w:jc w:val="center"/>
            </w:pPr>
            <w:r>
              <w:t>&lt; 99,9%</w:t>
            </w:r>
          </w:p>
        </w:tc>
        <w:tc>
          <w:tcPr>
            <w:tcW w:w="5400" w:type="dxa"/>
          </w:tcPr>
          <w:p w14:paraId="38E84104" w14:textId="77777777" w:rsidR="00430979" w:rsidRPr="00EF7CF9" w:rsidRDefault="00430979" w:rsidP="00F01ED6">
            <w:pPr>
              <w:pStyle w:val="ProductList-OfferingBody"/>
              <w:jc w:val="center"/>
            </w:pPr>
            <w:r>
              <w:t>10%</w:t>
            </w:r>
          </w:p>
        </w:tc>
      </w:tr>
      <w:tr w:rsidR="00430979" w:rsidRPr="00B44CF9" w14:paraId="3EBECA4D" w14:textId="77777777" w:rsidTr="00277097">
        <w:tc>
          <w:tcPr>
            <w:tcW w:w="5400" w:type="dxa"/>
          </w:tcPr>
          <w:p w14:paraId="11E96FFE" w14:textId="77777777" w:rsidR="00430979" w:rsidRPr="00EF7CF9" w:rsidRDefault="00430979" w:rsidP="00F01ED6">
            <w:pPr>
              <w:pStyle w:val="ProductList-OfferingBody"/>
              <w:jc w:val="center"/>
            </w:pPr>
            <w:r>
              <w:t>&lt; 99%</w:t>
            </w:r>
          </w:p>
        </w:tc>
        <w:tc>
          <w:tcPr>
            <w:tcW w:w="5400" w:type="dxa"/>
          </w:tcPr>
          <w:p w14:paraId="437A1D31" w14:textId="77777777" w:rsidR="00430979" w:rsidRPr="00EF7CF9" w:rsidRDefault="00430979" w:rsidP="00F01ED6">
            <w:pPr>
              <w:pStyle w:val="ProductList-OfferingBody"/>
              <w:jc w:val="center"/>
            </w:pPr>
            <w:r>
              <w:t>25%</w:t>
            </w:r>
          </w:p>
        </w:tc>
      </w:tr>
    </w:tbl>
    <w:p w14:paraId="65389EC9" w14:textId="51329B8F" w:rsidR="00430979" w:rsidRPr="00EF7CF9" w:rsidRDefault="00430979" w:rsidP="00AB6E4B">
      <w:pPr>
        <w:pStyle w:val="ProductList-Body"/>
        <w:keepNext/>
        <w:spacing w:before="120"/>
      </w:pPr>
      <w:r>
        <w:rPr>
          <w:b/>
          <w:color w:val="00188F"/>
        </w:rPr>
        <w:t>Exceções de Nível de Serviço</w:t>
      </w:r>
      <w:r w:rsidRPr="00473DD3">
        <w:rPr>
          <w:b/>
          <w:color w:val="00188F"/>
        </w:rPr>
        <w:t>:</w:t>
      </w:r>
      <w:r>
        <w:t xml:space="preserve"> Os Níveis de Serviço e Créditos de Serviço são aplicáveis à utilização que o Cliente faz das camadas Basic e Standard dos Hubs de Notificação.</w:t>
      </w:r>
    </w:p>
    <w:p w14:paraId="4EF79931"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5A5FD93" w14:textId="77777777" w:rsidR="00430979" w:rsidRPr="00430979" w:rsidRDefault="00430979" w:rsidP="00F01ED6">
      <w:pPr>
        <w:pStyle w:val="ProductList-Offering2Heading"/>
        <w:keepNext/>
        <w:tabs>
          <w:tab w:val="clear" w:pos="360"/>
          <w:tab w:val="clear" w:pos="720"/>
          <w:tab w:val="clear" w:pos="1080"/>
        </w:tabs>
        <w:outlineLvl w:val="2"/>
      </w:pPr>
      <w:bookmarkStart w:id="357" w:name="_Toc239176512"/>
      <w:r>
        <w:t>Reservas de Capacidade A Pedido para Máquinas Virtuais do Azure</w:t>
      </w:r>
      <w:bookmarkEnd w:id="357"/>
    </w:p>
    <w:p w14:paraId="3BFDCAB1" w14:textId="77777777" w:rsidR="00430979" w:rsidRPr="00430979" w:rsidRDefault="00430979" w:rsidP="00F01ED6">
      <w:pPr>
        <w:pStyle w:val="ProductList-Body"/>
        <w:rPr>
          <w:b/>
          <w:bCs/>
          <w:color w:val="00188F"/>
        </w:rPr>
      </w:pPr>
      <w:r>
        <w:rPr>
          <w:b/>
          <w:bCs/>
          <w:color w:val="00188F"/>
        </w:rPr>
        <w:t>Definições Adicionais</w:t>
      </w:r>
    </w:p>
    <w:p w14:paraId="1255BD6C" w14:textId="1E94AF1E" w:rsidR="00430979" w:rsidRDefault="00380305" w:rsidP="00F01ED6">
      <w:pPr>
        <w:pStyle w:val="ProductList-Body"/>
        <w:jc w:val="both"/>
      </w:pPr>
      <w:r>
        <w:t>“</w:t>
      </w:r>
      <w:r w:rsidR="00430979">
        <w:rPr>
          <w:b/>
          <w:bCs/>
          <w:color w:val="00188F"/>
        </w:rPr>
        <w:t>Zona de Disponibilidade</w:t>
      </w:r>
      <w:r>
        <w:t>”</w:t>
      </w:r>
      <w:r w:rsidR="00430979">
        <w:t xml:space="preserve"> designa uma área isolada de falhas numa região do Azure que providencia alimentação, refrigeração e rede redundantes.</w:t>
      </w:r>
    </w:p>
    <w:p w14:paraId="75068006" w14:textId="4B91D340" w:rsidR="00430979" w:rsidRDefault="00380305" w:rsidP="00F01ED6">
      <w:pPr>
        <w:pStyle w:val="ProductList-Body"/>
        <w:jc w:val="both"/>
      </w:pPr>
      <w:r>
        <w:t>“</w:t>
      </w:r>
      <w:r w:rsidR="00430979">
        <w:rPr>
          <w:b/>
          <w:bCs/>
          <w:color w:val="00188F"/>
        </w:rPr>
        <w:t>Capacidade</w:t>
      </w:r>
      <w:r>
        <w:t>”</w:t>
      </w:r>
      <w:r w:rsidR="00430979">
        <w:t xml:space="preserve"> é uma propriedade de uma Reserva de Capacidade A Pedido que especifica a quantidade de instâncias de Máquina Virtual reservadas</w:t>
      </w:r>
    </w:p>
    <w:p w14:paraId="2E6509A9" w14:textId="6FEA8C6F" w:rsidR="00430979" w:rsidRDefault="00380305" w:rsidP="00F01ED6">
      <w:pPr>
        <w:pStyle w:val="ProductList-Body"/>
      </w:pPr>
      <w:r>
        <w:t>“</w:t>
      </w:r>
      <w:r w:rsidR="00430979">
        <w:rPr>
          <w:b/>
          <w:bCs/>
          <w:color w:val="00188F"/>
        </w:rPr>
        <w:t>Reserva de Capacidade A Pedido</w:t>
      </w:r>
      <w:r>
        <w:t>”</w:t>
      </w:r>
      <w:r w:rsidR="00430979">
        <w:t xml:space="preserve"> é um objeto criado numa subscrição do Azure para exprimir uma quantidade de capacidade reservada para um tipo de instância de Máquina Virtual específico numa localização específica.</w:t>
      </w:r>
    </w:p>
    <w:p w14:paraId="5B67FE53" w14:textId="59944DDE" w:rsidR="00430979" w:rsidRDefault="00380305" w:rsidP="00F01ED6">
      <w:pPr>
        <w:pStyle w:val="ProductList-Body"/>
      </w:pPr>
      <w:r>
        <w:t>“</w:t>
      </w:r>
      <w:r w:rsidR="00430979">
        <w:rPr>
          <w:b/>
          <w:bCs/>
          <w:color w:val="00188F"/>
        </w:rPr>
        <w:t>Máquina Virtual</w:t>
      </w:r>
      <w:r>
        <w:t>”</w:t>
      </w:r>
      <w:r w:rsidR="00430979">
        <w:t xml:space="preserve"> designa os tipos de instância persistentes que podem ser implementados individualmente ou como parte de um Conjunto de</w:t>
      </w:r>
      <w:r w:rsidR="00A73E81">
        <w:t> </w:t>
      </w:r>
      <w:r w:rsidR="00430979">
        <w:t>Dimensionamento de Máquinas Virtuais, num ambiente multi-inquilino em Azure.</w:t>
      </w:r>
    </w:p>
    <w:p w14:paraId="44DFECDB" w14:textId="2D143B7C" w:rsidR="00430979" w:rsidRDefault="00380305" w:rsidP="00F01ED6">
      <w:pPr>
        <w:pStyle w:val="ProductList-Body"/>
      </w:pPr>
      <w:r>
        <w:t>“</w:t>
      </w:r>
      <w:r w:rsidR="00430979">
        <w:rPr>
          <w:b/>
          <w:bCs/>
          <w:color w:val="00188F"/>
        </w:rPr>
        <w:t>Máquinas Virtuais Alocadas</w:t>
      </w:r>
      <w:r>
        <w:t>”</w:t>
      </w:r>
      <w:r w:rsidR="00430979">
        <w:t xml:space="preserve"> é uma propriedade de uma Reserva de Capacidade A Pedido; refere-se à lista de Máquinas Virtuais alocadas à</w:t>
      </w:r>
      <w:r w:rsidR="005E5DC2">
        <w:t> </w:t>
      </w:r>
      <w:r w:rsidR="00430979">
        <w:t>Reserva de Capacidade A Pedido.</w:t>
      </w:r>
    </w:p>
    <w:p w14:paraId="39559A6B" w14:textId="20F2EF41" w:rsidR="00430979" w:rsidRDefault="00380305" w:rsidP="00F01ED6">
      <w:pPr>
        <w:pStyle w:val="ProductList-Body"/>
      </w:pPr>
      <w:r>
        <w:lastRenderedPageBreak/>
        <w:t>“</w:t>
      </w:r>
      <w:r w:rsidR="00430979">
        <w:rPr>
          <w:b/>
          <w:bCs/>
          <w:color w:val="00188F"/>
        </w:rPr>
        <w:t>Implementação Suportada</w:t>
      </w:r>
      <w:r>
        <w:t>”</w:t>
      </w:r>
      <w:r w:rsidR="00430979">
        <w:t xml:space="preserve"> é uma implementação de Máquina Virtual que corresponde à localização, incluindo a Zona de Disponibilidade, se</w:t>
      </w:r>
      <w:r w:rsidR="00186295">
        <w:t> </w:t>
      </w:r>
      <w:r w:rsidR="00430979">
        <w:t>for</w:t>
      </w:r>
      <w:r w:rsidR="00186295">
        <w:t> </w:t>
      </w:r>
      <w:r w:rsidR="00430979">
        <w:t>definida, utiliza o tamanho exato da Máquina Virtual de uma Reserva de Capacidade A Pedido existente e está em conformidade com a</w:t>
      </w:r>
      <w:r w:rsidR="005E5DC2">
        <w:t> </w:t>
      </w:r>
      <w:hyperlink r:id="rId25" w:anchor="limitations-and-restrictions" w:history="1">
        <w:r w:rsidR="00430979">
          <w:rPr>
            <w:rStyle w:val="Hyperlink"/>
          </w:rPr>
          <w:t>documentação de utilização</w:t>
        </w:r>
      </w:hyperlink>
      <w:r w:rsidR="00430979">
        <w:t xml:space="preserve"> da funcionalidade.</w:t>
      </w:r>
    </w:p>
    <w:p w14:paraId="5C1CD026" w14:textId="145B1602" w:rsidR="00430979" w:rsidRDefault="00380305" w:rsidP="00F01ED6">
      <w:pPr>
        <w:pStyle w:val="ProductList-Body"/>
      </w:pPr>
      <w:r>
        <w:t>“</w:t>
      </w:r>
      <w:r w:rsidR="00430979">
        <w:rPr>
          <w:b/>
          <w:bCs/>
          <w:color w:val="00188F"/>
        </w:rPr>
        <w:t>Unidade Reservada</w:t>
      </w:r>
      <w:r>
        <w:t>”</w:t>
      </w:r>
      <w:r w:rsidR="00430979">
        <w:t xml:space="preserve"> é exatamente uma instância de uma Reserva de Capacidade A Pedido. Por exemplo, se uma Reserva de Capacidade A Pedido especifica uma Capacidade de 10 Máquinas Virtuais, significa que existem 10 Unidades Reservadas.</w:t>
      </w:r>
    </w:p>
    <w:p w14:paraId="7B8AC567" w14:textId="40DF3D35" w:rsidR="00430979" w:rsidRDefault="00380305" w:rsidP="00F01ED6">
      <w:pPr>
        <w:pStyle w:val="ProductList-Body"/>
        <w:jc w:val="both"/>
      </w:pPr>
      <w:r>
        <w:t>“</w:t>
      </w:r>
      <w:r w:rsidR="00430979">
        <w:rPr>
          <w:b/>
          <w:bCs/>
          <w:color w:val="00188F"/>
        </w:rPr>
        <w:t>Reserva de Capacidade Não Utilizada</w:t>
      </w:r>
      <w:r>
        <w:t>”</w:t>
      </w:r>
      <w:r w:rsidR="00430979">
        <w:t xml:space="preserve"> é uma Reserva de Capacidade A Pedido com o número de Máquinas Virtuais Alocadas inferior à Capacidade.</w:t>
      </w:r>
    </w:p>
    <w:p w14:paraId="17BB0F27" w14:textId="2087F40A" w:rsidR="00430979" w:rsidRDefault="00380305" w:rsidP="00F01ED6">
      <w:pPr>
        <w:pStyle w:val="ProductList-Body"/>
      </w:pPr>
      <w:r>
        <w:t>“</w:t>
      </w:r>
      <w:r w:rsidR="00430979">
        <w:rPr>
          <w:b/>
          <w:bCs/>
          <w:color w:val="00188F"/>
        </w:rPr>
        <w:t>Indisponível para Implementação</w:t>
      </w:r>
      <w:r>
        <w:t>”</w:t>
      </w:r>
      <w:r w:rsidR="00430979">
        <w:t xml:space="preserve"> é definido como qualquer Implementação Suportada configurada para consumir uma Reserva de Capacidade Não Utilizada existente que satisfaz as duas condições:</w:t>
      </w:r>
    </w:p>
    <w:p w14:paraId="22D3FF4F" w14:textId="02B6D5D5" w:rsidR="00430979" w:rsidRDefault="00430979">
      <w:pPr>
        <w:pStyle w:val="ProductList-Body"/>
        <w:numPr>
          <w:ilvl w:val="1"/>
          <w:numId w:val="12"/>
        </w:numPr>
        <w:tabs>
          <w:tab w:val="clear" w:pos="360"/>
          <w:tab w:val="clear" w:pos="720"/>
          <w:tab w:val="clear" w:pos="1080"/>
        </w:tabs>
        <w:ind w:left="540" w:hanging="180"/>
      </w:pPr>
      <w:r>
        <w:t>Recebe um erro que especifica a falta de capacidade da Máquina Virtual. Uma falha de implementação da Máquina Virtual para outros tipos de erros ou devido a uma falta de capacidade para os discos ou qualquer outro recurso do Azure não cumpre este requisito; e</w:t>
      </w:r>
    </w:p>
    <w:p w14:paraId="355ADB92" w14:textId="13C66690" w:rsidR="00430979" w:rsidRDefault="00430979">
      <w:pPr>
        <w:pStyle w:val="ProductList-Body"/>
        <w:numPr>
          <w:ilvl w:val="1"/>
          <w:numId w:val="12"/>
        </w:numPr>
        <w:tabs>
          <w:tab w:val="clear" w:pos="360"/>
          <w:tab w:val="clear" w:pos="720"/>
          <w:tab w:val="clear" w:pos="1080"/>
        </w:tabs>
        <w:ind w:left="540" w:hanging="180"/>
      </w:pPr>
      <w:r>
        <w:t>A Reserva de Capacidade Não Utilizada continua a satisfazer a definição da Reserva de Capacidade Não Utilizada (por exemplo, outras Máquinas Virtuais ainda não consumiram a Reserva de Capacidade Não Utilizada).</w:t>
      </w:r>
    </w:p>
    <w:p w14:paraId="7A5EDA90" w14:textId="32AFCFA7" w:rsidR="00430979" w:rsidRPr="00430979" w:rsidRDefault="00EE6E3C" w:rsidP="00D67D10">
      <w:pPr>
        <w:pStyle w:val="ProductList-Body"/>
        <w:rPr>
          <w:b/>
          <w:bCs/>
          <w:color w:val="00188F"/>
        </w:rPr>
      </w:pPr>
      <w:r>
        <w:rPr>
          <w:b/>
          <w:bCs/>
          <w:color w:val="00188F"/>
        </w:rPr>
        <w:t>Cálculo do Período de Disponibilidade e Níveis de Serviço para a Reserva de Capacidade A Pedido</w:t>
      </w:r>
    </w:p>
    <w:p w14:paraId="23F3C9D0" w14:textId="126AC575" w:rsidR="00430979" w:rsidRDefault="00380305" w:rsidP="00F01ED6">
      <w:pPr>
        <w:pStyle w:val="ProductList-Body"/>
      </w:pPr>
      <w:r>
        <w:t>“</w:t>
      </w:r>
      <w:r w:rsidR="00430979">
        <w:rPr>
          <w:b/>
          <w:bCs/>
          <w:color w:val="00188F"/>
        </w:rPr>
        <w:t>Minutes de Indisponibilidade</w:t>
      </w:r>
      <w:r>
        <w:t>”</w:t>
      </w:r>
      <w:r w:rsidR="00430979">
        <w:t xml:space="preserve"> é definido como os minutos que uma Reserva de Capacidade Não Utilizada está Indisponível para Implementação. Desde o momento em que ocorre uma condução Indisponível para Implementação, os Minutes de Indisponibilidade serão acumulados até (a) uma Implementação Suportada subsequente ser concluída com êxito, (b) outra condição Indisponível para Implementação resulta de outra tentativa de Implementação Suportada, ou (c) decorreram 15 minutos. Se decorrerem 15 minutos sem uma tentativa de Implementação Suportada, os Minutes de Indisponibilidade retomarão a acumulação após uma condição Indisponível para Implementação subsequente.</w:t>
      </w:r>
    </w:p>
    <w:p w14:paraId="5A920202" w14:textId="77777777" w:rsidR="00430979" w:rsidRPr="00F2068A" w:rsidRDefault="00430979" w:rsidP="00F01ED6">
      <w:pPr>
        <w:pStyle w:val="ProductList-Body"/>
        <w:rPr>
          <w:sz w:val="14"/>
        </w:rPr>
      </w:pPr>
    </w:p>
    <w:p w14:paraId="2E63F193" w14:textId="77777777" w:rsidR="00430979" w:rsidRPr="00F2068A" w:rsidRDefault="00430979" w:rsidP="00F01ED6">
      <w:pPr>
        <w:pStyle w:val="ProductList-Body"/>
        <w:rPr>
          <w:spacing w:val="-4"/>
        </w:rPr>
      </w:pPr>
      <w:r w:rsidRPr="00F2068A">
        <w:rPr>
          <w:spacing w:val="-4"/>
        </w:rPr>
        <w:t>Os Minutos de Indisponibilidade serão acumulados para cada Unidade Reservada que não for possível utilizar. Se uma Unidade Reservada for utilizada enquanto outra permanecer não utilizada, os Minutos de Indisponibilidade continuarão a ser acumulados apenas para a Unidade Reservada não utilizada.</w:t>
      </w:r>
    </w:p>
    <w:p w14:paraId="4B376EFE" w14:textId="77777777" w:rsidR="00430979" w:rsidRPr="00F2068A" w:rsidRDefault="00430979" w:rsidP="00F01ED6">
      <w:pPr>
        <w:pStyle w:val="ProductList-Body"/>
        <w:rPr>
          <w:sz w:val="14"/>
        </w:rPr>
      </w:pPr>
    </w:p>
    <w:p w14:paraId="28A9D0E7" w14:textId="63865D7A" w:rsidR="00430979" w:rsidRDefault="00430979" w:rsidP="00F01ED6">
      <w:pPr>
        <w:pStyle w:val="ProductList-Body"/>
      </w:pPr>
      <w:r>
        <w:t xml:space="preserve">Consulte o </w:t>
      </w:r>
      <w:hyperlink r:id="rId26" w:anchor="sla-for-capacity-reservation" w:history="1">
        <w:r>
          <w:rPr>
            <w:rStyle w:val="Hyperlink"/>
          </w:rPr>
          <w:t>cálculo de exemplo</w:t>
        </w:r>
      </w:hyperlink>
      <w:r>
        <w:t xml:space="preserve"> na documentação da funcionalidade.</w:t>
      </w:r>
    </w:p>
    <w:p w14:paraId="15C00477" w14:textId="77777777" w:rsidR="00430979" w:rsidRPr="00F2068A" w:rsidRDefault="00430979" w:rsidP="00F01ED6">
      <w:pPr>
        <w:pStyle w:val="ProductList-Body"/>
        <w:rPr>
          <w:sz w:val="14"/>
        </w:rPr>
      </w:pPr>
    </w:p>
    <w:p w14:paraId="0277F4D8" w14:textId="3280F27F" w:rsidR="00430979" w:rsidRDefault="00380305" w:rsidP="00F01ED6">
      <w:pPr>
        <w:pStyle w:val="ProductList-Body"/>
      </w:pPr>
      <w:r>
        <w:t>“</w:t>
      </w:r>
      <w:r w:rsidR="00430979">
        <w:rPr>
          <w:b/>
          <w:bCs/>
          <w:color w:val="00188F"/>
        </w:rPr>
        <w:t>Período de Indisponibilidade</w:t>
      </w:r>
      <w:r>
        <w:t>”</w:t>
      </w:r>
      <w:r w:rsidR="00430979">
        <w:t xml:space="preserve"> é o total acumulado de Minutos de Indisponibilidade que fazem parte dos minutos num determinado mês calculados por Unidade Reservada.</w:t>
      </w:r>
    </w:p>
    <w:p w14:paraId="34C52979" w14:textId="7F515EE4" w:rsidR="00430979" w:rsidRDefault="00430979" w:rsidP="00F01ED6">
      <w:pPr>
        <w:pStyle w:val="ProductList-Body"/>
      </w:pPr>
      <w:r>
        <w:t xml:space="preserve">A </w:t>
      </w:r>
      <w:r w:rsidR="00380305">
        <w:t>“</w:t>
      </w:r>
      <w:r>
        <w:rPr>
          <w:b/>
          <w:bCs/>
          <w:color w:val="00188F"/>
        </w:rPr>
        <w:t>Percentagem de Período de Disponibilidade</w:t>
      </w:r>
      <w:r w:rsidR="00380305">
        <w:t>”</w:t>
      </w:r>
      <w:r>
        <w:t xml:space="preserve"> para cada Unidade Reservada é calculada pela percentagem de Minutos no Período Aplicável em que uma Unidade Reservada teve Período de Indisponibilidade.</w:t>
      </w:r>
    </w:p>
    <w:p w14:paraId="6F2C9ED3" w14:textId="23E36989" w:rsidR="00430979" w:rsidRPr="00EF7CF9" w:rsidRDefault="00000000" w:rsidP="005D141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Minutos num Período Aplicável - Período de Indisponibilidade</m:t>
              </m:r>
            </m:num>
            <m:den>
              <m:r>
                <m:rPr>
                  <m:nor/>
                </m:rPr>
                <w:rPr>
                  <w:rFonts w:ascii="Cambria Math" w:hAnsi="Cambria Math" w:cs="Tahoma"/>
                  <w:i/>
                  <w:sz w:val="18"/>
                  <w:szCs w:val="18"/>
                </w:rPr>
                <m:t>Minutos num Período Aplicável</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68C008B2" w:rsidR="00430979" w:rsidRDefault="00430979" w:rsidP="00F01ED6">
      <w:pPr>
        <w:pStyle w:val="ProductList-Body"/>
      </w:pPr>
      <w:r>
        <w:rPr>
          <w:b/>
          <w:bCs/>
          <w:color w:val="00188F"/>
        </w:rPr>
        <w:t>Os seguintes Níveis de Serviço e Créditos de Serviço são aplicáveis à utilização que o Cliente faz de cada Unidade Reservada numa Reserva de</w:t>
      </w:r>
      <w:r w:rsidR="009325B8">
        <w:rPr>
          <w:b/>
          <w:bCs/>
          <w:color w:val="00188F"/>
        </w:rPr>
        <w:t> </w:t>
      </w:r>
      <w:r>
        <w:rPr>
          <w:b/>
          <w:bCs/>
          <w:color w:val="00188F"/>
        </w:rPr>
        <w:t>Capacidade A Pedido.</w:t>
      </w:r>
      <w:r>
        <w:t xml:space="preserve"> Os Créditos de Serviço são emitidos com base no custo de cada Unidade Reservada, não no custo global da Reserva de</w:t>
      </w:r>
      <w:r w:rsidR="009325B8">
        <w:t> </w:t>
      </w:r>
      <w:r>
        <w:t>Capacidade A Pedido.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BF599AF" w14:textId="77777777" w:rsidR="00BF15F8" w:rsidRPr="00EF7CF9" w:rsidRDefault="00BF15F8" w:rsidP="00F01ED6">
            <w:pPr>
              <w:pStyle w:val="ProductList-OfferingBody"/>
              <w:jc w:val="center"/>
              <w:rPr>
                <w:color w:val="FFFFFF" w:themeColor="background1"/>
              </w:rPr>
            </w:pPr>
            <w:r>
              <w:rPr>
                <w:color w:val="FFFFFF" w:themeColor="background1"/>
              </w:rPr>
              <w:t>Crédito de Serviço</w:t>
            </w:r>
          </w:p>
        </w:tc>
      </w:tr>
      <w:tr w:rsidR="00BF15F8" w:rsidRPr="00B44CF9" w14:paraId="6694A6B3" w14:textId="77777777" w:rsidTr="00277097">
        <w:tc>
          <w:tcPr>
            <w:tcW w:w="5400" w:type="dxa"/>
          </w:tcPr>
          <w:p w14:paraId="62DC3151" w14:textId="77777777" w:rsidR="00BF15F8" w:rsidRPr="00EF7CF9" w:rsidRDefault="00BF15F8" w:rsidP="00F01ED6">
            <w:pPr>
              <w:pStyle w:val="ProductList-OfferingBody"/>
              <w:jc w:val="center"/>
            </w:pPr>
            <w:r>
              <w:t>&lt; 99,9%</w:t>
            </w:r>
          </w:p>
        </w:tc>
        <w:tc>
          <w:tcPr>
            <w:tcW w:w="5400" w:type="dxa"/>
          </w:tcPr>
          <w:p w14:paraId="345CC8EB" w14:textId="77777777" w:rsidR="00BF15F8" w:rsidRPr="00EF7CF9" w:rsidRDefault="00BF15F8" w:rsidP="00F01ED6">
            <w:pPr>
              <w:pStyle w:val="ProductList-OfferingBody"/>
              <w:jc w:val="center"/>
            </w:pPr>
            <w:r>
              <w:t>10%</w:t>
            </w:r>
          </w:p>
        </w:tc>
      </w:tr>
      <w:tr w:rsidR="00BF15F8" w:rsidRPr="00B44CF9" w14:paraId="08A7A7BA" w14:textId="77777777" w:rsidTr="00277097">
        <w:tc>
          <w:tcPr>
            <w:tcW w:w="5400" w:type="dxa"/>
          </w:tcPr>
          <w:p w14:paraId="6FCC1E3B" w14:textId="77777777" w:rsidR="00BF15F8" w:rsidRPr="00EF7CF9" w:rsidRDefault="00BF15F8" w:rsidP="00F01ED6">
            <w:pPr>
              <w:pStyle w:val="ProductList-OfferingBody"/>
              <w:jc w:val="center"/>
            </w:pPr>
            <w:r>
              <w:t>&lt; 99%</w:t>
            </w:r>
          </w:p>
        </w:tc>
        <w:tc>
          <w:tcPr>
            <w:tcW w:w="5400" w:type="dxa"/>
          </w:tcPr>
          <w:p w14:paraId="04B0AB48" w14:textId="77777777" w:rsidR="00BF15F8" w:rsidRPr="00EF7CF9" w:rsidRDefault="00BF15F8" w:rsidP="00F01ED6">
            <w:pPr>
              <w:pStyle w:val="ProductList-OfferingBody"/>
              <w:jc w:val="center"/>
            </w:pPr>
            <w:r>
              <w:t>25%</w:t>
            </w:r>
          </w:p>
        </w:tc>
      </w:tr>
      <w:tr w:rsidR="00BF15F8" w:rsidRPr="00B44CF9" w14:paraId="6AC99D22" w14:textId="77777777" w:rsidTr="00277097">
        <w:tc>
          <w:tcPr>
            <w:tcW w:w="5400" w:type="dxa"/>
          </w:tcPr>
          <w:p w14:paraId="0D7638C7" w14:textId="7E3C1477" w:rsidR="00BF15F8" w:rsidRPr="00EF7CF9" w:rsidRDefault="00BF15F8" w:rsidP="00F01ED6">
            <w:pPr>
              <w:pStyle w:val="ProductList-OfferingBody"/>
              <w:jc w:val="center"/>
            </w:pPr>
            <w:r>
              <w:t>&lt; 95%</w:t>
            </w:r>
          </w:p>
        </w:tc>
        <w:tc>
          <w:tcPr>
            <w:tcW w:w="5400" w:type="dxa"/>
          </w:tcPr>
          <w:p w14:paraId="0B6CDF92" w14:textId="7AD7C73E" w:rsidR="00BF15F8" w:rsidRPr="00EF7CF9" w:rsidRDefault="00BF15F8" w:rsidP="00F01ED6">
            <w:pPr>
              <w:pStyle w:val="ProductList-OfferingBody"/>
              <w:jc w:val="center"/>
            </w:pPr>
            <w:r>
              <w:t>100%</w:t>
            </w:r>
          </w:p>
        </w:tc>
      </w:tr>
    </w:tbl>
    <w:p w14:paraId="7DC23F1F"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70ADFAE" w14:textId="77777777" w:rsidR="008A0DA5" w:rsidRPr="00B05208" w:rsidRDefault="008A0DA5" w:rsidP="008A0DA5">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58" w:name="_Toc230011462"/>
      <w:r>
        <w:rPr>
          <w:rFonts w:ascii="Calibri Light" w:eastAsia="Calibri" w:hAnsi="Calibri Light" w:cs="Arial"/>
          <w:b/>
          <w:color w:val="0072C6"/>
          <w:sz w:val="28"/>
        </w:rPr>
        <w:t>Serviço de Agente do Foundry</w:t>
      </w:r>
      <w:bookmarkEnd w:id="358"/>
    </w:p>
    <w:p w14:paraId="3733F898" w14:textId="77777777" w:rsidR="008A0DA5" w:rsidRPr="00B05208" w:rsidRDefault="008A0DA5" w:rsidP="008A0DA5">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Definições Adicionais</w:t>
      </w:r>
      <w:r w:rsidRPr="006974AB">
        <w:rPr>
          <w:rFonts w:ascii="Calibri" w:eastAsia="Calibri" w:hAnsi="Calibri" w:cs="Arial"/>
          <w:b/>
          <w:color w:val="00188F"/>
          <w:sz w:val="18"/>
        </w:rPr>
        <w:t>:</w:t>
      </w:r>
    </w:p>
    <w:p w14:paraId="5FD4A5A6" w14:textId="77777777" w:rsidR="008A0DA5" w:rsidRPr="00B05208" w:rsidRDefault="008A0DA5" w:rsidP="008A0DA5">
      <w:pPr>
        <w:tabs>
          <w:tab w:val="left" w:pos="360"/>
          <w:tab w:val="left" w:pos="720"/>
          <w:tab w:val="left" w:pos="1080"/>
        </w:tabs>
        <w:spacing w:after="0" w:line="240" w:lineRule="auto"/>
        <w:rPr>
          <w:rFonts w:ascii="Calibri" w:eastAsia="Aptos" w:hAnsi="Calibri" w:cs="Calibri"/>
          <w:sz w:val="18"/>
          <w:szCs w:val="18"/>
        </w:rPr>
      </w:pPr>
      <w:r w:rsidRPr="00D40378">
        <w:rPr>
          <w:rFonts w:ascii="Calibri" w:eastAsia="Aptos" w:hAnsi="Calibri" w:cs="Calibri"/>
          <w:b/>
          <w:color w:val="00188F"/>
          <w:sz w:val="18"/>
        </w:rPr>
        <w:t>“</w:t>
      </w:r>
      <w:r>
        <w:rPr>
          <w:rFonts w:ascii="Calibri" w:eastAsia="Aptos" w:hAnsi="Calibri" w:cs="Calibri"/>
          <w:b/>
          <w:color w:val="00188F"/>
          <w:sz w:val="18"/>
        </w:rPr>
        <w:t>Recurso do Azure AI Foundry</w:t>
      </w:r>
      <w:r w:rsidRPr="00D40378">
        <w:rPr>
          <w:rFonts w:ascii="Calibri" w:eastAsia="Aptos" w:hAnsi="Calibri" w:cs="Calibri"/>
          <w:b/>
          <w:color w:val="00188F"/>
          <w:sz w:val="18"/>
        </w:rPr>
        <w:t>”</w:t>
      </w:r>
      <w:r>
        <w:rPr>
          <w:rFonts w:ascii="Calibri" w:eastAsia="Aptos" w:hAnsi="Calibri" w:cs="Calibri"/>
          <w:sz w:val="18"/>
          <w:szCs w:val="18"/>
        </w:rPr>
        <w:t> designa um recurso do Azure para o Microsoft Foundry criado numa região do Azure numa subscrição do Microsoft Azure.</w:t>
      </w:r>
    </w:p>
    <w:p w14:paraId="7BE3C79D" w14:textId="77777777" w:rsidR="008A0DA5" w:rsidRPr="00B05208" w:rsidRDefault="008A0DA5" w:rsidP="008A0DA5">
      <w:pPr>
        <w:tabs>
          <w:tab w:val="left" w:pos="360"/>
          <w:tab w:val="left" w:pos="720"/>
          <w:tab w:val="left" w:pos="1080"/>
        </w:tabs>
        <w:spacing w:after="0" w:line="240" w:lineRule="auto"/>
        <w:rPr>
          <w:rFonts w:ascii="Calibri" w:eastAsia="Aptos" w:hAnsi="Calibri" w:cs="Calibri"/>
          <w:sz w:val="18"/>
          <w:szCs w:val="18"/>
        </w:rPr>
      </w:pPr>
      <w:r w:rsidRPr="00D40378">
        <w:rPr>
          <w:rFonts w:ascii="Calibri" w:eastAsia="Aptos" w:hAnsi="Calibri" w:cs="Calibri"/>
          <w:b/>
          <w:color w:val="00188F"/>
          <w:sz w:val="18"/>
        </w:rPr>
        <w:t>“</w:t>
      </w:r>
      <w:r>
        <w:rPr>
          <w:rFonts w:ascii="Calibri" w:eastAsia="Aptos" w:hAnsi="Calibri" w:cs="Calibri"/>
          <w:b/>
          <w:color w:val="00188F"/>
          <w:sz w:val="18"/>
        </w:rPr>
        <w:t>Pedido</w:t>
      </w:r>
      <w:r w:rsidRPr="00D40378">
        <w:rPr>
          <w:rFonts w:ascii="Calibri" w:eastAsia="Aptos" w:hAnsi="Calibri" w:cs="Calibri"/>
          <w:b/>
          <w:color w:val="00188F"/>
          <w:sz w:val="18"/>
        </w:rPr>
        <w:t>”</w:t>
      </w:r>
      <w:r>
        <w:rPr>
          <w:rFonts w:ascii="Calibri" w:eastAsia="Aptos" w:hAnsi="Calibri" w:cs="Calibri"/>
          <w:sz w:val="18"/>
          <w:szCs w:val="18"/>
        </w:rPr>
        <w:t> é uma chamada de API para um ponto final num Recurso do Microsoft Foundry.</w:t>
      </w:r>
    </w:p>
    <w:p w14:paraId="6C6DCAF8" w14:textId="77777777" w:rsidR="008A0DA5" w:rsidRPr="00B05208" w:rsidRDefault="008A0DA5" w:rsidP="008A0DA5">
      <w:pPr>
        <w:tabs>
          <w:tab w:val="left" w:pos="360"/>
          <w:tab w:val="left" w:pos="720"/>
          <w:tab w:val="left" w:pos="1080"/>
        </w:tabs>
        <w:spacing w:after="0" w:line="240" w:lineRule="auto"/>
        <w:rPr>
          <w:rFonts w:ascii="Calibri" w:eastAsia="Aptos" w:hAnsi="Calibri" w:cs="Calibri"/>
          <w:sz w:val="18"/>
          <w:szCs w:val="18"/>
        </w:rPr>
      </w:pPr>
      <w:r w:rsidRPr="00D40378">
        <w:rPr>
          <w:rFonts w:ascii="Calibri" w:eastAsia="Aptos" w:hAnsi="Calibri" w:cs="Calibri"/>
          <w:sz w:val="18"/>
          <w:szCs w:val="18"/>
        </w:rPr>
        <w:t xml:space="preserve">A </w:t>
      </w:r>
      <w:r w:rsidRPr="00D40378">
        <w:rPr>
          <w:rFonts w:ascii="Calibri" w:eastAsia="Aptos" w:hAnsi="Calibri" w:cs="Calibri"/>
          <w:b/>
          <w:color w:val="00188F"/>
          <w:sz w:val="18"/>
        </w:rPr>
        <w:t>“</w:t>
      </w:r>
      <w:r>
        <w:rPr>
          <w:rFonts w:ascii="Calibri" w:eastAsia="Aptos" w:hAnsi="Calibri" w:cs="Calibri"/>
          <w:b/>
          <w:color w:val="00188F"/>
          <w:sz w:val="18"/>
        </w:rPr>
        <w:t>Taxa Média de Erros</w:t>
      </w:r>
      <w:r w:rsidRPr="00D40378">
        <w:rPr>
          <w:rFonts w:ascii="Calibri" w:eastAsia="Aptos" w:hAnsi="Calibri" w:cs="Calibri"/>
          <w:b/>
          <w:color w:val="00188F"/>
          <w:sz w:val="18"/>
        </w:rPr>
        <w:t>”</w:t>
      </w:r>
      <w:r>
        <w:rPr>
          <w:rFonts w:ascii="Calibri" w:eastAsia="Aptos" w:hAnsi="Calibri" w:cs="Calibri"/>
          <w:sz w:val="18"/>
          <w:szCs w:val="18"/>
        </w:rPr>
        <w:t> para um Período Aplicável designa a soma das Taxas de Erros para cada minuto no Período Aplicável a dividir pelo número total de minutos no Período Aplicável.</w:t>
      </w:r>
    </w:p>
    <w:p w14:paraId="4B106C87" w14:textId="77777777" w:rsidR="008A0DA5" w:rsidRPr="00B05208" w:rsidRDefault="008A0DA5" w:rsidP="008A0DA5">
      <w:pPr>
        <w:tabs>
          <w:tab w:val="left" w:pos="360"/>
          <w:tab w:val="left" w:pos="720"/>
          <w:tab w:val="left" w:pos="1080"/>
        </w:tabs>
        <w:spacing w:after="0" w:line="240" w:lineRule="auto"/>
        <w:rPr>
          <w:rFonts w:ascii="Calibri" w:eastAsia="Aptos" w:hAnsi="Calibri" w:cs="Calibri"/>
          <w:sz w:val="18"/>
          <w:szCs w:val="18"/>
        </w:rPr>
      </w:pPr>
      <w:r w:rsidRPr="00D40378">
        <w:rPr>
          <w:rFonts w:ascii="Calibri" w:eastAsia="Aptos" w:hAnsi="Calibri" w:cs="Calibri"/>
          <w:b/>
          <w:color w:val="00188F"/>
          <w:sz w:val="18"/>
        </w:rPr>
        <w:t>“</w:t>
      </w:r>
      <w:r>
        <w:rPr>
          <w:rFonts w:ascii="Calibri" w:eastAsia="Aptos" w:hAnsi="Calibri" w:cs="Calibri"/>
          <w:b/>
          <w:color w:val="00188F"/>
          <w:sz w:val="18"/>
        </w:rPr>
        <w:t>Taxa de Erros</w:t>
      </w:r>
      <w:r w:rsidRPr="00D40378">
        <w:rPr>
          <w:rFonts w:ascii="Calibri" w:eastAsia="Aptos" w:hAnsi="Calibri" w:cs="Calibri"/>
          <w:b/>
          <w:color w:val="00188F"/>
          <w:sz w:val="18"/>
        </w:rPr>
        <w:t>”</w:t>
      </w:r>
      <w:r>
        <w:rPr>
          <w:rFonts w:ascii="Calibri" w:eastAsia="Aptos" w:hAnsi="Calibri" w:cs="Calibri"/>
          <w:sz w:val="18"/>
          <w:szCs w:val="18"/>
        </w:rPr>
        <w:t> designa o número total de Pedidos que devolvem um Código de Erro dividido pelo número total de Pedidos durante um minuto. Se o número total de Pedidos num determinado intervalo de minutos for zero, a taxa de erros para esse intervalo é de 0%.</w:t>
      </w:r>
    </w:p>
    <w:p w14:paraId="50204831" w14:textId="77777777" w:rsidR="008A0DA5" w:rsidRPr="00B05208" w:rsidRDefault="008A0DA5" w:rsidP="008A0DA5">
      <w:pPr>
        <w:tabs>
          <w:tab w:val="left" w:pos="360"/>
          <w:tab w:val="left" w:pos="720"/>
          <w:tab w:val="left" w:pos="1080"/>
        </w:tabs>
        <w:spacing w:after="0" w:line="240" w:lineRule="auto"/>
        <w:rPr>
          <w:rFonts w:ascii="Aptos" w:eastAsia="Aptos" w:hAnsi="Aptos" w:cs="Times New Roman"/>
          <w:sz w:val="18"/>
          <w:szCs w:val="18"/>
        </w:rPr>
      </w:pPr>
      <w:r w:rsidRPr="00D40378">
        <w:rPr>
          <w:rFonts w:ascii="Calibri" w:eastAsia="Aptos" w:hAnsi="Calibri" w:cs="Calibri"/>
          <w:sz w:val="18"/>
          <w:szCs w:val="18"/>
        </w:rPr>
        <w:t xml:space="preserve">A </w:t>
      </w:r>
      <w:r>
        <w:rPr>
          <w:rFonts w:ascii="Calibri" w:eastAsia="Aptos" w:hAnsi="Calibri" w:cs="Calibri"/>
          <w:b/>
          <w:color w:val="00188F"/>
          <w:sz w:val="18"/>
        </w:rPr>
        <w:t>“Percentagem de Tempo de Atividade”</w:t>
      </w:r>
      <w:r w:rsidRPr="00D40378">
        <w:rPr>
          <w:rFonts w:ascii="Calibri" w:eastAsia="Aptos" w:hAnsi="Calibri" w:cs="Calibri"/>
          <w:b/>
          <w:color w:val="00188F"/>
          <w:sz w:val="18"/>
        </w:rPr>
        <w:t> </w:t>
      </w:r>
      <w:r>
        <w:rPr>
          <w:rFonts w:ascii="Calibri" w:eastAsia="Aptos" w:hAnsi="Calibri" w:cs="Calibri"/>
          <w:sz w:val="18"/>
          <w:szCs w:val="18"/>
        </w:rPr>
        <w:t>é representada pela seguinte fórmula:</w:t>
      </w:r>
      <w:r>
        <w:br/>
      </w:r>
    </w:p>
    <w:p w14:paraId="017E4EC8" w14:textId="77777777" w:rsidR="008A0DA5" w:rsidRPr="00B05208" w:rsidRDefault="008A0DA5" w:rsidP="008A0DA5">
      <w:pPr>
        <w:tabs>
          <w:tab w:val="left" w:pos="360"/>
          <w:tab w:val="left" w:pos="720"/>
          <w:tab w:val="left" w:pos="1080"/>
        </w:tabs>
        <w:spacing w:after="0" w:line="240" w:lineRule="auto"/>
        <w:rPr>
          <w:rFonts w:ascii="Aptos" w:eastAsia="Aptos" w:hAnsi="Aptos" w:cs="Times New Roman"/>
          <w:b/>
          <w:color w:val="00188F"/>
          <w:sz w:val="18"/>
        </w:rPr>
      </w:pPr>
      <m:oMathPara>
        <m:oMath>
          <m:r>
            <w:rPr>
              <w:rFonts w:ascii="Cambria Math" w:eastAsia="Aptos" w:hAnsi="Cambria Math" w:cs="Tahoma"/>
              <w:sz w:val="18"/>
              <w:szCs w:val="18"/>
            </w:rPr>
            <m:t>% de Atividade Mensal = 100% - Taxa Média de Erros</m:t>
          </m:r>
        </m:oMath>
      </m:oMathPara>
    </w:p>
    <w:p w14:paraId="65A0ED00" w14:textId="77777777" w:rsidR="008A0DA5" w:rsidRPr="00B05208" w:rsidRDefault="008A0DA5" w:rsidP="008A0DA5">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Crédito de Serviço</w:t>
      </w:r>
      <w:r w:rsidRPr="006974AB">
        <w:rPr>
          <w:rFonts w:ascii="Calibri" w:eastAsia="Calibri" w:hAnsi="Calibri" w:cs="Arial"/>
          <w:b/>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8A0DA5" w14:paraId="55AA494C" w14:textId="77777777" w:rsidTr="00E1735E">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69B1087E" w14:textId="77777777" w:rsidR="008A0DA5" w:rsidRPr="00B05208" w:rsidRDefault="008A0DA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Percentagem de Tempo de Atividade</w:t>
            </w:r>
          </w:p>
        </w:tc>
        <w:tc>
          <w:tcPr>
            <w:tcW w:w="5381" w:type="dxa"/>
            <w:tcBorders>
              <w:top w:val="single" w:sz="8" w:space="0" w:color="000000"/>
              <w:left w:val="nil"/>
              <w:bottom w:val="single" w:sz="8" w:space="0" w:color="000000"/>
              <w:right w:val="single" w:sz="8" w:space="0" w:color="000000"/>
            </w:tcBorders>
            <w:shd w:val="clear" w:color="auto" w:fill="0072C6"/>
            <w:hideMark/>
          </w:tcPr>
          <w:p w14:paraId="479FB9DE" w14:textId="77777777" w:rsidR="008A0DA5" w:rsidRPr="00B05208" w:rsidRDefault="008A0DA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Serviço</w:t>
            </w:r>
          </w:p>
        </w:tc>
      </w:tr>
      <w:tr w:rsidR="008A0DA5" w14:paraId="7F36E977"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0CAC5AD" w14:textId="77777777" w:rsidR="008A0DA5" w:rsidRPr="00B05208" w:rsidRDefault="008A0DA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7E0E21E2" w14:textId="77777777" w:rsidR="008A0DA5" w:rsidRPr="00B05208" w:rsidRDefault="008A0DA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8A0DA5" w14:paraId="5C943D8E"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8A7641A" w14:textId="77777777" w:rsidR="008A0DA5" w:rsidRPr="00B05208" w:rsidRDefault="008A0DA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48B82C9C" w14:textId="77777777" w:rsidR="008A0DA5" w:rsidRPr="00B05208" w:rsidRDefault="008A0DA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0652EAC3" w14:textId="77777777" w:rsidR="008A0DA5" w:rsidRPr="00EF7CF9" w:rsidRDefault="008A0DA5" w:rsidP="008A0DA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C9FF2C6" w14:textId="77777777" w:rsidR="000A3062" w:rsidRPr="0097016C" w:rsidRDefault="000A3062" w:rsidP="000A3062">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59" w:name="_Toc230011463"/>
      <w:r>
        <w:rPr>
          <w:rFonts w:ascii="Calibri Light" w:eastAsia="Calibri" w:hAnsi="Calibri Light" w:cs="Arial"/>
          <w:b/>
          <w:color w:val="0072C6"/>
          <w:sz w:val="28"/>
        </w:rPr>
        <w:t>Foundry Content Safety</w:t>
      </w:r>
      <w:bookmarkEnd w:id="359"/>
    </w:p>
    <w:p w14:paraId="2F3185CD" w14:textId="77777777" w:rsidR="000A3062" w:rsidRPr="0097016C" w:rsidRDefault="000A3062" w:rsidP="000A3062">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Definições Adicionais</w:t>
      </w:r>
      <w:r w:rsidRPr="006974AB">
        <w:rPr>
          <w:rFonts w:ascii="Calibri" w:eastAsia="Calibri" w:hAnsi="Calibri" w:cs="Arial"/>
          <w:b/>
          <w:color w:val="00188F"/>
          <w:sz w:val="18"/>
        </w:rPr>
        <w:t>:</w:t>
      </w:r>
    </w:p>
    <w:p w14:paraId="19E6C438" w14:textId="77777777" w:rsidR="000A3062" w:rsidRPr="0097016C" w:rsidRDefault="000A3062" w:rsidP="000A3062">
      <w:pPr>
        <w:spacing w:after="0" w:line="240" w:lineRule="auto"/>
        <w:rPr>
          <w:rFonts w:ascii="Calibri" w:eastAsia="Aptos" w:hAnsi="Calibri" w:cs="Calibri"/>
          <w:sz w:val="18"/>
          <w:szCs w:val="18"/>
        </w:rPr>
      </w:pPr>
      <w:r w:rsidRPr="00D40378">
        <w:rPr>
          <w:rFonts w:ascii="Calibri" w:eastAsia="Aptos" w:hAnsi="Calibri" w:cs="Calibri"/>
          <w:b/>
          <w:color w:val="00188F"/>
          <w:sz w:val="18"/>
          <w:szCs w:val="18"/>
        </w:rPr>
        <w:t>“</w:t>
      </w:r>
      <w:r>
        <w:rPr>
          <w:rFonts w:ascii="Calibri" w:eastAsia="Aptos" w:hAnsi="Calibri" w:cs="Calibri"/>
          <w:b/>
          <w:color w:val="00188F"/>
          <w:sz w:val="18"/>
          <w:szCs w:val="18"/>
        </w:rPr>
        <w:t>Total de Tentativas de Transação</w:t>
      </w:r>
      <w:r w:rsidRPr="00D40378">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é o número total de pedidos da API autenticados efetuado pelo Cliente durante um Período Aplicável para uma determinada API de Foundry Content Safety. O Total de Tentativas de Transação não inclui os pedidos de API que devolvem um Código de Erro e que são repetidos continuamente num intervalo de cinco minutos após a receção do primeiro Código de Erro.</w:t>
      </w:r>
    </w:p>
    <w:p w14:paraId="45025B68" w14:textId="77777777" w:rsidR="000A3062" w:rsidRPr="0097016C" w:rsidRDefault="000A3062" w:rsidP="000A3062">
      <w:pPr>
        <w:spacing w:after="0" w:line="240" w:lineRule="auto"/>
        <w:rPr>
          <w:rFonts w:ascii="Calibri" w:eastAsia="PMingLiU" w:hAnsi="Calibri" w:cs="Calibri"/>
          <w:sz w:val="18"/>
          <w:szCs w:val="18"/>
        </w:rPr>
      </w:pPr>
      <w:r w:rsidRPr="00D40378">
        <w:rPr>
          <w:rFonts w:ascii="Calibri" w:eastAsia="Aptos" w:hAnsi="Calibri" w:cs="Calibri"/>
          <w:b/>
          <w:color w:val="00188F"/>
          <w:sz w:val="18"/>
          <w:szCs w:val="18"/>
        </w:rPr>
        <w:t>“</w:t>
      </w:r>
      <w:r>
        <w:rPr>
          <w:rFonts w:ascii="Calibri" w:eastAsia="Aptos" w:hAnsi="Calibri" w:cs="Calibri"/>
          <w:b/>
          <w:color w:val="00188F"/>
          <w:sz w:val="18"/>
          <w:szCs w:val="18"/>
        </w:rPr>
        <w:t>Transações Falhadas</w:t>
      </w:r>
      <w:r w:rsidRPr="00D40378">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é o conjunto de todos os pedidos para a API de Foundry Content Safety incluídos no Total de Tentativas de Transação que devolve um Código de Erro. As Tentativas de Transação Falhadas não incluem os pedidos de API que devolvem um Código de Erro e que são repetidos continuamente num intervalo de cinco minutos após a receção do primeiro Código de Erro.</w:t>
      </w:r>
    </w:p>
    <w:p w14:paraId="06796E11" w14:textId="77777777" w:rsidR="000A3062" w:rsidRPr="0097016C" w:rsidRDefault="000A3062" w:rsidP="000A3062">
      <w:pPr>
        <w:spacing w:after="0" w:line="240" w:lineRule="auto"/>
        <w:rPr>
          <w:rFonts w:ascii="Calibri" w:eastAsia="Aptos" w:hAnsi="Calibri" w:cs="Calibri"/>
          <w:sz w:val="18"/>
          <w:szCs w:val="18"/>
        </w:rPr>
      </w:pPr>
      <w:r>
        <w:rPr>
          <w:rFonts w:ascii="Calibri" w:eastAsia="Aptos" w:hAnsi="Calibri" w:cs="Calibri"/>
          <w:sz w:val="18"/>
          <w:szCs w:val="18"/>
        </w:rPr>
        <w:t xml:space="preserve">A </w:t>
      </w:r>
      <w:r w:rsidRPr="00D40378">
        <w:rPr>
          <w:rFonts w:ascii="Calibri" w:eastAsia="Aptos" w:hAnsi="Calibri" w:cs="Calibri"/>
          <w:b/>
          <w:color w:val="00188F"/>
          <w:sz w:val="18"/>
          <w:szCs w:val="18"/>
        </w:rPr>
        <w:t>“</w:t>
      </w:r>
      <w:r>
        <w:rPr>
          <w:rFonts w:ascii="Calibri" w:eastAsia="Aptos" w:hAnsi="Calibri" w:cs="Calibri"/>
          <w:b/>
          <w:color w:val="00188F"/>
          <w:sz w:val="18"/>
          <w:szCs w:val="18"/>
        </w:rPr>
        <w:t>Percentagem de Tempo de Atividade</w:t>
      </w:r>
      <w:r w:rsidRPr="00D40378">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para cada Serviço da API é calculada como o Total de Tentativas de Transação menos as Transações Falhadas dividido pelo Total de Tentativas de Transação num Período Aplicável para uma determinada subscrição da API.</w:t>
      </w:r>
    </w:p>
    <w:p w14:paraId="7B802803" w14:textId="77777777" w:rsidR="000A3062" w:rsidRPr="0097016C" w:rsidRDefault="000A3062" w:rsidP="000A3062">
      <w:pPr>
        <w:spacing w:after="0" w:line="240" w:lineRule="auto"/>
        <w:rPr>
          <w:rFonts w:ascii="Calibri" w:eastAsia="PMingLiU" w:hAnsi="Calibri" w:cs="Calibri"/>
          <w:sz w:val="18"/>
          <w:szCs w:val="18"/>
        </w:rPr>
      </w:pPr>
      <w:r>
        <w:rPr>
          <w:rFonts w:ascii="Calibri" w:eastAsia="Aptos" w:hAnsi="Calibri" w:cs="Calibri"/>
          <w:sz w:val="18"/>
          <w:szCs w:val="18"/>
        </w:rPr>
        <w:t>A Percentagem de Tempo de Atividade é representada pela seguinte fórmula</w:t>
      </w:r>
      <w:r>
        <w:rPr>
          <w:rFonts w:ascii="Calibri" w:eastAsia="PMingLiU" w:hAnsi="Calibri" w:cs="Calibri"/>
          <w:sz w:val="18"/>
          <w:szCs w:val="18"/>
        </w:rPr>
        <w:t>:</w:t>
      </w:r>
    </w:p>
    <w:p w14:paraId="7E8BF0E0" w14:textId="77777777" w:rsidR="000A3062" w:rsidRPr="0097016C" w:rsidRDefault="000A3062" w:rsidP="000A3062">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 de Tempo de Atividade Mensal=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(Total de Tentativas de Transação - Transações Falhadas)</m:t>
              </m:r>
            </m:num>
            <m:den>
              <m:r>
                <w:rPr>
                  <w:rFonts w:ascii="Cambria Math" w:eastAsia="Aptos" w:hAnsi="Cambria Math" w:cs="Tahoma"/>
                  <w:color w:val="000000"/>
                  <w:sz w:val="18"/>
                  <w:szCs w:val="18"/>
                </w:rPr>
                <m:t>Total de Tentativas de Transação</m:t>
              </m:r>
            </m:den>
          </m:f>
          <m:r>
            <w:rPr>
              <w:rFonts w:ascii="Cambria Math" w:eastAsia="Aptos" w:hAnsi="Cambria Math" w:cs="Tahoma"/>
              <w:color w:val="000000"/>
              <w:sz w:val="18"/>
              <w:szCs w:val="18"/>
            </w:rPr>
            <m:t xml:space="preserve"> x 100</m:t>
          </m:r>
        </m:oMath>
      </m:oMathPara>
    </w:p>
    <w:p w14:paraId="59A4AFE5" w14:textId="77777777" w:rsidR="000A3062" w:rsidRPr="0097016C" w:rsidRDefault="000A3062" w:rsidP="000A3062">
      <w:pPr>
        <w:spacing w:after="0" w:line="240" w:lineRule="auto"/>
        <w:rPr>
          <w:rFonts w:ascii="Calibri" w:eastAsia="PMingLiU" w:hAnsi="Calibri" w:cs="Calibri"/>
          <w:sz w:val="18"/>
          <w:szCs w:val="18"/>
        </w:rPr>
      </w:pPr>
      <w:r>
        <w:rPr>
          <w:rFonts w:ascii="Calibri" w:eastAsia="PMingLiU" w:hAnsi="Calibri" w:cs="Calibri"/>
          <w:b/>
          <w:color w:val="00188F"/>
          <w:sz w:val="18"/>
          <w:szCs w:val="18"/>
        </w:rPr>
        <w:t>Crédito de Serviço</w:t>
      </w:r>
      <w:r w:rsidRPr="006974AB">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A3062" w14:paraId="2E891D88" w14:textId="77777777" w:rsidTr="00E1735E">
        <w:trPr>
          <w:tblHeader/>
        </w:trPr>
        <w:tc>
          <w:tcPr>
            <w:tcW w:w="5400" w:type="dxa"/>
            <w:shd w:val="clear" w:color="auto" w:fill="0072C6"/>
          </w:tcPr>
          <w:p w14:paraId="1DFCBB09" w14:textId="77777777" w:rsidR="000A3062" w:rsidRPr="0097016C" w:rsidRDefault="000A3062"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Percentagem de Tempo de Atividade</w:t>
            </w:r>
          </w:p>
        </w:tc>
        <w:tc>
          <w:tcPr>
            <w:tcW w:w="5400" w:type="dxa"/>
            <w:shd w:val="clear" w:color="auto" w:fill="0072C6"/>
          </w:tcPr>
          <w:p w14:paraId="03A00FC1" w14:textId="77777777" w:rsidR="000A3062" w:rsidRPr="0097016C" w:rsidRDefault="000A3062"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0A3062" w14:paraId="1D5B4E28" w14:textId="77777777" w:rsidTr="00E1735E">
        <w:tc>
          <w:tcPr>
            <w:tcW w:w="5400" w:type="dxa"/>
          </w:tcPr>
          <w:p w14:paraId="5D3EA9A5" w14:textId="77777777" w:rsidR="000A3062" w:rsidRPr="0097016C" w:rsidRDefault="000A306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47FF0478" w14:textId="77777777" w:rsidR="000A3062" w:rsidRPr="0097016C" w:rsidRDefault="000A306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0A3062" w14:paraId="44991F8B" w14:textId="77777777" w:rsidTr="00E1735E">
        <w:tc>
          <w:tcPr>
            <w:tcW w:w="5400" w:type="dxa"/>
          </w:tcPr>
          <w:p w14:paraId="52D210D9" w14:textId="77777777" w:rsidR="000A3062" w:rsidRPr="0097016C" w:rsidRDefault="000A306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5FDD3723" w14:textId="77777777" w:rsidR="000A3062" w:rsidRPr="0097016C" w:rsidRDefault="000A306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415BEB91" w14:textId="77777777" w:rsidR="000A3062" w:rsidRPr="0097016C" w:rsidRDefault="000A3062" w:rsidP="000A3062">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Exceções de Nível de Serviço</w:t>
      </w:r>
      <w:r w:rsidRPr="006974AB">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szCs w:val="18"/>
        </w:rPr>
        <w:t>É aplicável um SLA separado ao Azure OpenAI Service.</w:t>
      </w:r>
    </w:p>
    <w:p w14:paraId="4F0FB4E1" w14:textId="77777777" w:rsidR="000A3062" w:rsidRPr="00EF7CF9" w:rsidRDefault="000A3062" w:rsidP="000A306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B72D001" w14:textId="7FC80546" w:rsidR="00AA3975" w:rsidRPr="003162A8" w:rsidRDefault="00A75938" w:rsidP="00F01ED6">
      <w:pPr>
        <w:pStyle w:val="ProductList-Offering2Heading"/>
        <w:keepNext/>
        <w:tabs>
          <w:tab w:val="clear" w:pos="360"/>
          <w:tab w:val="clear" w:pos="720"/>
          <w:tab w:val="clear" w:pos="1080"/>
        </w:tabs>
        <w:outlineLvl w:val="2"/>
      </w:pPr>
      <w:bookmarkStart w:id="360" w:name="_Toc239176513"/>
      <w:r>
        <w:t>Foundry</w:t>
      </w:r>
      <w:r w:rsidR="001178FD">
        <w:t xml:space="preserve"> Models</w:t>
      </w:r>
      <w:bookmarkEnd w:id="360"/>
    </w:p>
    <w:p w14:paraId="4064F46C" w14:textId="77777777" w:rsidR="00110FE2" w:rsidRPr="002B0ABE" w:rsidRDefault="00110FE2" w:rsidP="00110FE2">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Cálculo do Período de Disponibilidade e Níveis de Serviço para os Modelos do Azure AI Foundry</w:t>
      </w:r>
    </w:p>
    <w:p w14:paraId="7C019BC3" w14:textId="77777777" w:rsidR="00110FE2" w:rsidRDefault="00110FE2" w:rsidP="00110FE2">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Definições Adicionais</w:t>
      </w:r>
      <w:r w:rsidRPr="00944399">
        <w:rPr>
          <w:rStyle w:val="normaltextrun"/>
          <w:rFonts w:ascii="Calibri" w:eastAsiaTheme="majorEastAsia" w:hAnsi="Calibri" w:cs="Calibri"/>
          <w:b/>
          <w:color w:val="00188F"/>
          <w:sz w:val="18"/>
          <w:szCs w:val="18"/>
        </w:rPr>
        <w:t>:</w:t>
      </w:r>
    </w:p>
    <w:p w14:paraId="49220BE6" w14:textId="77777777" w:rsidR="007F74EF" w:rsidRPr="003A2FA0" w:rsidRDefault="007F74EF" w:rsidP="007F74EF">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“Recurso do Azure AI Foundry”</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designa um recurso do Azure para o tipo Microsoft Foundry criado numa região do Azure numa subscrição do Microsoft Azure.</w:t>
      </w:r>
    </w:p>
    <w:p w14:paraId="3A2F43E2" w14:textId="77777777" w:rsidR="007F74EF" w:rsidRPr="003A2FA0" w:rsidRDefault="007F74EF" w:rsidP="007F74EF">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“Pedido”</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é uma chamada de API para um ponto final do modelo implementado num Recurso do Microsoft Foundry. </w:t>
      </w:r>
    </w:p>
    <w:p w14:paraId="424BF9F6" w14:textId="77777777" w:rsidR="007F74EF" w:rsidRPr="003A2FA0" w:rsidRDefault="007F74EF" w:rsidP="007F74EF">
      <w:pPr>
        <w:spacing w:after="0" w:line="240" w:lineRule="auto"/>
        <w:rPr>
          <w:rFonts w:ascii="Calibri" w:eastAsia="Times New Roman" w:hAnsi="Calibri" w:cs="Calibri"/>
          <w:color w:val="000000"/>
          <w:sz w:val="18"/>
          <w:szCs w:val="18"/>
          <w:bdr w:val="none" w:sz="0" w:space="0" w:color="auto" w:frame="1"/>
        </w:rPr>
      </w:pPr>
      <w:r w:rsidRPr="007B77B4">
        <w:rPr>
          <w:rFonts w:ascii="Calibri" w:eastAsia="Times New Roman" w:hAnsi="Calibri" w:cs="Calibri"/>
          <w:color w:val="000000"/>
          <w:sz w:val="18"/>
          <w:szCs w:val="18"/>
          <w:bdr w:val="none" w:sz="0" w:space="0" w:color="auto" w:frame="1"/>
        </w:rPr>
        <w:t>A</w:t>
      </w:r>
      <w:r>
        <w:t xml:space="preserve"> </w:t>
      </w:r>
      <w:r>
        <w:rPr>
          <w:rFonts w:ascii="Calibri" w:eastAsia="Times New Roman" w:hAnsi="Calibri" w:cs="Calibri"/>
          <w:b/>
          <w:bCs/>
          <w:color w:val="00188F"/>
          <w:sz w:val="18"/>
          <w:szCs w:val="18"/>
          <w:bdr w:val="none" w:sz="0" w:space="0" w:color="auto" w:frame="1"/>
        </w:rPr>
        <w:t>“Taxa Média de Erros”</w:t>
      </w:r>
      <w:r>
        <w:rPr>
          <w:rFonts w:ascii="Calibri" w:eastAsia="Times New Roman" w:hAnsi="Calibri" w:cs="Calibri"/>
          <w:color w:val="000000"/>
          <w:sz w:val="18"/>
          <w:szCs w:val="18"/>
          <w:bdr w:val="none" w:sz="0" w:space="0" w:color="auto" w:frame="1"/>
        </w:rPr>
        <w:t xml:space="preserve"> para um Período Aplicável designa a soma das Taxas de Erros para cada minuto no Período Aplicável a dividir pelo número total de minutos no Período Aplicável.</w:t>
      </w:r>
    </w:p>
    <w:p w14:paraId="77C1296E" w14:textId="77777777" w:rsidR="007F74EF" w:rsidRPr="003A2FA0" w:rsidRDefault="007F74EF" w:rsidP="007F74EF">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“Taxa de Erros”</w:t>
      </w:r>
      <w:r>
        <w:rPr>
          <w:rFonts w:ascii="Calibri" w:eastAsia="Times New Roman" w:hAnsi="Calibri" w:cs="Calibri"/>
          <w:color w:val="000000"/>
          <w:sz w:val="18"/>
          <w:szCs w:val="18"/>
          <w:bdr w:val="none" w:sz="0" w:space="0" w:color="auto" w:frame="1"/>
        </w:rPr>
        <w:t xml:space="preserve"> designa o</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número total de Pedidos que devolvem um Código de Erro dividido pelo número total de Pedidos durante um minuto. Se o número total de Pedidos num determinado intervalo de minutos for zero, a taxa de erros para esse intervalo é de 0%.</w:t>
      </w:r>
    </w:p>
    <w:p w14:paraId="485F63B6" w14:textId="77777777" w:rsidR="007F74EF" w:rsidRPr="003A2FA0" w:rsidRDefault="007F74EF" w:rsidP="007F74EF">
      <w:pPr>
        <w:spacing w:after="0" w:line="240" w:lineRule="auto"/>
        <w:rPr>
          <w:rFonts w:ascii="Calibri" w:eastAsia="Times New Roman" w:hAnsi="Calibri" w:cs="Calibri"/>
          <w:color w:val="000000"/>
          <w:sz w:val="18"/>
          <w:szCs w:val="18"/>
          <w:bdr w:val="none" w:sz="0" w:space="0" w:color="auto" w:frame="1"/>
        </w:rPr>
      </w:pPr>
      <w:r w:rsidRPr="007B77B4">
        <w:rPr>
          <w:rFonts w:ascii="Calibri" w:eastAsia="Times New Roman" w:hAnsi="Calibri" w:cs="Calibri"/>
          <w:color w:val="000000"/>
          <w:sz w:val="18"/>
          <w:szCs w:val="18"/>
          <w:bdr w:val="none" w:sz="0" w:space="0" w:color="auto" w:frame="1"/>
        </w:rPr>
        <w:t>A</w:t>
      </w:r>
      <w:r>
        <w:t xml:space="preserve"> </w:t>
      </w:r>
      <w:r>
        <w:rPr>
          <w:rFonts w:ascii="Calibri" w:eastAsia="Times New Roman" w:hAnsi="Calibri" w:cs="Calibri"/>
          <w:b/>
          <w:bCs/>
          <w:color w:val="00188F"/>
          <w:sz w:val="18"/>
          <w:szCs w:val="18"/>
          <w:bdr w:val="none" w:sz="0" w:space="0" w:color="auto" w:frame="1"/>
        </w:rPr>
        <w:t>"Percentagem de Período de Disponibilidade"</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é representada pela seguinte fórmula</w:t>
      </w:r>
    </w:p>
    <w:p w14:paraId="0E81159C" w14:textId="77777777" w:rsidR="007F74EF" w:rsidRPr="003A2FA0" w:rsidRDefault="007F74EF" w:rsidP="007F74EF">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Taxa Média de Erros</m:t>
          </m:r>
        </m:oMath>
      </m:oMathPara>
    </w:p>
    <w:p w14:paraId="0926C902" w14:textId="77777777" w:rsidR="007F74EF" w:rsidRPr="003A2FA0" w:rsidRDefault="007F74EF" w:rsidP="007F74EF">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Crédito de Serviço</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7F74EF" w:rsidRPr="003A2FA0" w14:paraId="41C57B13" w14:textId="77777777" w:rsidTr="007E5D38">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2FFA0235" w14:textId="77777777" w:rsidR="007F74EF" w:rsidRPr="003A2FA0" w:rsidRDefault="007F74EF"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Percentagem de Período de Disponibilidade</w:t>
            </w:r>
          </w:p>
        </w:tc>
        <w:tc>
          <w:tcPr>
            <w:tcW w:w="5381" w:type="dxa"/>
            <w:tcBorders>
              <w:top w:val="single" w:sz="8" w:space="0" w:color="000000"/>
              <w:left w:val="nil"/>
              <w:bottom w:val="single" w:sz="8" w:space="0" w:color="000000"/>
              <w:right w:val="single" w:sz="8" w:space="0" w:color="000000"/>
            </w:tcBorders>
            <w:shd w:val="clear" w:color="auto" w:fill="0072C6"/>
            <w:hideMark/>
          </w:tcPr>
          <w:p w14:paraId="253372BD" w14:textId="77777777" w:rsidR="007F74EF" w:rsidRPr="003A2FA0" w:rsidRDefault="007F74EF"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Serviço</w:t>
            </w:r>
          </w:p>
        </w:tc>
      </w:tr>
      <w:tr w:rsidR="007F74EF" w:rsidRPr="003A2FA0" w14:paraId="510281E3" w14:textId="77777777" w:rsidTr="007E5D38">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00F6D81" w14:textId="77777777" w:rsidR="007F74EF" w:rsidRPr="003A2FA0" w:rsidRDefault="007F74EF"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7AE8D363" w14:textId="77777777" w:rsidR="007F74EF" w:rsidRPr="003A2FA0" w:rsidRDefault="007F74EF"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7F74EF" w:rsidRPr="003A2FA0" w14:paraId="37C8D5FF" w14:textId="77777777" w:rsidTr="007E5D38">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83DC44B" w14:textId="77777777" w:rsidR="007F74EF" w:rsidRPr="003A2FA0" w:rsidRDefault="007F74EF"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24A0617E" w14:textId="77777777" w:rsidR="007F74EF" w:rsidRPr="003A2FA0" w:rsidRDefault="007F74EF"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5A26714F" w14:textId="77777777" w:rsidR="00D35ED2" w:rsidRPr="003A2FA0" w:rsidRDefault="00D35ED2" w:rsidP="00D35ED2">
      <w:pPr>
        <w:shd w:val="clear" w:color="auto" w:fill="FFFFFF"/>
        <w:spacing w:after="12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Exceções de Nível de Serviço</w:t>
      </w:r>
      <w:r w:rsidRPr="006974AB">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Os Créditos de Serviço são aplicáveis apenas ao Modelos do Foundry Vendidos pelo Azure. A camada Programador do serviço Foundry Models não é abrangida por este SLA.</w:t>
      </w:r>
    </w:p>
    <w:p w14:paraId="0FD5DCB6" w14:textId="77777777" w:rsidR="00D35ED2" w:rsidRPr="003A2FA0" w:rsidRDefault="00D35ED2" w:rsidP="00D35ED2">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Cálculo da Latência e Níveis de Serviço para Implementações Geridas Aprovisionadas e Processamento Prioritário</w:t>
      </w:r>
    </w:p>
    <w:p w14:paraId="1A80F302" w14:textId="77777777" w:rsidR="00D35ED2" w:rsidRPr="003A2FA0" w:rsidRDefault="00D35ED2" w:rsidP="00D35ED2">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Definições Adicionais</w:t>
      </w:r>
    </w:p>
    <w:p w14:paraId="5FF752BD" w14:textId="77777777" w:rsidR="00D35ED2" w:rsidRPr="003A2FA0" w:rsidRDefault="00D35ED2" w:rsidP="00D35ED2">
      <w:pPr>
        <w:shd w:val="clear" w:color="auto" w:fill="FFFFFF"/>
        <w:spacing w:after="0" w:line="240" w:lineRule="auto"/>
        <w:rPr>
          <w:rFonts w:ascii="Calibri" w:eastAsia="Times New Roman" w:hAnsi="Calibri" w:cs="Calibri"/>
          <w:color w:val="000000"/>
          <w:sz w:val="18"/>
          <w:szCs w:val="18"/>
          <w:bdr w:val="none" w:sz="0" w:space="0" w:color="auto" w:frame="1"/>
        </w:rPr>
      </w:pP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Implementação Prioritária</w:t>
      </w: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é um Modelo do Foundry que utiliza a Implementação Gerida Aprovisionada, ou Processamento Prioritário, dentro de um determinado Recurso do Microsoft Foundry.  </w:t>
      </w:r>
    </w:p>
    <w:p w14:paraId="2E2E13A6" w14:textId="082C290F" w:rsidR="00D35ED2" w:rsidRPr="003A2FA0" w:rsidRDefault="00D35ED2" w:rsidP="00D35ED2">
      <w:pPr>
        <w:shd w:val="clear" w:color="auto" w:fill="FFFFFF"/>
        <w:spacing w:after="0" w:line="240" w:lineRule="auto"/>
        <w:rPr>
          <w:rFonts w:ascii="Calibri" w:eastAsia="Times New Roman" w:hAnsi="Calibri" w:cs="Calibri"/>
          <w:color w:val="000000"/>
          <w:sz w:val="18"/>
          <w:szCs w:val="18"/>
          <w:bdr w:val="none" w:sz="0" w:space="0" w:color="auto" w:frame="1"/>
        </w:rPr>
      </w:pP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Tamanho Máximo do Pedido</w:t>
      </w: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designa o número máximo de tokens de entrada e saída que podem ser incluídos num determinado pedido para um Foundry Model especificado, conforme definido pela documentação do produto.</w:t>
      </w:r>
    </w:p>
    <w:p w14:paraId="38B48BDD" w14:textId="212FD754" w:rsidR="00D35ED2" w:rsidRPr="003A2FA0" w:rsidRDefault="00D35ED2" w:rsidP="00D35ED2">
      <w:pPr>
        <w:shd w:val="clear" w:color="auto" w:fill="FFFFFF"/>
        <w:spacing w:after="0" w:line="240" w:lineRule="auto"/>
        <w:rPr>
          <w:rFonts w:ascii="Calibri" w:eastAsia="Times New Roman" w:hAnsi="Calibri" w:cs="Calibri"/>
          <w:color w:val="000000"/>
          <w:sz w:val="18"/>
          <w:szCs w:val="18"/>
          <w:bdr w:val="none" w:sz="0" w:space="0" w:color="auto" w:frame="1"/>
        </w:rPr>
      </w:pP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Tokens Por Segundo</w:t>
      </w: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designa uma medição de latência que enumera a velocidade de geração de uma determinada resposta do Modelo do Azure AI Foundry. O total de tokens gerados é dividido pelo tempo necessário para gerá-los. Os tokens gerados são contados como todos os tokens gerados após o primeiro token.</w:t>
      </w:r>
    </w:p>
    <w:p w14:paraId="01667ED9" w14:textId="77777777" w:rsidR="00D35ED2" w:rsidRPr="003A2FA0" w:rsidRDefault="00D35ED2" w:rsidP="00D35ED2">
      <w:pPr>
        <w:shd w:val="clear" w:color="auto" w:fill="FFFFFF"/>
        <w:spacing w:after="0" w:line="240" w:lineRule="auto"/>
        <w:rPr>
          <w:rFonts w:ascii="Calibri" w:eastAsia="Times New Roman" w:hAnsi="Calibri" w:cs="Calibri"/>
          <w:color w:val="000000"/>
          <w:sz w:val="18"/>
          <w:szCs w:val="18"/>
          <w:bdr w:val="none" w:sz="0" w:space="0" w:color="auto" w:frame="1"/>
        </w:rPr>
      </w:pP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Valor-alvo de Latência do SLA</w:t>
      </w: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designa o objetivo de latência em Tokens por Segundo para um determinado modelo, conforme definido pela documentação do produto.</w:t>
      </w:r>
    </w:p>
    <w:p w14:paraId="541CEAFA" w14:textId="77777777" w:rsidR="00D35ED2" w:rsidRPr="003A2FA0" w:rsidRDefault="00D35ED2" w:rsidP="00D35ED2">
      <w:pPr>
        <w:shd w:val="clear" w:color="auto" w:fill="FFFFFF"/>
        <w:spacing w:after="0" w:line="240" w:lineRule="auto"/>
        <w:rPr>
          <w:rFonts w:ascii="Calibri" w:eastAsia="Times New Roman" w:hAnsi="Calibri" w:cs="Calibri"/>
          <w:color w:val="000000"/>
          <w:sz w:val="18"/>
          <w:szCs w:val="18"/>
          <w:bdr w:val="none" w:sz="0" w:space="0" w:color="auto" w:frame="1"/>
        </w:rPr>
      </w:pPr>
      <w:r w:rsidRPr="00D40378">
        <w:rPr>
          <w:rFonts w:ascii="Calibri" w:eastAsia="Times New Roman" w:hAnsi="Calibri" w:cs="Calibri"/>
          <w:b/>
          <w:bCs/>
          <w:color w:val="00188F"/>
          <w:sz w:val="18"/>
          <w:szCs w:val="18"/>
          <w:bdr w:val="none" w:sz="0" w:space="0" w:color="auto" w:frame="1"/>
        </w:rPr>
        <w:lastRenderedPageBreak/>
        <w:t>“</w:t>
      </w:r>
      <w:r>
        <w:rPr>
          <w:rFonts w:ascii="Calibri" w:eastAsia="Times New Roman" w:hAnsi="Calibri" w:cs="Calibri"/>
          <w:b/>
          <w:bCs/>
          <w:color w:val="00188F"/>
          <w:sz w:val="18"/>
          <w:szCs w:val="18"/>
          <w:bdr w:val="none" w:sz="0" w:space="0" w:color="auto" w:frame="1"/>
        </w:rPr>
        <w:t>Tokens Medidos por Segundo</w:t>
      </w: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é calculado como a mediana (P50) de Tokens por Segundo para cada intervalo de 5 minutos ou a média de Tokens por Segundo para cada intervalo de 1 minuto, conforme definido na documentação do produto. </w:t>
      </w:r>
    </w:p>
    <w:p w14:paraId="746F4FBC" w14:textId="77777777" w:rsidR="00D35ED2" w:rsidRPr="003A2FA0" w:rsidRDefault="00D35ED2" w:rsidP="00D35ED2">
      <w:pPr>
        <w:shd w:val="clear" w:color="auto" w:fill="FFFFFF"/>
        <w:spacing w:after="0" w:line="240" w:lineRule="auto"/>
        <w:rPr>
          <w:rFonts w:ascii="Calibri" w:eastAsia="Times New Roman" w:hAnsi="Calibri" w:cs="Calibri"/>
          <w:color w:val="000000"/>
          <w:sz w:val="18"/>
          <w:szCs w:val="18"/>
          <w:bdr w:val="none" w:sz="0" w:space="0" w:color="auto" w:frame="1"/>
        </w:rPr>
      </w:pP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Minutos de Latência Excessiv</w:t>
      </w:r>
      <w:r w:rsidRPr="00D40378">
        <w:rPr>
          <w:rFonts w:ascii="Calibri" w:eastAsia="Times New Roman" w:hAnsi="Calibri" w:cs="Calibri"/>
          <w:color w:val="000000"/>
          <w:sz w:val="18"/>
          <w:szCs w:val="18"/>
          <w:bdr w:val="none" w:sz="0" w:space="0" w:color="auto" w:frame="1"/>
        </w:rPr>
        <w:t>a</w:t>
      </w:r>
      <w:r w:rsidRPr="00D40378">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designa o número total de minutos para um Período Aplicável durante o qual os Tokens Medidos por Segundo é menor que o Valor-alvo de Latência do SLA. Isto exclui intervalos em que (i) um Pedido devolveu um Código de Erro, (ii) um Pedido excedeu o Tamanho Máximo do Pedido ou (iii) um Pedido gerou menos de 1 token. </w:t>
      </w:r>
    </w:p>
    <w:p w14:paraId="6D52DF92" w14:textId="77777777" w:rsidR="00D35ED2" w:rsidRPr="003A2FA0" w:rsidRDefault="00D35ED2" w:rsidP="00D35ED2">
      <w:pPr>
        <w:shd w:val="clear" w:color="auto" w:fill="FFFFFF"/>
        <w:spacing w:after="0" w:line="240" w:lineRule="auto"/>
        <w:rPr>
          <w:rFonts w:ascii="Calibri" w:eastAsia="Times New Roman" w:hAnsi="Calibri" w:cs="Calibri"/>
          <w:color w:val="000000"/>
          <w:sz w:val="18"/>
          <w:szCs w:val="18"/>
          <w:bdr w:val="none" w:sz="0" w:space="0" w:color="auto" w:frame="1"/>
        </w:rPr>
      </w:pP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Taxa de Latência Excessiva</w:t>
      </w: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para uma determinada Implementação Prioritária é a soma dos Minutos de Latência Excessiva dividida pelo número total de minutos no Período Aplicável.  </w:t>
      </w:r>
    </w:p>
    <w:p w14:paraId="1F57E30B" w14:textId="77777777" w:rsidR="00D35ED2" w:rsidRPr="003A2FA0" w:rsidRDefault="00D35ED2" w:rsidP="00D35ED2">
      <w:pPr>
        <w:shd w:val="clear" w:color="auto" w:fill="FFFFFF"/>
        <w:spacing w:after="0" w:line="240" w:lineRule="auto"/>
        <w:rPr>
          <w:rFonts w:ascii="Calibri" w:eastAsia="Times New Roman" w:hAnsi="Calibri" w:cs="Calibri"/>
          <w:color w:val="000000"/>
          <w:sz w:val="18"/>
          <w:szCs w:val="18"/>
          <w:bdr w:val="none" w:sz="0" w:space="0" w:color="auto" w:frame="1"/>
        </w:rPr>
      </w:pP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Percentagem de Realização</w:t>
      </w:r>
      <w:r w:rsidRPr="00D40378">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é representada pela seguinte fórmula: </w:t>
      </w:r>
    </w:p>
    <w:p w14:paraId="09ADF258" w14:textId="77777777" w:rsidR="00D35ED2" w:rsidRPr="003A2FA0" w:rsidRDefault="00D35ED2" w:rsidP="00D35ED2">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Taxa de Latência Excessiva</m:t>
          </m:r>
        </m:oMath>
      </m:oMathPara>
    </w:p>
    <w:p w14:paraId="7136C92C" w14:textId="77777777" w:rsidR="00D35ED2" w:rsidRPr="003A2FA0" w:rsidRDefault="00D35ED2" w:rsidP="00D35ED2">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Crédito de Serviço</w:t>
      </w:r>
      <w:r w:rsidRPr="006974AB">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35ED2" w14:paraId="4DBB5324" w14:textId="77777777" w:rsidTr="00E1735E">
        <w:trPr>
          <w:tblHeader/>
        </w:trPr>
        <w:tc>
          <w:tcPr>
            <w:tcW w:w="5400" w:type="dxa"/>
            <w:shd w:val="clear" w:color="auto" w:fill="0072C6"/>
          </w:tcPr>
          <w:p w14:paraId="5DD08775" w14:textId="77777777" w:rsidR="00D35ED2" w:rsidRPr="003A2FA0" w:rsidRDefault="00D35ED2"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Percentagem de Realização</w:t>
            </w:r>
          </w:p>
        </w:tc>
        <w:tc>
          <w:tcPr>
            <w:tcW w:w="5400" w:type="dxa"/>
            <w:shd w:val="clear" w:color="auto" w:fill="0072C6"/>
          </w:tcPr>
          <w:p w14:paraId="23E971B1" w14:textId="77777777" w:rsidR="00D35ED2" w:rsidRPr="003A2FA0" w:rsidRDefault="00D35ED2"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D35ED2" w14:paraId="7455C6F1" w14:textId="77777777" w:rsidTr="00E1735E">
        <w:tc>
          <w:tcPr>
            <w:tcW w:w="5400" w:type="dxa"/>
          </w:tcPr>
          <w:p w14:paraId="26715CA1" w14:textId="77777777" w:rsidR="00D35ED2" w:rsidRPr="003A2FA0" w:rsidRDefault="00D35ED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65FB4A14" w14:textId="77777777" w:rsidR="00D35ED2" w:rsidRPr="003A2FA0" w:rsidRDefault="00D35ED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bl>
    <w:p w14:paraId="19BDF80D" w14:textId="77777777" w:rsidR="00D35ED2" w:rsidRPr="00E928BA" w:rsidRDefault="00D35ED2" w:rsidP="00D35ED2">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Exceções de Nível de Serviço</w:t>
      </w:r>
      <w:r w:rsidRPr="006974AB">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sz w:val="18"/>
          <w:szCs w:val="18"/>
          <w:bdr w:val="none" w:sz="0" w:space="0" w:color="auto" w:frame="1"/>
        </w:rPr>
        <w:t>Os Créditos de Serviço são aplicáveis apenas aos Modelos do Foundry Vendidos pelo Azure, nos quais o Valor-alvo de Latência do SLA está definido na documentação do produto. A camada Programador do serviço Foundry Models não é abrangida por este SLA.</w:t>
      </w:r>
    </w:p>
    <w:p w14:paraId="22609408" w14:textId="77777777" w:rsidR="005E5DC2" w:rsidRPr="00EF7CF9" w:rsidRDefault="005E5DC2" w:rsidP="0076297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62DD0EB" w14:textId="77777777" w:rsidR="00D0516A" w:rsidRPr="00CC6940" w:rsidRDefault="00D0516A" w:rsidP="00D0516A">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1" w:name="_Toc230011465"/>
      <w:r>
        <w:rPr>
          <w:rFonts w:ascii="Calibri Light" w:eastAsia="Calibri" w:hAnsi="Calibri Light" w:cs="Arial"/>
          <w:b/>
          <w:color w:val="0072C6"/>
          <w:sz w:val="28"/>
        </w:rPr>
        <w:t>Observabilidade do Foundry</w:t>
      </w:r>
      <w:bookmarkEnd w:id="361"/>
    </w:p>
    <w:p w14:paraId="46B4905A" w14:textId="77777777" w:rsidR="00D0516A" w:rsidRPr="00CC6940" w:rsidRDefault="00D0516A" w:rsidP="00D0516A">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Definições Adicionais</w:t>
      </w:r>
      <w:r w:rsidRPr="006974AB">
        <w:rPr>
          <w:rFonts w:ascii="Calibri" w:eastAsia="Calibri" w:hAnsi="Calibri" w:cs="Arial"/>
          <w:b/>
          <w:color w:val="00188F"/>
          <w:sz w:val="18"/>
        </w:rPr>
        <w:t>:</w:t>
      </w:r>
    </w:p>
    <w:p w14:paraId="1812A364" w14:textId="77777777" w:rsidR="00D0516A" w:rsidRPr="00CC6940" w:rsidRDefault="00D0516A" w:rsidP="00D0516A">
      <w:pPr>
        <w:tabs>
          <w:tab w:val="left" w:pos="360"/>
          <w:tab w:val="left" w:pos="720"/>
          <w:tab w:val="left" w:pos="1080"/>
        </w:tabs>
        <w:spacing w:after="0" w:line="240" w:lineRule="auto"/>
        <w:rPr>
          <w:rFonts w:ascii="Calibri" w:eastAsia="Aptos" w:hAnsi="Calibri" w:cs="Calibri"/>
          <w:sz w:val="18"/>
        </w:rPr>
      </w:pPr>
      <w:r w:rsidRPr="00D40378">
        <w:rPr>
          <w:rFonts w:ascii="Calibri" w:eastAsia="Aptos" w:hAnsi="Calibri" w:cs="Calibri"/>
          <w:b/>
          <w:color w:val="00188F"/>
          <w:sz w:val="18"/>
        </w:rPr>
        <w:t>“</w:t>
      </w:r>
      <w:r>
        <w:rPr>
          <w:rFonts w:ascii="Calibri" w:eastAsia="Aptos" w:hAnsi="Calibri" w:cs="Calibri"/>
          <w:b/>
          <w:color w:val="00188F"/>
          <w:sz w:val="18"/>
        </w:rPr>
        <w:t>Recurso do Azure AI Foundry</w:t>
      </w:r>
      <w:r w:rsidRPr="00D40378">
        <w:rPr>
          <w:rFonts w:ascii="Calibri" w:eastAsia="Aptos" w:hAnsi="Calibri" w:cs="Calibri"/>
          <w:b/>
          <w:color w:val="00188F"/>
          <w:sz w:val="18"/>
        </w:rPr>
        <w:t>” </w:t>
      </w:r>
      <w:r>
        <w:rPr>
          <w:rFonts w:ascii="Calibri" w:eastAsia="Aptos" w:hAnsi="Calibri" w:cs="Calibri"/>
          <w:sz w:val="18"/>
        </w:rPr>
        <w:t>designa um recurso do Azure para o Microsoft Foundry criado numa região do Azure numa subscrição do Microsoft Azure.</w:t>
      </w:r>
    </w:p>
    <w:p w14:paraId="1E12ECE0" w14:textId="77777777" w:rsidR="00D0516A" w:rsidRPr="00CC6940" w:rsidRDefault="00D0516A" w:rsidP="00D0516A">
      <w:pPr>
        <w:tabs>
          <w:tab w:val="left" w:pos="360"/>
          <w:tab w:val="left" w:pos="720"/>
          <w:tab w:val="left" w:pos="1080"/>
        </w:tabs>
        <w:spacing w:after="0" w:line="240" w:lineRule="auto"/>
        <w:rPr>
          <w:rFonts w:ascii="Calibri" w:eastAsia="Aptos" w:hAnsi="Calibri" w:cs="Calibri"/>
          <w:sz w:val="18"/>
        </w:rPr>
      </w:pPr>
      <w:r w:rsidRPr="00D40378">
        <w:rPr>
          <w:rFonts w:ascii="Calibri" w:eastAsia="Aptos" w:hAnsi="Calibri" w:cs="Calibri"/>
          <w:b/>
          <w:color w:val="00188F"/>
          <w:sz w:val="18"/>
        </w:rPr>
        <w:t>“</w:t>
      </w:r>
      <w:r>
        <w:rPr>
          <w:rFonts w:ascii="Calibri" w:eastAsia="Aptos" w:hAnsi="Calibri" w:cs="Calibri"/>
          <w:b/>
          <w:color w:val="00188F"/>
          <w:sz w:val="18"/>
        </w:rPr>
        <w:t>Pedido</w:t>
      </w:r>
      <w:r w:rsidRPr="00D40378">
        <w:rPr>
          <w:rFonts w:ascii="Calibri" w:eastAsia="Aptos" w:hAnsi="Calibri" w:cs="Calibri"/>
          <w:b/>
          <w:color w:val="00188F"/>
          <w:sz w:val="18"/>
        </w:rPr>
        <w:t>”</w:t>
      </w:r>
      <w:r>
        <w:rPr>
          <w:rFonts w:ascii="Calibri" w:eastAsia="Aptos" w:hAnsi="Calibri" w:cs="Calibri"/>
          <w:sz w:val="18"/>
        </w:rPr>
        <w:t> é uma chamada de API para um ponto final num Recurso do Microsoft Foundry.</w:t>
      </w:r>
    </w:p>
    <w:p w14:paraId="57161408" w14:textId="77777777" w:rsidR="00D0516A" w:rsidRPr="00CC6940" w:rsidRDefault="00D0516A" w:rsidP="00D0516A">
      <w:pPr>
        <w:tabs>
          <w:tab w:val="left" w:pos="360"/>
          <w:tab w:val="left" w:pos="720"/>
          <w:tab w:val="left" w:pos="1080"/>
        </w:tabs>
        <w:spacing w:after="0" w:line="240" w:lineRule="auto"/>
        <w:rPr>
          <w:rFonts w:ascii="Calibri" w:eastAsia="Aptos" w:hAnsi="Calibri" w:cs="Calibri"/>
          <w:sz w:val="18"/>
        </w:rPr>
      </w:pPr>
      <w:r w:rsidRPr="00D40378">
        <w:rPr>
          <w:rFonts w:ascii="Calibri" w:eastAsia="Aptos" w:hAnsi="Calibri" w:cs="Calibri"/>
          <w:sz w:val="18"/>
        </w:rPr>
        <w:t xml:space="preserve">A </w:t>
      </w:r>
      <w:r w:rsidRPr="00D40378">
        <w:rPr>
          <w:rFonts w:ascii="Calibri" w:eastAsia="Aptos" w:hAnsi="Calibri" w:cs="Calibri"/>
          <w:b/>
          <w:color w:val="00188F"/>
          <w:sz w:val="18"/>
        </w:rPr>
        <w:t>“</w:t>
      </w:r>
      <w:r>
        <w:rPr>
          <w:rFonts w:ascii="Calibri" w:eastAsia="Aptos" w:hAnsi="Calibri" w:cs="Calibri"/>
          <w:b/>
          <w:color w:val="00188F"/>
          <w:sz w:val="18"/>
        </w:rPr>
        <w:t>Taxa Média de Erros</w:t>
      </w:r>
      <w:r w:rsidRPr="00D40378">
        <w:rPr>
          <w:rFonts w:ascii="Calibri" w:eastAsia="Aptos" w:hAnsi="Calibri" w:cs="Calibri"/>
          <w:b/>
          <w:color w:val="00188F"/>
          <w:sz w:val="18"/>
        </w:rPr>
        <w:t>”</w:t>
      </w:r>
      <w:r>
        <w:rPr>
          <w:rFonts w:ascii="Calibri" w:eastAsia="Aptos" w:hAnsi="Calibri" w:cs="Calibri"/>
          <w:sz w:val="18"/>
        </w:rPr>
        <w:t> para um Período Aplicável designa a soma das Taxas de Erros para cada minuto no Período Aplicável a dividir pelo número total de minutos no Período Aplicável.</w:t>
      </w:r>
    </w:p>
    <w:p w14:paraId="050B5BC3" w14:textId="77777777" w:rsidR="00D0516A" w:rsidRPr="00CC6940" w:rsidRDefault="00D0516A" w:rsidP="00D0516A">
      <w:pPr>
        <w:tabs>
          <w:tab w:val="left" w:pos="360"/>
          <w:tab w:val="left" w:pos="720"/>
          <w:tab w:val="left" w:pos="1080"/>
        </w:tabs>
        <w:spacing w:after="0" w:line="240" w:lineRule="auto"/>
        <w:rPr>
          <w:rFonts w:ascii="Calibri" w:eastAsia="Aptos" w:hAnsi="Calibri" w:cs="Calibri"/>
          <w:sz w:val="18"/>
        </w:rPr>
      </w:pPr>
      <w:r w:rsidRPr="00D40378">
        <w:rPr>
          <w:rFonts w:ascii="Calibri" w:eastAsia="Aptos" w:hAnsi="Calibri" w:cs="Calibri"/>
          <w:b/>
          <w:color w:val="00188F"/>
          <w:sz w:val="18"/>
        </w:rPr>
        <w:t>“</w:t>
      </w:r>
      <w:r>
        <w:rPr>
          <w:rFonts w:ascii="Calibri" w:eastAsia="Aptos" w:hAnsi="Calibri" w:cs="Calibri"/>
          <w:b/>
          <w:color w:val="00188F"/>
          <w:sz w:val="18"/>
        </w:rPr>
        <w:t>Taxa de Erros</w:t>
      </w:r>
      <w:r w:rsidRPr="00D40378">
        <w:rPr>
          <w:rFonts w:ascii="Calibri" w:eastAsia="Aptos" w:hAnsi="Calibri" w:cs="Calibri"/>
          <w:b/>
          <w:color w:val="00188F"/>
          <w:sz w:val="18"/>
        </w:rPr>
        <w:t>”</w:t>
      </w:r>
      <w:r>
        <w:rPr>
          <w:rFonts w:ascii="Calibri" w:eastAsia="Aptos" w:hAnsi="Calibri" w:cs="Calibri"/>
          <w:sz w:val="18"/>
        </w:rPr>
        <w:t> designa o número total de Pedidos que devolvem um Código de Erro dividido pelo número total de Pedidos durante um minuto. Se o número total de Pedidos num determinado intervalo de minutos for zero, a taxa de erros para esse intervalo é de 0%.</w:t>
      </w:r>
    </w:p>
    <w:p w14:paraId="1FCC0E0D" w14:textId="77777777" w:rsidR="00D0516A" w:rsidRPr="00CC6940" w:rsidRDefault="00D0516A" w:rsidP="00D0516A">
      <w:pPr>
        <w:tabs>
          <w:tab w:val="left" w:pos="360"/>
          <w:tab w:val="left" w:pos="720"/>
          <w:tab w:val="left" w:pos="1080"/>
        </w:tabs>
        <w:spacing w:after="0" w:line="240" w:lineRule="auto"/>
        <w:rPr>
          <w:rFonts w:ascii="Calibri" w:eastAsia="Aptos" w:hAnsi="Calibri" w:cs="Calibri"/>
          <w:sz w:val="18"/>
        </w:rPr>
      </w:pPr>
      <w:r w:rsidRPr="00D40378">
        <w:rPr>
          <w:rFonts w:ascii="Calibri" w:eastAsia="Aptos" w:hAnsi="Calibri" w:cs="Calibri"/>
          <w:sz w:val="18"/>
        </w:rPr>
        <w:t xml:space="preserve">A </w:t>
      </w:r>
      <w:r w:rsidRPr="00D40378">
        <w:rPr>
          <w:rFonts w:ascii="Calibri" w:eastAsia="Aptos" w:hAnsi="Calibri" w:cs="Calibri"/>
          <w:b/>
          <w:color w:val="00188F"/>
          <w:sz w:val="18"/>
        </w:rPr>
        <w:t>“</w:t>
      </w:r>
      <w:r>
        <w:rPr>
          <w:rFonts w:ascii="Calibri" w:eastAsia="Aptos" w:hAnsi="Calibri" w:cs="Calibri"/>
          <w:b/>
          <w:color w:val="00188F"/>
          <w:sz w:val="18"/>
        </w:rPr>
        <w:t>Percentagem de Tempo de Atividade”</w:t>
      </w:r>
      <w:r>
        <w:rPr>
          <w:rFonts w:ascii="Calibri" w:eastAsia="Aptos" w:hAnsi="Calibri" w:cs="Calibri"/>
          <w:sz w:val="18"/>
        </w:rPr>
        <w:t> é representada pela seguinte fórmula:</w:t>
      </w:r>
    </w:p>
    <w:p w14:paraId="7243C3C3" w14:textId="77777777" w:rsidR="00D0516A" w:rsidRPr="00CC6940" w:rsidRDefault="00D0516A" w:rsidP="00D0516A">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Taxa Média de Erros</m:t>
          </m:r>
        </m:oMath>
      </m:oMathPara>
    </w:p>
    <w:p w14:paraId="2CBA1524" w14:textId="77777777" w:rsidR="00D0516A" w:rsidRPr="00CC6940" w:rsidRDefault="00D0516A" w:rsidP="00D0516A">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Crédito de Serviço</w:t>
      </w:r>
      <w:r w:rsidRPr="006974AB">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0516A" w14:paraId="1DF4DBA5" w14:textId="77777777" w:rsidTr="00E1735E">
        <w:trPr>
          <w:tblHeader/>
        </w:trPr>
        <w:tc>
          <w:tcPr>
            <w:tcW w:w="5400" w:type="dxa"/>
            <w:shd w:val="clear" w:color="auto" w:fill="0072C6"/>
          </w:tcPr>
          <w:p w14:paraId="79C9BEF2" w14:textId="77777777" w:rsidR="00D0516A" w:rsidRPr="00CC6940" w:rsidRDefault="00D0516A"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Percentagem de Tempo de Atividade</w:t>
            </w:r>
          </w:p>
        </w:tc>
        <w:tc>
          <w:tcPr>
            <w:tcW w:w="5400" w:type="dxa"/>
            <w:shd w:val="clear" w:color="auto" w:fill="0072C6"/>
          </w:tcPr>
          <w:p w14:paraId="4BAF44F2" w14:textId="77777777" w:rsidR="00D0516A" w:rsidRPr="00CC6940" w:rsidRDefault="00D0516A"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D0516A" w14:paraId="51407722" w14:textId="77777777" w:rsidTr="00E1735E">
        <w:tc>
          <w:tcPr>
            <w:tcW w:w="5400" w:type="dxa"/>
          </w:tcPr>
          <w:p w14:paraId="559B19B7" w14:textId="77777777" w:rsidR="00D0516A" w:rsidRPr="00CC6940" w:rsidRDefault="00D0516A"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3A3653FA" w14:textId="77777777" w:rsidR="00D0516A" w:rsidRPr="00CC6940" w:rsidRDefault="00D0516A"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D0516A" w14:paraId="3F20687B" w14:textId="77777777" w:rsidTr="00E1735E">
        <w:tc>
          <w:tcPr>
            <w:tcW w:w="5400" w:type="dxa"/>
          </w:tcPr>
          <w:p w14:paraId="312740F9" w14:textId="77777777" w:rsidR="00D0516A" w:rsidRPr="00CC6940" w:rsidRDefault="00D0516A"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49F46055" w14:textId="77777777" w:rsidR="00D0516A" w:rsidRPr="00CC6940" w:rsidRDefault="00D0516A"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9551B16" w14:textId="77777777" w:rsidR="00D0516A" w:rsidRDefault="00D0516A" w:rsidP="00D0516A">
      <w:pPr>
        <w:spacing w:before="120" w:after="120" w:line="240" w:lineRule="auto"/>
        <w:rPr>
          <w:rFonts w:ascii="Calibri" w:eastAsia="Aptos" w:hAnsi="Calibri" w:cs="Calibri"/>
          <w:sz w:val="18"/>
        </w:rPr>
      </w:pPr>
      <w:r>
        <w:rPr>
          <w:rFonts w:ascii="Calibri" w:eastAsia="Calibri" w:hAnsi="Calibri" w:cs="Calibri"/>
          <w:b/>
          <w:bCs/>
          <w:color w:val="00188F"/>
          <w:sz w:val="18"/>
          <w:szCs w:val="18"/>
        </w:rPr>
        <w:t>Exceções de Nível de Serviço</w:t>
      </w:r>
      <w:r w:rsidRPr="006974AB">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rPr>
        <w:t>A conclusão das tarefas de longa duração é excluída.</w:t>
      </w:r>
    </w:p>
    <w:p w14:paraId="5E70DEE0" w14:textId="77777777" w:rsidR="00D0516A" w:rsidRPr="00EF7CF9" w:rsidRDefault="00D0516A" w:rsidP="005A4BE0">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07B8BCFD" w14:textId="1A0F33F3" w:rsidR="00610081" w:rsidRPr="001178FD" w:rsidRDefault="00610081" w:rsidP="00D0516A">
      <w:pPr>
        <w:pStyle w:val="ProductList-Offering2Heading"/>
        <w:keepNext/>
        <w:tabs>
          <w:tab w:val="clear" w:pos="360"/>
          <w:tab w:val="clear" w:pos="720"/>
          <w:tab w:val="clear" w:pos="1080"/>
        </w:tabs>
        <w:spacing w:after="120"/>
        <w:outlineLvl w:val="2"/>
      </w:pPr>
      <w:bookmarkStart w:id="362" w:name="_Toc239176514"/>
      <w:r w:rsidRPr="001178FD">
        <w:t>Replicação de Objetos – Replicação com Prioridade</w:t>
      </w:r>
      <w:bookmarkEnd w:id="362"/>
    </w:p>
    <w:p w14:paraId="5536DF92" w14:textId="77777777" w:rsidR="00610081" w:rsidRDefault="00610081" w:rsidP="00610081">
      <w:pPr>
        <w:spacing w:after="0"/>
        <w:rPr>
          <w:rFonts w:ascii="Calibri" w:eastAsia="Calibri" w:hAnsi="Calibri" w:cs="Calibri"/>
          <w:sz w:val="18"/>
          <w:szCs w:val="18"/>
        </w:rPr>
      </w:pPr>
      <w:r>
        <w:rPr>
          <w:rFonts w:ascii="Calibri" w:eastAsia="Calibri" w:hAnsi="Calibri" w:cs="Calibri"/>
          <w:sz w:val="18"/>
          <w:szCs w:val="18"/>
        </w:rPr>
        <w:t>Este SLA aplica-se a qualquer Política de Replicação em que a Conta de Armazenamento de Origem e a Conta de Armazenamento de Destino estejam localizadas no mesmo continente e sejam elegíveis para Replicação com Prioridade.</w:t>
      </w:r>
    </w:p>
    <w:p w14:paraId="6BCDEF1C" w14:textId="77777777" w:rsidR="00610081" w:rsidRPr="004948E2" w:rsidRDefault="00610081" w:rsidP="00610081">
      <w:pPr>
        <w:pStyle w:val="ProductList-Body"/>
        <w:rPr>
          <w:rFonts w:ascii="Calibri" w:hAnsi="Calibri" w:cs="Calibri"/>
          <w:b/>
          <w:bCs/>
          <w:color w:val="00188F"/>
        </w:rPr>
      </w:pPr>
      <w:r>
        <w:rPr>
          <w:rFonts w:ascii="Calibri" w:hAnsi="Calibri" w:cs="Calibri"/>
          <w:b/>
          <w:bCs/>
          <w:color w:val="00188F"/>
        </w:rPr>
        <w:t>Definições Adicionais</w:t>
      </w:r>
      <w:r>
        <w:rPr>
          <w:rFonts w:ascii="Calibri" w:hAnsi="Calibri" w:cs="Calibri"/>
        </w:rPr>
        <w:t>:</w:t>
      </w:r>
    </w:p>
    <w:p w14:paraId="565B061F"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Contentor de Destino</w:t>
      </w:r>
      <w:r>
        <w:rPr>
          <w:rFonts w:ascii="Calibri" w:eastAsia="Calibri" w:hAnsi="Calibri" w:cs="Arial"/>
          <w:sz w:val="18"/>
        </w:rPr>
        <w:t>” é o contentor para o qual as operações são replicadas de forma assíncrona para o âmbito de uma Política de Replicação de Objetos.</w:t>
      </w:r>
    </w:p>
    <w:p w14:paraId="7D06C453"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Conta de Armazenamento de Destino</w:t>
      </w:r>
      <w:r>
        <w:rPr>
          <w:rFonts w:ascii="Calibri" w:eastAsia="Calibri" w:hAnsi="Calibri" w:cs="Arial"/>
          <w:sz w:val="18"/>
        </w:rPr>
        <w:t>” é uma conta de armazenamento para a qual as operações são replicadas de forma assíncrona, com base numa Política de Replicação que um utilizador configura com a Replicação de Objetos na sua Conta de Armazenamento de Origem.</w:t>
      </w:r>
    </w:p>
    <w:p w14:paraId="07A6A808"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0D6A98">
        <w:rPr>
          <w:rFonts w:ascii="Calibri" w:eastAsia="Calibri" w:hAnsi="Calibri" w:cs="Arial"/>
          <w:b/>
          <w:bCs/>
          <w:color w:val="00188F"/>
          <w:sz w:val="18"/>
        </w:rPr>
        <w:t>Operação com Atraso Excedido</w:t>
      </w:r>
      <w:r>
        <w:rPr>
          <w:rFonts w:ascii="Calibri" w:eastAsia="Calibri" w:hAnsi="Calibri" w:cs="Arial"/>
          <w:sz w:val="18"/>
        </w:rPr>
        <w:t>” é qualquer operação (dados, metadados, propriedades ou eliminações) que esteja pendente de replicação há mais de 15 minutos ou que demore mais de 15 minutos a ser replicada da Conta de Armazenamento de Origem para a Conta de Armazenamento de Destino durante o mês de faturação.</w:t>
      </w:r>
    </w:p>
    <w:p w14:paraId="1F88E265"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Replicação de Objetos</w:t>
      </w:r>
      <w:r>
        <w:rPr>
          <w:rFonts w:ascii="Calibri" w:eastAsia="Calibri" w:hAnsi="Calibri" w:cs="Arial"/>
          <w:sz w:val="18"/>
        </w:rPr>
        <w:t>” é uma funcionalidade da conta de armazenamento que copia de forma assíncrona blobs de blocos de uma Conta de Armazenamento de Origem para uma Conta de Armazenamento de Destino. Os blobs de blocos num contentor são replicadas segundo as Regras de Replicação que um utilizador configura. O conteúdo do blob, quaisquer versões associadas ao blob e os metadados, as propriedades e as eliminações do blob são todos copiados do Contentor de Origem para o Contentor de Destino.</w:t>
      </w:r>
    </w:p>
    <w:p w14:paraId="61620BF7"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Atraso de Replicação</w:t>
      </w:r>
      <w:r>
        <w:rPr>
          <w:rFonts w:ascii="Calibri" w:eastAsia="Calibri" w:hAnsi="Calibri" w:cs="Arial"/>
          <w:sz w:val="18"/>
        </w:rPr>
        <w:t>” indica o período de tempo decorrido entre o momento em que uma operação é feita na Conta de Armazenamento de Origem e o momento em que a operação é replicada para a Conta de Armazenamento de Destino.</w:t>
      </w:r>
    </w:p>
    <w:p w14:paraId="0971E351" w14:textId="77777777" w:rsidR="00610081" w:rsidRPr="00F52E24" w:rsidRDefault="00610081" w:rsidP="00610081">
      <w:pPr>
        <w:tabs>
          <w:tab w:val="left" w:pos="360"/>
          <w:tab w:val="left" w:pos="720"/>
          <w:tab w:val="left" w:pos="1080"/>
        </w:tabs>
        <w:spacing w:after="0" w:line="240" w:lineRule="auto"/>
        <w:rPr>
          <w:rFonts w:ascii="Calibri" w:eastAsia="Calibri" w:hAnsi="Calibri" w:cs="Arial"/>
          <w:sz w:val="18"/>
          <w:szCs w:val="18"/>
        </w:rPr>
      </w:pPr>
      <w:r w:rsidRPr="00F52E24">
        <w:rPr>
          <w:sz w:val="18"/>
          <w:szCs w:val="18"/>
        </w:rPr>
        <w:lastRenderedPageBreak/>
        <w:t xml:space="preserve">A </w:t>
      </w:r>
      <w:r w:rsidRPr="00F52E24">
        <w:rPr>
          <w:rFonts w:ascii="Calibri" w:eastAsia="Calibri" w:hAnsi="Calibri" w:cs="Arial"/>
          <w:sz w:val="18"/>
          <w:szCs w:val="18"/>
        </w:rPr>
        <w:t>“</w:t>
      </w:r>
      <w:r w:rsidRPr="00F52E24">
        <w:rPr>
          <w:rFonts w:ascii="Calibri" w:eastAsia="Calibri" w:hAnsi="Calibri" w:cs="Arial"/>
          <w:b/>
          <w:bCs/>
          <w:color w:val="00188F"/>
          <w:sz w:val="18"/>
          <w:szCs w:val="18"/>
        </w:rPr>
        <w:t>Política de Replicação</w:t>
      </w:r>
      <w:r w:rsidRPr="00F52E24">
        <w:rPr>
          <w:rFonts w:ascii="Calibri" w:eastAsia="Calibri" w:hAnsi="Calibri" w:cs="Arial"/>
          <w:sz w:val="18"/>
          <w:szCs w:val="18"/>
        </w:rPr>
        <w:t>” especifica a Conta de Armazenamento de Origem e a Conta de Armazenamento de Destino. Uma Política de Replicação inclui uma ou mais regras que especificam um Contentor de Origem e um Contentor de Destino, e indicam que blobs de blocos no Contentor de Origem serão replicados.</w:t>
      </w:r>
    </w:p>
    <w:p w14:paraId="712A5312"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Regra de Replicação</w:t>
      </w:r>
      <w:r>
        <w:rPr>
          <w:rFonts w:ascii="Calibri" w:eastAsia="Calibri" w:hAnsi="Calibri" w:cs="Arial"/>
          <w:sz w:val="18"/>
        </w:rPr>
        <w:t>” especifica como o Armazenamento do Azure irá replicar as operações de um Contentor de Origem para um Contentor de Destino.</w:t>
      </w:r>
    </w:p>
    <w:p w14:paraId="7FC1BFAA"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Contentor de Origem</w:t>
      </w:r>
      <w:r>
        <w:rPr>
          <w:rFonts w:ascii="Calibri" w:eastAsia="Calibri" w:hAnsi="Calibri" w:cs="Arial"/>
          <w:sz w:val="18"/>
        </w:rPr>
        <w:t>” é o contentor para o qual uma operação é carregada originalmente no âmbito de uma Política de Replicação.</w:t>
      </w:r>
    </w:p>
    <w:p w14:paraId="46E2CCC7" w14:textId="77777777" w:rsidR="00610081" w:rsidRPr="00C853AB" w:rsidRDefault="00610081" w:rsidP="00610081">
      <w:pPr>
        <w:spacing w:after="0"/>
        <w:rPr>
          <w:rFonts w:ascii="Calibri" w:eastAsia="Yu Mincho" w:hAnsi="Calibri" w:cs="Arial"/>
          <w:sz w:val="18"/>
          <w:szCs w:val="18"/>
          <w:lang w:eastAsia="zh-TW"/>
        </w:rPr>
      </w:pPr>
      <w:r>
        <w:rPr>
          <w:rFonts w:ascii="Calibri" w:eastAsia="Yu Mincho" w:hAnsi="Calibri" w:cs="Arial"/>
          <w:sz w:val="18"/>
          <w:szCs w:val="18"/>
        </w:rPr>
        <w:t>“</w:t>
      </w:r>
      <w:r>
        <w:rPr>
          <w:rFonts w:ascii="Calibri" w:eastAsia="Yu Mincho" w:hAnsi="Calibri" w:cs="Arial"/>
          <w:b/>
          <w:bCs/>
          <w:color w:val="00188F"/>
          <w:sz w:val="18"/>
          <w:szCs w:val="18"/>
        </w:rPr>
        <w:t>Conta de Armazenamento de Origem</w:t>
      </w:r>
      <w:r>
        <w:rPr>
          <w:rFonts w:ascii="Calibri" w:eastAsia="Yu Mincho" w:hAnsi="Calibri" w:cs="Arial"/>
          <w:sz w:val="18"/>
          <w:szCs w:val="18"/>
        </w:rPr>
        <w:t>” é uma conta de armazenamento onde são criadas as Políticas de Replicação e as Regras de Replicação. As operações são feitas nesta conta de armazenamento e, em seguida, replicadas de forma assíncrona para a Conta de Armazenamento de Destino.</w:t>
      </w:r>
    </w:p>
    <w:p w14:paraId="05D6B70D"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Total de Operações</w:t>
      </w:r>
      <w:r>
        <w:rPr>
          <w:rFonts w:ascii="Calibri" w:eastAsia="Calibri" w:hAnsi="Calibri" w:cs="Arial"/>
          <w:sz w:val="18"/>
        </w:rPr>
        <w:t>” é o número total de operações replicadas ou pendentes de replicação pela Replicação de Objetos para o período aplicável durante o mês de faturação.</w:t>
      </w:r>
    </w:p>
    <w:p w14:paraId="19392F83" w14:textId="77777777" w:rsidR="00610081" w:rsidRPr="00C853AB" w:rsidRDefault="00610081" w:rsidP="0061008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“Percentagem Mensal de Conformidade”: A Percentagem Mensal de Conformidade é calculada através da seguinte fórmula:</w:t>
      </w:r>
    </w:p>
    <w:p w14:paraId="5BC84608" w14:textId="77777777" w:rsidR="00610081" w:rsidRPr="004E133B" w:rsidRDefault="00000000" w:rsidP="00610081">
      <w:pPr>
        <w:pStyle w:val="ProductList-Body"/>
        <w:spacing w:before="120"/>
        <w:jc w:val="center"/>
      </w:pPr>
      <m:oMathPara>
        <m:oMath>
          <m:f>
            <m:fPr>
              <m:ctrlPr>
                <w:rPr>
                  <w:rFonts w:ascii="Cambria Math" w:hAnsi="Cambria Math"/>
                </w:rPr>
              </m:ctrlPr>
            </m:fPr>
            <m:num>
              <m:r>
                <w:rPr>
                  <w:rFonts w:ascii="Cambria Math" w:hAnsi="Cambria Math"/>
                </w:rPr>
                <m:t>Total de Operações - Operações de Atraso Excedidas </m:t>
              </m:r>
            </m:num>
            <m:den>
              <m:r>
                <w:rPr>
                  <w:rFonts w:ascii="Cambria Math" w:hAnsi="Cambria Math"/>
                </w:rPr>
                <m:t>Total de Operações</m:t>
              </m:r>
            </m:den>
          </m:f>
          <m:r>
            <w:rPr>
              <w:rFonts w:ascii="Cambria Math" w:hAnsi="Cambria Math"/>
            </w:rPr>
            <m:t> x 100</m:t>
          </m:r>
        </m:oMath>
      </m:oMathPara>
    </w:p>
    <w:p w14:paraId="2D339053" w14:textId="77777777" w:rsidR="00610081" w:rsidRPr="004948E2" w:rsidRDefault="00610081" w:rsidP="00610081">
      <w:pPr>
        <w:pStyle w:val="ProductList-Body"/>
        <w:keepNext/>
        <w:rPr>
          <w:rFonts w:ascii="Calibri" w:hAnsi="Calibri" w:cs="Calibri"/>
        </w:rPr>
      </w:pPr>
      <w:r>
        <w:rPr>
          <w:rFonts w:ascii="Calibri" w:hAnsi="Calibri" w:cs="Calibri"/>
          <w:b/>
          <w:color w:val="00188F"/>
        </w:rPr>
        <w:t>Crédito de Serviço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10081" w:rsidRPr="0084755E" w14:paraId="455B13BA" w14:textId="77777777" w:rsidTr="00954FA1">
        <w:trPr>
          <w:trHeight w:val="245"/>
          <w:tblHeader/>
        </w:trPr>
        <w:tc>
          <w:tcPr>
            <w:tcW w:w="5400" w:type="dxa"/>
            <w:shd w:val="clear" w:color="auto" w:fill="0072C6"/>
          </w:tcPr>
          <w:p w14:paraId="2E349DD0" w14:textId="2254F062" w:rsidR="00610081" w:rsidRPr="0084755E" w:rsidRDefault="00775428"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Mensal de Conformidade</w:t>
            </w:r>
          </w:p>
        </w:tc>
        <w:tc>
          <w:tcPr>
            <w:tcW w:w="5400" w:type="dxa"/>
            <w:shd w:val="clear" w:color="auto" w:fill="0072C6"/>
          </w:tcPr>
          <w:p w14:paraId="3397105A" w14:textId="77777777" w:rsidR="00610081" w:rsidRPr="0084755E" w:rsidRDefault="00610081"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610081" w:rsidRPr="0084755E" w14:paraId="5A286161" w14:textId="77777777" w:rsidTr="00954FA1">
        <w:trPr>
          <w:trHeight w:val="245"/>
        </w:trPr>
        <w:tc>
          <w:tcPr>
            <w:tcW w:w="5400" w:type="dxa"/>
          </w:tcPr>
          <w:p w14:paraId="5210A7E7" w14:textId="77777777" w:rsidR="00610081" w:rsidRPr="0084755E" w:rsidRDefault="00610081" w:rsidP="00954FA1">
            <w:pPr>
              <w:pStyle w:val="ProductList-OfferingBody"/>
              <w:jc w:val="center"/>
              <w:rPr>
                <w:rFonts w:ascii="Calibri" w:hAnsi="Calibri" w:cs="Calibri"/>
                <w:szCs w:val="16"/>
              </w:rPr>
            </w:pPr>
            <w:r>
              <w:rPr>
                <w:rFonts w:ascii="Calibri" w:eastAsia="Times New Roman" w:hAnsi="Calibri" w:cs="Calibri"/>
                <w:szCs w:val="16"/>
              </w:rPr>
              <w:t>Menos de 99% e superior ou igual a 95% </w:t>
            </w:r>
          </w:p>
        </w:tc>
        <w:tc>
          <w:tcPr>
            <w:tcW w:w="5400" w:type="dxa"/>
          </w:tcPr>
          <w:p w14:paraId="640620E2" w14:textId="77777777" w:rsidR="00610081" w:rsidRPr="0084755E" w:rsidRDefault="00610081" w:rsidP="00954FA1">
            <w:pPr>
              <w:pStyle w:val="ProductList-OfferingBody"/>
              <w:jc w:val="center"/>
              <w:rPr>
                <w:rFonts w:ascii="Calibri" w:hAnsi="Calibri" w:cs="Calibri"/>
                <w:szCs w:val="16"/>
              </w:rPr>
            </w:pPr>
            <w:r>
              <w:rPr>
                <w:rFonts w:ascii="Calibri" w:hAnsi="Calibri" w:cs="Calibri"/>
                <w:szCs w:val="16"/>
              </w:rPr>
              <w:t>10%</w:t>
            </w:r>
          </w:p>
        </w:tc>
      </w:tr>
      <w:tr w:rsidR="00610081" w:rsidRPr="0084755E" w14:paraId="04DDB4DC" w14:textId="77777777" w:rsidTr="00954FA1">
        <w:trPr>
          <w:trHeight w:val="245"/>
        </w:trPr>
        <w:tc>
          <w:tcPr>
            <w:tcW w:w="5400" w:type="dxa"/>
          </w:tcPr>
          <w:p w14:paraId="5A2CB9ED" w14:textId="77777777" w:rsidR="00610081" w:rsidRPr="0084755E" w:rsidRDefault="00610081" w:rsidP="00954FA1">
            <w:pPr>
              <w:pStyle w:val="ProductList-OfferingBody"/>
              <w:jc w:val="center"/>
              <w:rPr>
                <w:rFonts w:ascii="Calibri" w:hAnsi="Calibri" w:cs="Calibri"/>
                <w:szCs w:val="16"/>
              </w:rPr>
            </w:pPr>
            <w:r>
              <w:rPr>
                <w:rFonts w:ascii="Calibri" w:eastAsia="Times New Roman" w:hAnsi="Calibri" w:cs="Calibri"/>
                <w:szCs w:val="16"/>
              </w:rPr>
              <w:t>Menos de 95% e superior ou igual a 90% </w:t>
            </w:r>
          </w:p>
        </w:tc>
        <w:tc>
          <w:tcPr>
            <w:tcW w:w="5400" w:type="dxa"/>
          </w:tcPr>
          <w:p w14:paraId="00E5A453" w14:textId="77777777" w:rsidR="00610081" w:rsidRPr="0084755E" w:rsidRDefault="00610081" w:rsidP="00954FA1">
            <w:pPr>
              <w:pStyle w:val="ProductList-OfferingBody"/>
              <w:jc w:val="center"/>
              <w:rPr>
                <w:rFonts w:ascii="Calibri" w:hAnsi="Calibri" w:cs="Calibri"/>
                <w:szCs w:val="16"/>
              </w:rPr>
            </w:pPr>
            <w:r>
              <w:rPr>
                <w:rFonts w:ascii="Calibri" w:hAnsi="Calibri" w:cs="Calibri"/>
                <w:szCs w:val="16"/>
              </w:rPr>
              <w:t>25%</w:t>
            </w:r>
          </w:p>
        </w:tc>
      </w:tr>
      <w:tr w:rsidR="00610081" w:rsidRPr="0084755E" w14:paraId="135C106D" w14:textId="77777777" w:rsidTr="00954FA1">
        <w:trPr>
          <w:trHeight w:val="245"/>
        </w:trPr>
        <w:tc>
          <w:tcPr>
            <w:tcW w:w="5400" w:type="dxa"/>
          </w:tcPr>
          <w:p w14:paraId="487011F2" w14:textId="77777777" w:rsidR="00610081" w:rsidRPr="0084755E" w:rsidRDefault="00610081" w:rsidP="00954FA1">
            <w:pPr>
              <w:pStyle w:val="ProductList-OfferingBody"/>
              <w:jc w:val="center"/>
              <w:rPr>
                <w:rFonts w:ascii="Calibri" w:hAnsi="Calibri" w:cs="Calibri"/>
                <w:szCs w:val="16"/>
              </w:rPr>
            </w:pPr>
            <w:r>
              <w:rPr>
                <w:rFonts w:ascii="Calibri" w:eastAsia="Times New Roman" w:hAnsi="Calibri" w:cs="Calibri"/>
                <w:szCs w:val="16"/>
              </w:rPr>
              <w:t>&lt;90% </w:t>
            </w:r>
          </w:p>
        </w:tc>
        <w:tc>
          <w:tcPr>
            <w:tcW w:w="5400" w:type="dxa"/>
          </w:tcPr>
          <w:p w14:paraId="0E6D54D4" w14:textId="77777777" w:rsidR="00610081" w:rsidRPr="0084755E" w:rsidRDefault="00610081" w:rsidP="00954FA1">
            <w:pPr>
              <w:pStyle w:val="ProductList-OfferingBody"/>
              <w:jc w:val="center"/>
              <w:rPr>
                <w:rFonts w:ascii="Calibri" w:hAnsi="Calibri" w:cs="Calibri"/>
                <w:szCs w:val="16"/>
              </w:rPr>
            </w:pPr>
            <w:r>
              <w:rPr>
                <w:rFonts w:ascii="Calibri" w:hAnsi="Calibri" w:cs="Calibri"/>
                <w:szCs w:val="16"/>
              </w:rPr>
              <w:t>100%</w:t>
            </w:r>
          </w:p>
        </w:tc>
      </w:tr>
    </w:tbl>
    <w:p w14:paraId="4DEEDD0B" w14:textId="77777777" w:rsidR="00610081" w:rsidRPr="0089329F" w:rsidRDefault="00610081" w:rsidP="00610081">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Exceções de Nível de Serviço:</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Este SLA não se aplica a:</w:t>
      </w:r>
    </w:p>
    <w:p w14:paraId="5FA2D8B8" w14:textId="77777777" w:rsidR="00610081" w:rsidRPr="0089329F" w:rsidRDefault="00610081">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Contas de armazenamento que não têm a Replicação com Prioridade da Replicação de Objetos ativada,</w:t>
      </w:r>
    </w:p>
    <w:p w14:paraId="0560F000" w14:textId="77777777" w:rsidR="00610081" w:rsidRPr="0089329F" w:rsidRDefault="00610081">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Objetos cujo tamanho exceda 5 gigabytes (GB),</w:t>
      </w:r>
    </w:p>
    <w:p w14:paraId="72E3EBB7" w14:textId="77777777" w:rsidR="00610081" w:rsidRPr="0089329F" w:rsidRDefault="00610081">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Objetos que são modificados com mais frequência do que 10 vezes por segundo,</w:t>
      </w:r>
    </w:p>
    <w:p w14:paraId="2CD6C2C5" w14:textId="77777777" w:rsidR="00610081" w:rsidRPr="0089329F" w:rsidRDefault="00610081">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Políticas de Replicação de Objetos em que a Conta de Armazenamento de Origem e a Conta de Armazenamento de Destino não estão no mesmo continente,</w:t>
      </w:r>
    </w:p>
    <w:p w14:paraId="45FAB9A3" w14:textId="77777777" w:rsidR="00610081" w:rsidRPr="00A7322E" w:rsidRDefault="00610081">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Contas de armazenamento com (a) mais de 5 petabytes (PB) ou (b) mais de </w:t>
      </w:r>
      <w:r>
        <w:rPr>
          <w:rFonts w:ascii="Calibri" w:eastAsia="Aptos" w:hAnsi="Calibri" w:cs="Calibri"/>
          <w:sz w:val="18"/>
          <w:szCs w:val="18"/>
        </w:rPr>
        <w:t>10 mil milhões de blobs e</w:t>
      </w:r>
    </w:p>
    <w:p w14:paraId="3EB0734A" w14:textId="77777777" w:rsidR="00610081" w:rsidRPr="00A7322E" w:rsidRDefault="00610081">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Durante os períodos de tempo em que (a) a taxa de transferência de dados da conta de armazenamento do Cliente ou da Política de Replicação excede 1 gigabit por segundo (Gbps) e o registo de tarefas pendentes resultante está a ser replicado, (b) a conta de armazenamento do Cliente ou a Política de Replicação excede 1000 operações PUT ou DELETE por segundo e o registo de tarefas pendentes resultante está a ser replicado, e (c) a replicação de blobs existente está pendente após uma criação ou atualização recente da Política de Replicação. Estima-se que a replicação de blobs existente progrida a 100 TB por dia, em média, mas pode registar uma velocidade reduzida quando estão presentes blobs com muitas versões.</w:t>
      </w:r>
    </w:p>
    <w:p w14:paraId="243B67E5" w14:textId="77777777" w:rsidR="00610081" w:rsidRPr="00EF7CF9" w:rsidRDefault="00610081" w:rsidP="006100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CF3AECD" w14:textId="44298EB6" w:rsidR="00C46E27" w:rsidRDefault="00DE1335" w:rsidP="00F01ED6">
      <w:pPr>
        <w:pStyle w:val="ProductList-Offering2Heading"/>
        <w:keepNext/>
        <w:tabs>
          <w:tab w:val="clear" w:pos="360"/>
          <w:tab w:val="clear" w:pos="720"/>
          <w:tab w:val="clear" w:pos="1080"/>
        </w:tabs>
        <w:outlineLvl w:val="2"/>
      </w:pPr>
      <w:bookmarkStart w:id="363" w:name="_Toc239176515"/>
      <w:r>
        <w:t>Azure Operator Service Manager</w:t>
      </w:r>
      <w:bookmarkEnd w:id="363"/>
    </w:p>
    <w:p w14:paraId="648013B5" w14:textId="77777777" w:rsidR="00462263" w:rsidRPr="00FE394E" w:rsidRDefault="00462263" w:rsidP="0046226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Definições Adicionais</w:t>
      </w:r>
      <w:r w:rsidRPr="004C060D">
        <w:rPr>
          <w:rFonts w:ascii="Calibri" w:eastAsia="Calibri" w:hAnsi="Calibri" w:cs="Arial"/>
          <w:b/>
          <w:bCs/>
          <w:color w:val="00188F"/>
          <w:sz w:val="18"/>
          <w:bdr w:val="none" w:sz="0" w:space="0" w:color="auto" w:frame="1"/>
        </w:rPr>
        <w:t>:</w:t>
      </w:r>
    </w:p>
    <w:p w14:paraId="2080F62D" w14:textId="77777777" w:rsidR="00462263" w:rsidRPr="00FE394E" w:rsidRDefault="00462263" w:rsidP="00462263">
      <w:pPr>
        <w:shd w:val="clear" w:color="auto" w:fill="FFFFFF"/>
        <w:spacing w:after="0" w:line="240" w:lineRule="auto"/>
        <w:textAlignment w:val="baseline"/>
        <w:rPr>
          <w:rFonts w:ascii="Calibri" w:eastAsia="Times New Roman" w:hAnsi="Calibri" w:cs="Calibri"/>
          <w:sz w:val="18"/>
          <w:szCs w:val="18"/>
        </w:rPr>
      </w:pPr>
      <w:r w:rsidRPr="001A0705">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Honorários dos Serviços Aplicáveis</w:t>
      </w:r>
      <w:r w:rsidRPr="001A0705">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designa o total dos honorários efetivamente pagos pelo Cliente por um Serviço que é aplicado ao Período Aplicável em que um Crédito de Serviço é devido.</w:t>
      </w:r>
    </w:p>
    <w:p w14:paraId="0E70D3A6" w14:textId="77777777" w:rsidR="00462263" w:rsidRPr="00FE394E" w:rsidRDefault="00462263" w:rsidP="00462263">
      <w:pPr>
        <w:shd w:val="clear" w:color="auto" w:fill="FFFFFF"/>
        <w:spacing w:after="0" w:line="240" w:lineRule="auto"/>
        <w:textAlignment w:val="baseline"/>
        <w:rPr>
          <w:rFonts w:ascii="Calibri" w:eastAsia="Times New Roman" w:hAnsi="Calibri" w:cs="Calibri"/>
          <w:sz w:val="18"/>
          <w:szCs w:val="18"/>
        </w:rPr>
      </w:pPr>
      <w:r w:rsidRPr="001A0705">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Nível de serviço</w:t>
      </w:r>
      <w:r w:rsidRPr="001A0705">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designa as métricas de desempenho estabelecidas neste SLA que a Microsoft aceita cumprir na prestação dos Serviços.</w:t>
      </w:r>
    </w:p>
    <w:p w14:paraId="19743CBB" w14:textId="77777777" w:rsidR="00462263" w:rsidRPr="00FE394E" w:rsidRDefault="00462263" w:rsidP="00462263">
      <w:pPr>
        <w:shd w:val="clear" w:color="auto" w:fill="FFFFFF"/>
        <w:spacing w:after="0" w:line="240" w:lineRule="auto"/>
        <w:textAlignment w:val="baseline"/>
        <w:rPr>
          <w:rFonts w:ascii="Calibri" w:eastAsia="Times New Roman" w:hAnsi="Calibri" w:cs="Calibri"/>
          <w:sz w:val="18"/>
          <w:szCs w:val="18"/>
        </w:rPr>
      </w:pPr>
      <w:r w:rsidRPr="001A0705">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Máximo de Minutos Disponíveis</w:t>
      </w:r>
      <w:r w:rsidRPr="001A0705">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designa o total de minutos acumulados durante um Período Aplicável em que pelo menos um recurso do Azure Operator Service Manager Site Network Service esteve implementado numa Subscrição do Microsoft Azure.</w:t>
      </w:r>
    </w:p>
    <w:p w14:paraId="1B4A98F8" w14:textId="77777777" w:rsidR="00462263" w:rsidRPr="00FE394E" w:rsidRDefault="00462263" w:rsidP="00462263">
      <w:pPr>
        <w:shd w:val="clear" w:color="auto" w:fill="FFFFFF"/>
        <w:spacing w:after="0" w:line="240" w:lineRule="auto"/>
        <w:textAlignment w:val="baseline"/>
        <w:rPr>
          <w:rFonts w:ascii="Calibri" w:eastAsia="Times New Roman" w:hAnsi="Calibri" w:cs="Calibri"/>
          <w:sz w:val="18"/>
          <w:szCs w:val="18"/>
        </w:rPr>
      </w:pPr>
      <w:r w:rsidRPr="001A0705">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Período de Indisponibilidade</w:t>
      </w:r>
      <w:r w:rsidRPr="001A0705">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um minuto é considerado período de indisponibilidade se todas as tentativas contínuas para criar, atualizar ou ver os recursos do serviço durante esse minuto devolverem um Código de Erro ou não devolverem um Código de Êxito no prazo de dois minutos.</w:t>
      </w:r>
    </w:p>
    <w:p w14:paraId="17DB1D11" w14:textId="77777777" w:rsidR="00462263" w:rsidRDefault="00462263" w:rsidP="00462263">
      <w:pPr>
        <w:shd w:val="clear" w:color="auto" w:fill="FFFFFF"/>
        <w:spacing w:after="0" w:line="240" w:lineRule="auto"/>
        <w:textAlignment w:val="baseline"/>
        <w:rPr>
          <w:rFonts w:ascii="Calibri" w:eastAsia="Times New Roman" w:hAnsi="Calibri" w:cs="Calibri"/>
          <w:color w:val="000000"/>
          <w:sz w:val="18"/>
          <w:szCs w:val="18"/>
        </w:rPr>
      </w:pPr>
      <w:r w:rsidRPr="0004526F">
        <w:rPr>
          <w:rFonts w:ascii="Calibri" w:eastAsia="Times New Roman" w:hAnsi="Calibri" w:cs="Calibri"/>
          <w:color w:val="000000"/>
          <w:sz w:val="18"/>
          <w:szCs w:val="18"/>
        </w:rPr>
        <w:t xml:space="preserve">A </w:t>
      </w:r>
      <w:r w:rsidRPr="001A0705">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Percentagem de Período de Disponibilidade</w:t>
      </w:r>
      <w:r w:rsidRPr="001A0705">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para o Azure Operator Service Manager é calculada como o Máximo de Minutos Disponíveis menos o Período de Indisponibilidade, dividido pelo Máximo de Minutos Disponíveis num Período Aplicável. A Percentagem de Período de Disponibilidade é calculada por região e é representada pela seguinte fórmula:</w:t>
      </w:r>
    </w:p>
    <w:p w14:paraId="5534A392" w14:textId="77777777" w:rsidR="00462263" w:rsidRPr="00462263" w:rsidRDefault="00462263" w:rsidP="00110FE2">
      <w:pPr>
        <w:shd w:val="clear" w:color="auto" w:fill="FFFFFF"/>
        <w:spacing w:before="240" w:after="240" w:line="240" w:lineRule="auto"/>
        <w:jc w:val="center"/>
        <w:rPr>
          <w:rFonts w:ascii="Cambria Math" w:eastAsia="Times New Roman" w:hAnsi="Cambria Math" w:cs="Calibri"/>
          <w:i/>
          <w:color w:val="000000"/>
          <w:sz w:val="18"/>
          <w:szCs w:val="18"/>
        </w:rPr>
      </w:pPr>
      <w:r w:rsidRPr="00462263">
        <w:rPr>
          <w:rFonts w:ascii="Cambria Math" w:eastAsia="Times New Roman" w:hAnsi="Cambria Math" w:cs="Calibri"/>
          <w:i/>
          <w:color w:val="000000"/>
          <w:sz w:val="18"/>
          <w:szCs w:val="18"/>
          <w:bdr w:val="none" w:sz="0" w:space="0" w:color="auto" w:frame="1"/>
        </w:rPr>
        <w:t>% de Período de Disponibilidade Mensal = (Máximo de Minutos Disponíveis−Tempo de Inatividade)/Máximo de Minutos Disponíveis x 100</w:t>
      </w:r>
    </w:p>
    <w:p w14:paraId="01F2C9CC" w14:textId="77777777" w:rsidR="00462263" w:rsidRDefault="00462263" w:rsidP="0046226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Crédito de Serviço</w:t>
      </w:r>
      <w:r w:rsidRPr="004C060D">
        <w:rPr>
          <w:rFonts w:ascii="Calibri" w:eastAsia="Calibri" w:hAnsi="Calibri" w:cs="Arial"/>
          <w:b/>
          <w:bCs/>
          <w:color w:val="00188F"/>
          <w:sz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462263" w:rsidRPr="00CF77C2" w14:paraId="67B0A3B2" w14:textId="77777777" w:rsidTr="00995E56">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5A3447D0" w14:textId="77777777" w:rsidR="00462263" w:rsidRDefault="004622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Percentagem de Período de Disponibilidade</w:t>
            </w:r>
          </w:p>
        </w:tc>
        <w:tc>
          <w:tcPr>
            <w:tcW w:w="5381" w:type="dxa"/>
            <w:tcBorders>
              <w:top w:val="single" w:sz="8" w:space="0" w:color="000000"/>
              <w:left w:val="nil"/>
              <w:bottom w:val="single" w:sz="8" w:space="0" w:color="000000"/>
              <w:right w:val="single" w:sz="8" w:space="0" w:color="000000"/>
            </w:tcBorders>
            <w:shd w:val="clear" w:color="auto" w:fill="0072C6"/>
            <w:hideMark/>
          </w:tcPr>
          <w:p w14:paraId="22B3D2F4" w14:textId="77777777" w:rsidR="00462263" w:rsidRDefault="004622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Serviço</w:t>
            </w:r>
          </w:p>
        </w:tc>
      </w:tr>
      <w:tr w:rsidR="00462263" w:rsidRPr="00CF77C2" w14:paraId="0C3BACA9" w14:textId="77777777" w:rsidTr="00995E56">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E84C152" w14:textId="77777777" w:rsidR="00462263" w:rsidRDefault="004622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45F968F1" w14:textId="77777777" w:rsidR="00462263" w:rsidRDefault="004622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462263" w:rsidRPr="00CF77C2" w14:paraId="77C3C5DC" w14:textId="77777777" w:rsidTr="00995E56">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85B9154" w14:textId="77777777" w:rsidR="00462263" w:rsidRDefault="004622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1BE33DBA" w14:textId="77777777" w:rsidR="00462263" w:rsidRDefault="004622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57543E0C" w14:textId="77777777" w:rsidR="00462263" w:rsidRPr="00FE394E" w:rsidRDefault="00462263" w:rsidP="00FC13C6">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Exceções de Nível de Serviço</w:t>
      </w:r>
      <w:r w:rsidRPr="004C060D">
        <w:rPr>
          <w:rFonts w:ascii="Calibri" w:eastAsia="Calibri" w:hAnsi="Calibri" w:cs="Arial"/>
          <w:b/>
          <w:bCs/>
          <w:color w:val="00188F"/>
          <w:sz w:val="18"/>
          <w:bdr w:val="none" w:sz="0" w:space="0" w:color="auto" w:frame="1"/>
        </w:rPr>
        <w:t>:</w:t>
      </w:r>
    </w:p>
    <w:p w14:paraId="55DD3244" w14:textId="77777777" w:rsidR="00462263" w:rsidRPr="00FE394E" w:rsidRDefault="00462263" w:rsidP="00462263">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lastRenderedPageBreak/>
        <w:t xml:space="preserve">Problemas de desempenho ou disponibilidade que resultam do seguinte </w:t>
      </w:r>
    </w:p>
    <w:p w14:paraId="21DE47BA" w14:textId="77777777" w:rsidR="00462263" w:rsidRPr="00FE394E" w:rsidRDefault="00462263">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A falha por parte do Cliente em cumprir quaisquer configurações necessárias, utilizar plataformas suportadas, seguir quaisquer políticas para uma utilização aceitável ou da utilização que o Cliente faz do Serviço de uma forma inconsistente com as funcionalidades do Serviço (por exemplo, tentativas para executar operações que não sejam suportadas) ou inconsistente com as instruções publicadas da Microsoft.</w:t>
      </w:r>
    </w:p>
    <w:p w14:paraId="6772690F" w14:textId="77777777" w:rsidR="00462263" w:rsidRDefault="00462263">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As tentativas por parte do Cliente para executar operações que excedam as quotas indicadas ou resultantes da limitação por parte da Microsoft de comportamento abusivo suspeito.</w:t>
      </w:r>
    </w:p>
    <w:p w14:paraId="4C6772F5" w14:textId="77777777" w:rsidR="00AD6CDF" w:rsidRPr="00CF77C2" w:rsidRDefault="00AD6CDF" w:rsidP="00AD6CDF">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Índice" w:history="1">
        <w:r>
          <w:rPr>
            <w:rStyle w:val="Hyperlink"/>
            <w:rFonts w:ascii="Calibri" w:hAnsi="Calibri" w:cs="Calibri"/>
            <w:sz w:val="16"/>
            <w:szCs w:val="16"/>
          </w:rPr>
          <w:t>Índice</w:t>
        </w:r>
      </w:hyperlink>
      <w:r>
        <w:rPr>
          <w:rFonts w:ascii="Calibri" w:hAnsi="Calibri" w:cs="Calibri"/>
          <w:sz w:val="16"/>
          <w:szCs w:val="16"/>
        </w:rPr>
        <w:t xml:space="preserve"> / </w:t>
      </w:r>
      <w:hyperlink w:anchor="Definições" w:tooltip="Definições" w:history="1">
        <w:r>
          <w:rPr>
            <w:rStyle w:val="Hyperlink"/>
            <w:rFonts w:ascii="Calibri" w:hAnsi="Calibri" w:cs="Calibri"/>
            <w:sz w:val="16"/>
            <w:szCs w:val="16"/>
          </w:rPr>
          <w:t>Definições</w:t>
        </w:r>
      </w:hyperlink>
    </w:p>
    <w:p w14:paraId="4F4794A3" w14:textId="6D046716" w:rsidR="000146AE" w:rsidRPr="000146AE" w:rsidRDefault="000146AE" w:rsidP="00F01ED6">
      <w:pPr>
        <w:pStyle w:val="ProductList-Offering2Heading"/>
        <w:keepNext/>
        <w:tabs>
          <w:tab w:val="clear" w:pos="360"/>
          <w:tab w:val="clear" w:pos="720"/>
          <w:tab w:val="clear" w:pos="1080"/>
        </w:tabs>
        <w:outlineLvl w:val="2"/>
      </w:pPr>
      <w:bookmarkStart w:id="364" w:name="_Toc239176516"/>
      <w:r>
        <w:t>Estação Terrestre do Azure Orbital</w:t>
      </w:r>
      <w:bookmarkEnd w:id="364"/>
    </w:p>
    <w:p w14:paraId="081E007E" w14:textId="77777777" w:rsidR="000146AE" w:rsidRPr="000146AE" w:rsidRDefault="000146AE" w:rsidP="00F01ED6">
      <w:pPr>
        <w:pStyle w:val="ProductList-Body"/>
        <w:keepNext/>
        <w:rPr>
          <w:b/>
          <w:bCs/>
          <w:color w:val="00188F"/>
        </w:rPr>
      </w:pPr>
      <w:r>
        <w:rPr>
          <w:b/>
          <w:bCs/>
          <w:color w:val="00188F"/>
        </w:rPr>
        <w:t>Definições Adicionais</w:t>
      </w:r>
    </w:p>
    <w:p w14:paraId="1AABB734" w14:textId="77777777" w:rsidR="004A561E" w:rsidRPr="00A02980" w:rsidRDefault="004A561E" w:rsidP="004A561E">
      <w:pPr>
        <w:tabs>
          <w:tab w:val="left" w:pos="360"/>
          <w:tab w:val="left" w:pos="720"/>
          <w:tab w:val="left" w:pos="1080"/>
        </w:tabs>
        <w:spacing w:after="0" w:line="240" w:lineRule="auto"/>
        <w:rPr>
          <w:rFonts w:ascii="Calibri" w:eastAsia="Calibri" w:hAnsi="Calibri" w:cs="Calibri"/>
          <w:sz w:val="18"/>
          <w:szCs w:val="18"/>
        </w:rPr>
      </w:pPr>
      <w:r w:rsidRPr="00A02980">
        <w:rPr>
          <w:rFonts w:ascii="Calibri" w:hAnsi="Calibri" w:cs="Calibri"/>
          <w:sz w:val="18"/>
          <w:szCs w:val="18"/>
        </w:rPr>
        <w:t xml:space="preserve">O </w:t>
      </w:r>
      <w:r w:rsidRPr="00A02980">
        <w:rPr>
          <w:rFonts w:ascii="Calibri" w:eastAsia="Calibri" w:hAnsi="Calibri" w:cs="Calibri"/>
          <w:sz w:val="18"/>
          <w:szCs w:val="18"/>
        </w:rPr>
        <w:t>“</w:t>
      </w:r>
      <w:r w:rsidRPr="00A02980">
        <w:rPr>
          <w:rFonts w:ascii="Calibri" w:eastAsia="Calibri" w:hAnsi="Calibri" w:cs="Calibri"/>
          <w:b/>
          <w:bCs/>
          <w:color w:val="00188F"/>
          <w:sz w:val="18"/>
          <w:szCs w:val="18"/>
        </w:rPr>
        <w:t>Serviço Estação Terrestre do Azure Orbital</w:t>
      </w:r>
      <w:r w:rsidRPr="00A02980">
        <w:rPr>
          <w:rFonts w:ascii="Calibri" w:eastAsia="Calibri" w:hAnsi="Calibri" w:cs="Calibri"/>
          <w:sz w:val="18"/>
          <w:szCs w:val="18"/>
        </w:rPr>
        <w:t>” é um serviço de estação terrestre totalmente gerido que oferece conectividade de baixa latência a partir de satélites do cliente em órbita com a cloud do Microsoft Azure. Para efeitos do presente SLA, o serviço inclui a conectividade apenas às estações terrestres que sejam propriedade e operadas pela Microsoft, e não as estações terrestres que sejam propriedade ou operadas por fornecedores de estações terrestres de terceiros que os clientes configuram para trabalhar com o Serviço Estação Terrestre do Azure Orbital.</w:t>
      </w:r>
    </w:p>
    <w:p w14:paraId="402ACEE9" w14:textId="77777777" w:rsidR="004A561E" w:rsidRPr="008B7B5F" w:rsidRDefault="004A561E" w:rsidP="004A561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Contacto Agendado</w:t>
      </w:r>
      <w:r>
        <w:rPr>
          <w:rFonts w:ascii="Calibri" w:eastAsia="Calibri" w:hAnsi="Calibri" w:cs="Calibri"/>
          <w:sz w:val="18"/>
          <w:szCs w:val="18"/>
        </w:rPr>
        <w:t>” é o momento em que uma ligação entre uma Estação Terrestre do Azure Orbital detida e operada pela Microsoft, e o satélite do cliente foi solicitada pelo cliente (através do Portal do Azure ou da API), e confirmada como agendada pela Microsoft (ou sejam o estado do contacto pedido mostra “Agendado” no Portal do Azure ou na interface da API).</w:t>
      </w:r>
    </w:p>
    <w:p w14:paraId="3F6BC26B" w14:textId="77777777" w:rsidR="004A561E" w:rsidRPr="008B7B5F" w:rsidRDefault="004A561E" w:rsidP="004A561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Período de Indisponibilidade</w:t>
      </w:r>
      <w:r>
        <w:rPr>
          <w:rFonts w:ascii="Calibri" w:eastAsia="Calibri" w:hAnsi="Calibri" w:cs="Calibri"/>
          <w:sz w:val="18"/>
          <w:szCs w:val="18"/>
        </w:rPr>
        <w:t>” designa o tempo durante um Contacto Agendado em que o cliente não consegue transmitir dados de ponto a ponto para ou a partir dos satélites do cliente para o ponto final da rede virtual do cliente em Azure, em qualquer dos casos devido a uma falha especificamente atribuível ao Serviço Estação Terrestre do Azure Orbital, ou ao cancelamento de um Contacto Agendado confirmado anteriormente (conforme indicado pelo campo ContactsStatus que muda de “agendado” para “com falhas” ou “providerCancelled”).</w:t>
      </w:r>
    </w:p>
    <w:p w14:paraId="5649A0D0" w14:textId="77777777" w:rsidR="004A561E" w:rsidRPr="008B7B5F" w:rsidRDefault="004A561E" w:rsidP="00263D02">
      <w:pPr>
        <w:tabs>
          <w:tab w:val="left" w:pos="360"/>
          <w:tab w:val="left" w:pos="720"/>
          <w:tab w:val="left" w:pos="1080"/>
        </w:tabs>
        <w:spacing w:before="60" w:after="0" w:line="240" w:lineRule="auto"/>
        <w:rPr>
          <w:rFonts w:ascii="Calibri" w:eastAsia="Calibri" w:hAnsi="Calibri" w:cs="Calibri"/>
          <w:sz w:val="18"/>
          <w:szCs w:val="18"/>
        </w:rPr>
      </w:pPr>
      <w:r>
        <w:rPr>
          <w:rFonts w:ascii="Calibri" w:eastAsia="Calibri" w:hAnsi="Calibri" w:cs="Calibri"/>
          <w:sz w:val="18"/>
          <w:szCs w:val="18"/>
        </w:rPr>
        <w:t>O Período de Indisponibilidade não inclui qualquer tempo durante um Contacto Agendado quando o cliente não consegue transmitir dados ponto a ponto devido a (i) quaisquer circunstâncias com falhas ao abrigo das Exceções de Nível de Serviço abaixo; ou (ii) quaisquer circunstâncias que impeçam o Serviço Estação Terrestre do Azure Orbital de confirmar um contacto pedido como um Contacto Agendado. Para efeitos do Serviço Estação Terrestre do Azure Orbital, Período de Indisponibilidade não inclui o Período de Indisponibilidade Agendado atribuível à manutenção ou a reparações dos locais do Serviço Estação Terrestre do Azure Orbital.</w:t>
      </w:r>
    </w:p>
    <w:p w14:paraId="00C06FD3" w14:textId="77777777" w:rsidR="004A561E" w:rsidRPr="008B7B5F" w:rsidRDefault="004A561E" w:rsidP="004A561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Exceções de Nível de Serviço</w:t>
      </w:r>
      <w:r w:rsidRPr="007A41A5">
        <w:rPr>
          <w:rFonts w:ascii="Calibri" w:eastAsia="Calibri" w:hAnsi="Calibri" w:cs="Calibri"/>
          <w:b/>
          <w:bCs/>
          <w:sz w:val="18"/>
          <w:szCs w:val="18"/>
        </w:rPr>
        <w:t>:</w:t>
      </w:r>
    </w:p>
    <w:p w14:paraId="718E92C5" w14:textId="77777777" w:rsidR="004A561E" w:rsidRPr="008B7B5F" w:rsidRDefault="004A561E">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Problemas de desempenho ou disponibilidade que resultam do seguinte</w:t>
      </w:r>
    </w:p>
    <w:p w14:paraId="05A1745A" w14:textId="77777777" w:rsidR="004A561E" w:rsidRPr="008B7B5F" w:rsidRDefault="004A561E">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Restrições ou limitações impostas à licença de exploração do veículo espacial do cliente por um órgão regulador ou agência governamental.</w:t>
      </w:r>
    </w:p>
    <w:p w14:paraId="1DF94530" w14:textId="77777777" w:rsidR="004A561E" w:rsidRPr="008B7B5F" w:rsidRDefault="004A561E">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A utilização dos serviços, hardware ou software não fornecido pela Microsoft, incluindo, entre outros, os problemas resultantes de uma largura de banda inadequada, ou relacionados com software ou serviços de terceiros.</w:t>
      </w:r>
    </w:p>
    <w:p w14:paraId="7EE00785" w14:textId="77777777" w:rsidR="004A561E" w:rsidRPr="00322290" w:rsidRDefault="004A561E">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O incumprimento por parte do Cliente de quaisquer configurações obrigatórias, a utilização das plataformas suportadas, o seguimento de quaisquer políticas de utilização aceitável ou a utilização do Serviço Estação Terrestre do Azure Orbital de uma forma inconsistente com as suas funções e funcionalidades (por exemplo, tentativas de execução de operações que não sejam suportadas expressamente) ou inconsistente com a nossa documentação ou instruções publicadas.</w:t>
      </w:r>
    </w:p>
    <w:p w14:paraId="19F8C18A" w14:textId="4793B65D" w:rsidR="000146AE" w:rsidRPr="000146AE" w:rsidRDefault="000146AE" w:rsidP="00F01ED6">
      <w:pPr>
        <w:pStyle w:val="ProductList-Body"/>
        <w:spacing w:before="120"/>
        <w:rPr>
          <w:b/>
          <w:bCs/>
          <w:color w:val="00188F"/>
        </w:rPr>
      </w:pPr>
      <w:r>
        <w:rPr>
          <w:b/>
          <w:bCs/>
          <w:color w:val="00188F"/>
        </w:rPr>
        <w:t>Níveis de Serviço e Cálculo da Percentagem de Contactos Com Êxito</w:t>
      </w:r>
    </w:p>
    <w:p w14:paraId="77258D37" w14:textId="1E603468" w:rsidR="000146AE" w:rsidRDefault="000146AE" w:rsidP="00F01ED6">
      <w:pPr>
        <w:pStyle w:val="ProductList-Body"/>
      </w:pPr>
      <w:r>
        <w:t xml:space="preserve">A </w:t>
      </w:r>
      <w:r w:rsidR="00380305">
        <w:t>“</w:t>
      </w:r>
      <w:r>
        <w:rPr>
          <w:b/>
          <w:bCs/>
          <w:color w:val="00188F"/>
        </w:rPr>
        <w:t>Percentagem de Contactos Com Êxito</w:t>
      </w:r>
      <w:r w:rsidR="00380305">
        <w:t>”</w:t>
      </w:r>
      <w:r>
        <w:t xml:space="preserve"> é calculada como o total de minutos do Contacto Agendado menos os minutos de Período de Indisponibilidade, dividido pelo total de minutos do Contacto Agendado. É representado pela seguinte fórmula:</w:t>
      </w:r>
    </w:p>
    <w:p w14:paraId="0A64C922" w14:textId="091AD38C" w:rsidR="00A860B2" w:rsidRPr="00EF7CF9" w:rsidRDefault="00000000" w:rsidP="00AB6E4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Minutos do Contacto Agendado-Minutos de Período de Indisponibilidade</m:t>
              </m:r>
            </m:num>
            <m:den>
              <m:r>
                <m:rPr>
                  <m:nor/>
                </m:rPr>
                <w:rPr>
                  <w:rFonts w:ascii="Cambria Math" w:hAnsi="Cambria Math" w:cs="Tahoma"/>
                  <w:i/>
                  <w:sz w:val="18"/>
                  <w:szCs w:val="18"/>
                </w:rPr>
                <m:t>Total de Minutos do Contacto Agendado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7B0DCE80" w:rsidR="00565771" w:rsidRDefault="000146AE" w:rsidP="004A561E">
      <w:pPr>
        <w:pStyle w:val="ProductList-Body"/>
        <w:keepNext/>
        <w:keepLines/>
        <w:widowControl w:val="0"/>
        <w:rPr>
          <w:b/>
          <w:bCs/>
          <w:color w:val="00188F"/>
        </w:rPr>
      </w:pPr>
      <w:r>
        <w:rPr>
          <w:b/>
          <w:bCs/>
          <w:color w:val="00188F"/>
        </w:rPr>
        <w:t>Os seguintes Níveis de Serviço e Créditos de Serviço são aplicáveis ao Serviço Estação Terrestre do Azure Orbital para os Honorários dos Serviços Aplicáveis: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F01ED6">
            <w:pPr>
              <w:pStyle w:val="ProductList-OfferingBody"/>
              <w:jc w:val="center"/>
              <w:rPr>
                <w:color w:val="FFFFFF" w:themeColor="background1"/>
              </w:rPr>
            </w:pPr>
            <w:r>
              <w:rPr>
                <w:color w:val="FFFFFF" w:themeColor="background1"/>
              </w:rPr>
              <w:t>Percentagem de Contactos Com Êxito</w:t>
            </w:r>
          </w:p>
        </w:tc>
        <w:tc>
          <w:tcPr>
            <w:tcW w:w="5400" w:type="dxa"/>
            <w:shd w:val="clear" w:color="auto" w:fill="0072C6"/>
          </w:tcPr>
          <w:p w14:paraId="4B717705" w14:textId="77777777" w:rsidR="00482531" w:rsidRPr="00EF7CF9" w:rsidRDefault="00482531" w:rsidP="00F01ED6">
            <w:pPr>
              <w:pStyle w:val="ProductList-OfferingBody"/>
              <w:jc w:val="center"/>
              <w:rPr>
                <w:color w:val="FFFFFF" w:themeColor="background1"/>
              </w:rPr>
            </w:pPr>
            <w:r>
              <w:rPr>
                <w:color w:val="FFFFFF" w:themeColor="background1"/>
              </w:rPr>
              <w:t>Crédito de Serviço</w:t>
            </w:r>
          </w:p>
        </w:tc>
      </w:tr>
      <w:tr w:rsidR="00482531" w:rsidRPr="00B44CF9" w14:paraId="046908F8" w14:textId="77777777" w:rsidTr="00277097">
        <w:tc>
          <w:tcPr>
            <w:tcW w:w="5400" w:type="dxa"/>
          </w:tcPr>
          <w:p w14:paraId="3E143ED3" w14:textId="77777777" w:rsidR="00482531" w:rsidRPr="00EF7CF9" w:rsidRDefault="00482531" w:rsidP="00F01ED6">
            <w:pPr>
              <w:pStyle w:val="ProductList-OfferingBody"/>
              <w:jc w:val="center"/>
            </w:pPr>
            <w:r>
              <w:t>&lt; 99,9%</w:t>
            </w:r>
          </w:p>
        </w:tc>
        <w:tc>
          <w:tcPr>
            <w:tcW w:w="5400" w:type="dxa"/>
          </w:tcPr>
          <w:p w14:paraId="29BAF580" w14:textId="77777777" w:rsidR="00482531" w:rsidRPr="00EF7CF9" w:rsidRDefault="00482531" w:rsidP="00F01ED6">
            <w:pPr>
              <w:pStyle w:val="ProductList-OfferingBody"/>
              <w:jc w:val="center"/>
            </w:pPr>
            <w:r>
              <w:t>10%</w:t>
            </w:r>
          </w:p>
        </w:tc>
      </w:tr>
      <w:tr w:rsidR="00482531" w:rsidRPr="00B44CF9" w14:paraId="31BDD149" w14:textId="77777777" w:rsidTr="00277097">
        <w:tc>
          <w:tcPr>
            <w:tcW w:w="5400" w:type="dxa"/>
          </w:tcPr>
          <w:p w14:paraId="4C89C0EC" w14:textId="4F74139B" w:rsidR="00482531" w:rsidRPr="00EF7CF9" w:rsidRDefault="00482531" w:rsidP="00F01ED6">
            <w:pPr>
              <w:pStyle w:val="ProductList-OfferingBody"/>
              <w:jc w:val="center"/>
            </w:pPr>
            <w:r>
              <w:t>&lt; 98%</w:t>
            </w:r>
          </w:p>
        </w:tc>
        <w:tc>
          <w:tcPr>
            <w:tcW w:w="5400" w:type="dxa"/>
          </w:tcPr>
          <w:p w14:paraId="5BBB0BBA" w14:textId="77777777" w:rsidR="00482531" w:rsidRPr="00EF7CF9" w:rsidRDefault="00482531" w:rsidP="00F01ED6">
            <w:pPr>
              <w:pStyle w:val="ProductList-OfferingBody"/>
              <w:jc w:val="center"/>
            </w:pPr>
            <w:r>
              <w:t>25%</w:t>
            </w:r>
          </w:p>
        </w:tc>
      </w:tr>
      <w:tr w:rsidR="00482531" w:rsidRPr="00B44CF9" w14:paraId="3876E0F8" w14:textId="77777777" w:rsidTr="00277097">
        <w:tc>
          <w:tcPr>
            <w:tcW w:w="5400" w:type="dxa"/>
          </w:tcPr>
          <w:p w14:paraId="5A12BAE1" w14:textId="77777777" w:rsidR="00482531" w:rsidRPr="00EF7CF9" w:rsidRDefault="00482531" w:rsidP="00F01ED6">
            <w:pPr>
              <w:pStyle w:val="ProductList-OfferingBody"/>
              <w:jc w:val="center"/>
            </w:pPr>
            <w:r>
              <w:t>&lt; 95%</w:t>
            </w:r>
          </w:p>
        </w:tc>
        <w:tc>
          <w:tcPr>
            <w:tcW w:w="5400" w:type="dxa"/>
          </w:tcPr>
          <w:p w14:paraId="1B983005" w14:textId="77777777" w:rsidR="00482531" w:rsidRPr="00EF7CF9" w:rsidRDefault="00482531" w:rsidP="00F01ED6">
            <w:pPr>
              <w:pStyle w:val="ProductList-OfferingBody"/>
              <w:jc w:val="center"/>
            </w:pPr>
            <w:r>
              <w:t>100%</w:t>
            </w:r>
          </w:p>
        </w:tc>
      </w:tr>
    </w:tbl>
    <w:p w14:paraId="07D58BA5"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81FC915" w14:textId="77777777" w:rsidR="00F03F61" w:rsidRPr="00AB73C5" w:rsidRDefault="00F03F61" w:rsidP="00762971">
      <w:pPr>
        <w:pStyle w:val="ProductList-Offering2Heading"/>
        <w:keepNext/>
        <w:pageBreakBefore/>
        <w:tabs>
          <w:tab w:val="clear" w:pos="360"/>
          <w:tab w:val="clear" w:pos="720"/>
          <w:tab w:val="clear" w:pos="1080"/>
        </w:tabs>
        <w:outlineLvl w:val="2"/>
      </w:pPr>
      <w:bookmarkStart w:id="365" w:name="_Toc239176517"/>
      <w:r w:rsidRPr="00AB73C5">
        <w:lastRenderedPageBreak/>
        <w:t>Microsoft Playwright Testing</w:t>
      </w:r>
      <w:bookmarkEnd w:id="365"/>
    </w:p>
    <w:p w14:paraId="6672018B" w14:textId="77777777" w:rsidR="00F03F61" w:rsidRPr="00FD37EB" w:rsidRDefault="00F03F61" w:rsidP="00F03F61">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Definições Adicionais</w:t>
      </w:r>
    </w:p>
    <w:p w14:paraId="3EB2264F" w14:textId="77777777" w:rsidR="00F03F61" w:rsidRPr="00FD37EB" w:rsidRDefault="00F03F61" w:rsidP="00F03F61">
      <w:pPr>
        <w:shd w:val="clear" w:color="auto" w:fill="FFFFFF"/>
        <w:spacing w:after="0" w:line="240" w:lineRule="auto"/>
        <w:textAlignment w:val="baseline"/>
        <w:rPr>
          <w:rFonts w:ascii="Calibri" w:eastAsia="Calibri" w:hAnsi="Calibri" w:cs="Arial"/>
          <w:sz w:val="18"/>
        </w:rPr>
      </w:pPr>
      <w:r w:rsidRPr="000B56CC">
        <w:rPr>
          <w:rFonts w:ascii="Calibri" w:eastAsia="Calibri" w:hAnsi="Calibri" w:cs="Arial"/>
          <w:color w:val="00188F"/>
          <w:sz w:val="18"/>
        </w:rPr>
        <w:t>“</w:t>
      </w:r>
      <w:r>
        <w:rPr>
          <w:rFonts w:ascii="Calibri" w:eastAsia="Calibri" w:hAnsi="Calibri" w:cs="Arial"/>
          <w:b/>
          <w:bCs/>
          <w:color w:val="00188F"/>
          <w:sz w:val="18"/>
        </w:rPr>
        <w:t>Minutos de Implementação</w:t>
      </w:r>
      <w:r w:rsidRPr="000B56CC">
        <w:rPr>
          <w:rFonts w:ascii="Calibri" w:eastAsia="Calibri" w:hAnsi="Calibri" w:cs="Arial"/>
          <w:color w:val="00188F"/>
          <w:sz w:val="18"/>
        </w:rPr>
        <w:t>”</w:t>
      </w:r>
      <w:r>
        <w:rPr>
          <w:rFonts w:ascii="Calibri" w:eastAsia="Calibri" w:hAnsi="Calibri" w:cs="Arial"/>
          <w:sz w:val="18"/>
        </w:rPr>
        <w:t xml:space="preserve"> designa o número total de minutos durante os quais um determinado recurso do Serviço Microsoft Playwright Testing foi implementado no Microsoft Azure durante um Período Aplicável.</w:t>
      </w:r>
    </w:p>
    <w:p w14:paraId="5374855B" w14:textId="77777777" w:rsidR="00F03F61" w:rsidRPr="00FD37EB" w:rsidRDefault="00F03F61" w:rsidP="00F03F61">
      <w:pPr>
        <w:shd w:val="clear" w:color="auto" w:fill="FFFFFF"/>
        <w:spacing w:after="0" w:line="240" w:lineRule="auto"/>
        <w:textAlignment w:val="baseline"/>
        <w:rPr>
          <w:rFonts w:ascii="Calibri" w:eastAsia="Calibri" w:hAnsi="Calibri" w:cs="Arial"/>
          <w:sz w:val="18"/>
        </w:rPr>
      </w:pPr>
      <w:r w:rsidRPr="000B56CC">
        <w:rPr>
          <w:rFonts w:ascii="Calibri" w:eastAsia="Calibri" w:hAnsi="Calibri" w:cs="Arial"/>
          <w:color w:val="00188F"/>
          <w:sz w:val="18"/>
        </w:rPr>
        <w:t>“</w:t>
      </w:r>
      <w:r>
        <w:rPr>
          <w:rFonts w:ascii="Calibri" w:eastAsia="Calibri" w:hAnsi="Calibri" w:cs="Arial"/>
          <w:b/>
          <w:bCs/>
          <w:color w:val="00188F"/>
          <w:sz w:val="18"/>
        </w:rPr>
        <w:t>Máximo de Minutos Disponíveis</w:t>
      </w:r>
      <w:r w:rsidRPr="000B56CC">
        <w:rPr>
          <w:rFonts w:ascii="Calibri" w:eastAsia="Calibri" w:hAnsi="Calibri" w:cs="Arial"/>
          <w:color w:val="00188F"/>
          <w:sz w:val="18"/>
        </w:rPr>
        <w:t>”</w:t>
      </w:r>
      <w:r>
        <w:rPr>
          <w:rFonts w:ascii="Calibri" w:eastAsia="Calibri" w:hAnsi="Calibri" w:cs="Arial"/>
          <w:sz w:val="18"/>
        </w:rPr>
        <w:t xml:space="preserve"> designa a soma de todos os Minutos de Implementação em todos os Recursos do Serviço Microsoft Playwright Testing implementados pelos clientes numa determinada subscrição do Microsoft Azure durante um Período Aplicável.</w:t>
      </w:r>
    </w:p>
    <w:p w14:paraId="382CDA09" w14:textId="77777777" w:rsidR="00F03F61" w:rsidRPr="00FD37EB" w:rsidRDefault="00F03F61" w:rsidP="00F03F61">
      <w:pPr>
        <w:shd w:val="clear" w:color="auto" w:fill="FFFFFF"/>
        <w:spacing w:after="0" w:line="240" w:lineRule="auto"/>
        <w:textAlignment w:val="baseline"/>
        <w:rPr>
          <w:rFonts w:ascii="Calibri" w:eastAsia="Calibri" w:hAnsi="Calibri" w:cs="Arial"/>
          <w:sz w:val="18"/>
        </w:rPr>
      </w:pPr>
      <w:r w:rsidRPr="000B56CC">
        <w:rPr>
          <w:rFonts w:ascii="Calibri" w:eastAsia="Calibri" w:hAnsi="Calibri" w:cs="Arial"/>
          <w:color w:val="00188F"/>
          <w:sz w:val="18"/>
        </w:rPr>
        <w:t>“</w:t>
      </w:r>
      <w:r>
        <w:rPr>
          <w:rFonts w:ascii="Calibri" w:eastAsia="Calibri" w:hAnsi="Calibri" w:cs="Arial"/>
          <w:b/>
          <w:bCs/>
          <w:color w:val="00188F"/>
          <w:sz w:val="18"/>
        </w:rPr>
        <w:t>Período de Indisponibilidade</w:t>
      </w:r>
      <w:r w:rsidRPr="000B56CC">
        <w:rPr>
          <w:rFonts w:ascii="Calibri" w:eastAsia="Calibri" w:hAnsi="Calibri" w:cs="Arial"/>
          <w:color w:val="00188F"/>
          <w:sz w:val="18"/>
        </w:rPr>
        <w:t>”</w:t>
      </w:r>
      <w:r>
        <w:rPr>
          <w:rFonts w:ascii="Calibri" w:eastAsia="Calibri" w:hAnsi="Calibri" w:cs="Arial"/>
          <w:sz w:val="18"/>
        </w:rPr>
        <w:t xml:space="preserve"> designa a soma de todos os Minutos de Implementação em todos os Recursos do Serviço Microsoft Playwright Testing implementados pelo Cliente numa determinada subscrição do Microsoft Azure durante um Período Aplicável durante o qual o Recurso Microsoft Playwright Testing está indisponível. Um minuto é considerado indisponível para um determinado Serviço se todos os pedidos de HTTP contínuos para executar operações nesse minuto resultarem num Código de Erro ou se não devolverem uma resposta ao fim de 5 minutos.</w:t>
      </w:r>
    </w:p>
    <w:p w14:paraId="2BB56D47" w14:textId="77777777" w:rsidR="00F03F61" w:rsidRPr="00FD37EB" w:rsidRDefault="00F03F61" w:rsidP="00F03F61">
      <w:pPr>
        <w:tabs>
          <w:tab w:val="left" w:pos="360"/>
          <w:tab w:val="left" w:pos="720"/>
          <w:tab w:val="left" w:pos="1080"/>
        </w:tabs>
        <w:spacing w:after="0" w:line="240" w:lineRule="auto"/>
        <w:rPr>
          <w:rFonts w:ascii="Calibri" w:eastAsia="Calibri" w:hAnsi="Calibri" w:cs="Arial"/>
          <w:sz w:val="18"/>
        </w:rPr>
      </w:pPr>
      <w:r w:rsidRPr="000B56CC">
        <w:rPr>
          <w:rFonts w:ascii="Calibri" w:eastAsia="Calibri" w:hAnsi="Calibri" w:cs="Arial"/>
          <w:color w:val="00188F"/>
          <w:sz w:val="18"/>
        </w:rPr>
        <w:t>“</w:t>
      </w:r>
      <w:r>
        <w:rPr>
          <w:rFonts w:ascii="Calibri" w:eastAsia="Calibri" w:hAnsi="Calibri" w:cs="Times New Roman"/>
          <w:b/>
          <w:bCs/>
          <w:color w:val="00188F"/>
          <w:sz w:val="18"/>
        </w:rPr>
        <w:t>Percentagem de Período de Disponibilidade</w:t>
      </w:r>
      <w:r w:rsidRPr="000B56CC">
        <w:rPr>
          <w:rFonts w:ascii="Calibri" w:eastAsia="Calibri" w:hAnsi="Calibri" w:cs="Arial"/>
          <w:color w:val="00188F"/>
          <w:sz w:val="18"/>
        </w:rPr>
        <w:t>”</w:t>
      </w:r>
      <w:r>
        <w:rPr>
          <w:rFonts w:ascii="Calibri" w:eastAsia="Calibri" w:hAnsi="Calibri" w:cs="Times New Roman"/>
          <w:sz w:val="18"/>
        </w:rPr>
        <w:t xml:space="preserve"> A Percentagem de Período de Disponibilidade é calculada com a seguinte fórmula:</w:t>
      </w:r>
    </w:p>
    <w:p w14:paraId="02C5B1F2" w14:textId="77777777" w:rsidR="00F03F61" w:rsidRPr="00724825" w:rsidRDefault="00000000" w:rsidP="00F0760D">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75483B3F" w14:textId="77777777" w:rsidR="00F03F61" w:rsidRPr="00FD37EB" w:rsidRDefault="00F03F61" w:rsidP="00F03F61">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Os seguintes Níveis de Serviço e Crédito de Serviço são aplicáveis à utilização do Microsoft Playwright Testing por parte do Cliente: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03F61" w:rsidRPr="00FD37EB" w14:paraId="1587D110"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6F15D1C7" w14:textId="77777777" w:rsidR="00F03F61" w:rsidRPr="00FD37EB" w:rsidRDefault="00F03F61"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Percentagem de Período de Disponibilidade</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31DB3CF" w14:textId="77777777" w:rsidR="00F03F61" w:rsidRPr="00FD37EB" w:rsidRDefault="00F03F61"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Crédito de Serviço</w:t>
            </w:r>
          </w:p>
        </w:tc>
      </w:tr>
      <w:tr w:rsidR="00F03F61" w:rsidRPr="00FD37EB" w14:paraId="6452D105"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166C0385" w14:textId="77777777" w:rsidR="00F03F61" w:rsidRPr="00FD37EB" w:rsidRDefault="00F03F6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48CFBB57" w14:textId="77777777" w:rsidR="00F03F61" w:rsidRPr="00FD37EB" w:rsidRDefault="00F03F6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w:t>
            </w:r>
          </w:p>
        </w:tc>
      </w:tr>
      <w:tr w:rsidR="00F03F61" w:rsidRPr="00FD37EB" w14:paraId="0D8073FA"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5829938B" w14:textId="77777777" w:rsidR="00F03F61" w:rsidRPr="00FD37EB" w:rsidRDefault="00F03F6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4E0E1675" w14:textId="77777777" w:rsidR="00F03F61" w:rsidRPr="00FD37EB" w:rsidRDefault="00F03F6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w:t>
            </w:r>
          </w:p>
        </w:tc>
      </w:tr>
    </w:tbl>
    <w:p w14:paraId="279071E6" w14:textId="77777777" w:rsidR="00AB73C5" w:rsidRPr="00EF7CF9" w:rsidRDefault="00AB73C5" w:rsidP="00AB73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95B2E84" w14:textId="29756DF1" w:rsidR="00995A2A" w:rsidRPr="00995A2A" w:rsidRDefault="00995A2A" w:rsidP="003E44BF">
      <w:pPr>
        <w:pStyle w:val="ProductList-Offering2Heading"/>
        <w:keepNext/>
        <w:tabs>
          <w:tab w:val="clear" w:pos="360"/>
          <w:tab w:val="clear" w:pos="720"/>
          <w:tab w:val="clear" w:pos="1080"/>
        </w:tabs>
        <w:outlineLvl w:val="2"/>
      </w:pPr>
      <w:bookmarkStart w:id="366" w:name="_Toc239176518"/>
      <w:r>
        <w:t>Azure Private Link</w:t>
      </w:r>
      <w:bookmarkEnd w:id="366"/>
    </w:p>
    <w:p w14:paraId="4A145F82" w14:textId="77777777" w:rsidR="00995A2A" w:rsidRPr="00995A2A" w:rsidRDefault="00995A2A" w:rsidP="00F01ED6">
      <w:pPr>
        <w:pStyle w:val="ProductList-Body"/>
        <w:rPr>
          <w:b/>
          <w:bCs/>
          <w:color w:val="00188F"/>
        </w:rPr>
      </w:pPr>
      <w:r>
        <w:rPr>
          <w:b/>
          <w:bCs/>
          <w:color w:val="00188F"/>
        </w:rPr>
        <w:t>Definições Adicionais</w:t>
      </w:r>
    </w:p>
    <w:p w14:paraId="0AA0EB1A" w14:textId="3C88C33E" w:rsidR="00995A2A" w:rsidRDefault="00995A2A" w:rsidP="00F01ED6">
      <w:pPr>
        <w:pStyle w:val="ProductList-Body"/>
      </w:pPr>
      <w:r>
        <w:t xml:space="preserve">O </w:t>
      </w:r>
      <w:r w:rsidR="00380305">
        <w:t>“</w:t>
      </w:r>
      <w:r>
        <w:rPr>
          <w:b/>
          <w:bCs/>
          <w:color w:val="00188F"/>
        </w:rPr>
        <w:t>Azure Private Link Service</w:t>
      </w:r>
      <w:r w:rsidR="00380305">
        <w:t>”</w:t>
      </w:r>
      <w:r>
        <w:t xml:space="preserve"> é a referência ao próprio serviço do Utilizador que está ativado para o Azure Private Link e implementado na própria rede virtual do Utilizador.</w:t>
      </w:r>
    </w:p>
    <w:p w14:paraId="612ECF73" w14:textId="785B8ED9" w:rsidR="00995A2A" w:rsidRDefault="00995A2A" w:rsidP="00F01ED6">
      <w:pPr>
        <w:pStyle w:val="ProductList-Body"/>
      </w:pPr>
      <w:r>
        <w:t xml:space="preserve">O </w:t>
      </w:r>
      <w:r w:rsidR="00380305">
        <w:t>“</w:t>
      </w:r>
      <w:r>
        <w:rPr>
          <w:b/>
          <w:bCs/>
          <w:color w:val="00188F"/>
        </w:rPr>
        <w:t>Azure Private Endpoint</w:t>
      </w:r>
      <w:r w:rsidR="00380305">
        <w:t>”</w:t>
      </w:r>
      <w:r>
        <w:t xml:space="preserve"> é uma interface de rede que liga o serviço ativado para Azure Private Link do Utilizador a um endereço IP privado na rede virtual do Utilizador.</w:t>
      </w:r>
    </w:p>
    <w:p w14:paraId="3AC93B4D" w14:textId="45542685" w:rsidR="00995A2A" w:rsidRPr="00995A2A" w:rsidRDefault="00EE6E3C" w:rsidP="00F01ED6">
      <w:pPr>
        <w:pStyle w:val="ProductList-Body"/>
        <w:spacing w:before="120"/>
        <w:rPr>
          <w:b/>
          <w:bCs/>
          <w:color w:val="00188F"/>
        </w:rPr>
      </w:pPr>
      <w:r>
        <w:rPr>
          <w:b/>
          <w:bCs/>
          <w:color w:val="00188F"/>
        </w:rPr>
        <w:t>Cálculo do Período de Disponibilidade</w:t>
      </w:r>
    </w:p>
    <w:p w14:paraId="54F4DAFA" w14:textId="044CE191" w:rsidR="00995A2A" w:rsidRDefault="00380305" w:rsidP="00F01ED6">
      <w:pPr>
        <w:pStyle w:val="ProductList-Body"/>
      </w:pPr>
      <w:r>
        <w:t>“</w:t>
      </w:r>
      <w:r w:rsidR="00995A2A">
        <w:rPr>
          <w:b/>
          <w:bCs/>
          <w:color w:val="00188F"/>
        </w:rPr>
        <w:t>Máximo de Minutos Disponíveis</w:t>
      </w:r>
      <w:r>
        <w:t>”</w:t>
      </w:r>
      <w:r w:rsidR="00995A2A">
        <w:t xml:space="preserve"> designa o total de minutos acumulados num Período Aplicável, durante o qual o Azure Private Link Service ou o</w:t>
      </w:r>
      <w:r w:rsidR="009B2B26">
        <w:t> </w:t>
      </w:r>
      <w:r w:rsidR="00995A2A">
        <w:t>Azure Private Endpoint esteve implementado numa subscrição do Microsoft Azure.</w:t>
      </w:r>
    </w:p>
    <w:p w14:paraId="16DCB845" w14:textId="4A6711A9" w:rsidR="00995A2A" w:rsidRDefault="00380305" w:rsidP="00F01ED6">
      <w:pPr>
        <w:pStyle w:val="ProductList-Body"/>
      </w:pPr>
      <w:r>
        <w:t>“</w:t>
      </w:r>
      <w:r w:rsidR="00995A2A">
        <w:rPr>
          <w:b/>
          <w:bCs/>
          <w:color w:val="00188F"/>
        </w:rPr>
        <w:t>Período de Indisponibilidade</w:t>
      </w:r>
      <w:r>
        <w:t>”</w:t>
      </w:r>
      <w:r w:rsidR="00995A2A">
        <w:t xml:space="preserve"> é o total acumulado de Máximo de Minutos Disponíveis num Período Aplicável para um determinado Azure Private Link Service ou Azure Private Endpoint durante o qual o Azure Private Link Service ou Azure Private Endpoint está indisponível. Um determinado minuto é considerado indisponível se todas as tentativas de ligação através do Azure Private Endpoint durante o minuto falharem.</w:t>
      </w:r>
    </w:p>
    <w:p w14:paraId="1181CDBC" w14:textId="337CBFFD" w:rsidR="00995A2A" w:rsidRDefault="00380305" w:rsidP="00F01ED6">
      <w:pPr>
        <w:pStyle w:val="ProductList-Body"/>
      </w:pPr>
      <w:r>
        <w:t>“</w:t>
      </w:r>
      <w:r w:rsidR="00995A2A">
        <w:rPr>
          <w:b/>
          <w:bCs/>
          <w:color w:val="00188F"/>
        </w:rPr>
        <w:t>Percentagem de Período de Disponibilidade</w:t>
      </w:r>
      <w:r>
        <w:t>”</w:t>
      </w:r>
      <w:r w:rsidR="00995A2A">
        <w:t xml:space="preserve"> A Percentagem de Período de Disponibilidade é calculada utilizando a seguinte fórmula:</w:t>
      </w:r>
    </w:p>
    <w:p w14:paraId="7F689305" w14:textId="1BB09DDF" w:rsidR="00995A2A" w:rsidRPr="00EF7CF9" w:rsidRDefault="00000000" w:rsidP="00F0760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76AAB3D" w14:textId="77777777" w:rsidR="00995A2A" w:rsidRPr="005A3C16" w:rsidRDefault="00995A2A" w:rsidP="00F01ED6">
            <w:pPr>
              <w:pStyle w:val="ProductList-OfferingBody"/>
              <w:jc w:val="center"/>
              <w:rPr>
                <w:color w:val="FFFFFF" w:themeColor="background1"/>
              </w:rPr>
            </w:pPr>
            <w:r>
              <w:rPr>
                <w:color w:val="FFFFFF" w:themeColor="background1"/>
              </w:rPr>
              <w:t>Crédito de Serviço</w:t>
            </w:r>
          </w:p>
        </w:tc>
      </w:tr>
      <w:tr w:rsidR="00995A2A" w:rsidRPr="00B44CF9" w14:paraId="4B4F241F" w14:textId="77777777" w:rsidTr="00277097">
        <w:tc>
          <w:tcPr>
            <w:tcW w:w="5400" w:type="dxa"/>
          </w:tcPr>
          <w:p w14:paraId="7B7E7489" w14:textId="40A57C82" w:rsidR="00995A2A" w:rsidRPr="005A3C16" w:rsidRDefault="00995A2A" w:rsidP="00F01ED6">
            <w:pPr>
              <w:pStyle w:val="ProductList-OfferingBody"/>
              <w:jc w:val="center"/>
            </w:pPr>
            <w:r>
              <w:t>&lt; 99,99%</w:t>
            </w:r>
          </w:p>
        </w:tc>
        <w:tc>
          <w:tcPr>
            <w:tcW w:w="5400" w:type="dxa"/>
          </w:tcPr>
          <w:p w14:paraId="3D4997BE" w14:textId="77777777" w:rsidR="00995A2A" w:rsidRPr="005A3C16" w:rsidRDefault="00995A2A" w:rsidP="00F01ED6">
            <w:pPr>
              <w:pStyle w:val="ProductList-OfferingBody"/>
              <w:jc w:val="center"/>
            </w:pPr>
            <w:r>
              <w:t>10%</w:t>
            </w:r>
          </w:p>
        </w:tc>
      </w:tr>
      <w:tr w:rsidR="00995A2A" w:rsidRPr="00B44CF9" w14:paraId="26F40E8F" w14:textId="77777777" w:rsidTr="00277097">
        <w:tc>
          <w:tcPr>
            <w:tcW w:w="5400" w:type="dxa"/>
          </w:tcPr>
          <w:p w14:paraId="362999C5" w14:textId="77777777" w:rsidR="00995A2A" w:rsidRPr="005A3C16" w:rsidRDefault="00995A2A" w:rsidP="00F01ED6">
            <w:pPr>
              <w:pStyle w:val="ProductList-OfferingBody"/>
              <w:jc w:val="center"/>
            </w:pPr>
            <w:r>
              <w:t>&lt; 99%</w:t>
            </w:r>
          </w:p>
        </w:tc>
        <w:tc>
          <w:tcPr>
            <w:tcW w:w="5400" w:type="dxa"/>
          </w:tcPr>
          <w:p w14:paraId="74FCF29B" w14:textId="77777777" w:rsidR="00995A2A" w:rsidRPr="005A3C16" w:rsidRDefault="00995A2A" w:rsidP="00F01ED6">
            <w:pPr>
              <w:pStyle w:val="ProductList-OfferingBody"/>
              <w:jc w:val="center"/>
            </w:pPr>
            <w:r>
              <w:t>25%</w:t>
            </w:r>
          </w:p>
        </w:tc>
      </w:tr>
    </w:tbl>
    <w:p w14:paraId="1BA1E719"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691B462" w14:textId="3B68B848" w:rsidR="00745257" w:rsidRDefault="00745257" w:rsidP="00840862">
      <w:pPr>
        <w:pStyle w:val="ProductList-Offering2Heading"/>
        <w:keepNext/>
        <w:tabs>
          <w:tab w:val="clear" w:pos="360"/>
        </w:tabs>
        <w:outlineLvl w:val="2"/>
      </w:pPr>
      <w:bookmarkStart w:id="367" w:name="_Toc239176519"/>
      <w:r>
        <w:t>Microsoft Purview</w:t>
      </w:r>
      <w:bookmarkEnd w:id="367"/>
    </w:p>
    <w:p w14:paraId="2EC1EF64" w14:textId="77777777" w:rsidR="00745257" w:rsidRDefault="00745257" w:rsidP="00745257">
      <w:pPr>
        <w:pStyle w:val="ProductList-Body"/>
        <w:rPr>
          <w:b/>
          <w:color w:val="00188F"/>
        </w:rPr>
      </w:pPr>
      <w:r>
        <w:rPr>
          <w:b/>
          <w:color w:val="00188F"/>
        </w:rPr>
        <w:t>Definições Adicionais</w:t>
      </w:r>
      <w:r w:rsidRPr="00473DD3">
        <w:rPr>
          <w:b/>
          <w:color w:val="00188F"/>
        </w:rPr>
        <w:t>:</w:t>
      </w:r>
    </w:p>
    <w:p w14:paraId="6109965C" w14:textId="77777777" w:rsidR="00745257" w:rsidRDefault="00745257" w:rsidP="00745257">
      <w:pPr>
        <w:pStyle w:val="ProductList-Body"/>
        <w:spacing w:after="40"/>
      </w:pPr>
      <w:r>
        <w:t>“</w:t>
      </w:r>
      <w:r>
        <w:rPr>
          <w:b/>
          <w:color w:val="00188F"/>
        </w:rPr>
        <w:t>Total de Pedidos</w:t>
      </w:r>
      <w:r>
        <w:t>” designa o conjunto de todos os pedidos de API autenticados, que não Pedidos Excluídos, para executar as operações do Microsoft Purview durante um Período Aplicável para uma determinada subscrição do Microsoft Azure.</w:t>
      </w:r>
    </w:p>
    <w:p w14:paraId="47DA28C1" w14:textId="77777777" w:rsidR="00745257" w:rsidRDefault="00745257" w:rsidP="00745257">
      <w:pPr>
        <w:pStyle w:val="ProductList-Body"/>
        <w:spacing w:after="40"/>
      </w:pPr>
      <w:r>
        <w:t>“</w:t>
      </w:r>
      <w:r>
        <w:rPr>
          <w:b/>
          <w:color w:val="00188F"/>
        </w:rPr>
        <w:t>Pedidos Excluídos</w:t>
      </w:r>
      <w:r>
        <w:t>” designa o conjunto de pedidos que resultam num código de estado HTTP 4xx.</w:t>
      </w:r>
    </w:p>
    <w:p w14:paraId="175A4C15" w14:textId="77777777" w:rsidR="00745257" w:rsidRDefault="00745257" w:rsidP="00745257">
      <w:pPr>
        <w:pStyle w:val="ProductList-Body"/>
        <w:spacing w:after="40"/>
      </w:pPr>
      <w:r>
        <w:t>“</w:t>
      </w:r>
      <w:r>
        <w:rPr>
          <w:b/>
          <w:color w:val="00188F"/>
        </w:rPr>
        <w:t>Pedidos com Falha</w:t>
      </w:r>
      <w:r>
        <w:t>” é o conjunto de todos os pedidos no Total de Pedidos que devolvem um Código de Erro.</w:t>
      </w:r>
    </w:p>
    <w:p w14:paraId="7E257E8B" w14:textId="77777777" w:rsidR="00745257" w:rsidRDefault="00745257" w:rsidP="00745257">
      <w:pPr>
        <w:pStyle w:val="ProductList-Body"/>
        <w:spacing w:after="40"/>
      </w:pPr>
      <w:r>
        <w:t>A “</w:t>
      </w:r>
      <w:r>
        <w:rPr>
          <w:b/>
          <w:color w:val="00188F"/>
        </w:rPr>
        <w:t>Percentagem de Período de Disponibilidade</w:t>
      </w:r>
      <w:r>
        <w:t>” para as chamadas da API efetuadas para o serviço Microsoft Purview é calculada como o Total de Pedidos menos os Pedidos com Falha a dividir pelo Total de Pedidos num Período Aplicável para uma determinada subscrição do Microsoft Azure.</w:t>
      </w:r>
    </w:p>
    <w:p w14:paraId="357F8C4C" w14:textId="77777777" w:rsidR="00745257" w:rsidRDefault="00745257" w:rsidP="00745257">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2B13A71B" w14:textId="77777777" w:rsidR="00745257" w:rsidRDefault="00000000" w:rsidP="00F0760D">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Total de Pedidos-Pedidos com Falha</m:t>
              </m:r>
            </m:num>
            <m:den>
              <m:r>
                <m:rPr>
                  <m:nor/>
                </m:rPr>
                <w:rPr>
                  <w:rFonts w:ascii="Cambria Math" w:hAnsi="Cambria Math" w:cs="Tahoma"/>
                  <w:i/>
                  <w:sz w:val="18"/>
                  <w:szCs w:val="18"/>
                </w:rPr>
                <m:t>Total de Pedidos</m:t>
              </m:r>
            </m:den>
          </m:f>
          <m:r>
            <w:rPr>
              <w:rFonts w:ascii="Cambria Math" w:hAnsi="Cambria Math" w:cs="Tahoma"/>
              <w:sz w:val="18"/>
              <w:szCs w:val="18"/>
            </w:rPr>
            <m:t xml:space="preserve"> x100</m:t>
          </m:r>
        </m:oMath>
      </m:oMathPara>
    </w:p>
    <w:p w14:paraId="2BFE8B41" w14:textId="77777777" w:rsidR="00745257" w:rsidRDefault="00745257" w:rsidP="00745257">
      <w:pPr>
        <w:pStyle w:val="ProductList-Body"/>
        <w:spacing w:before="120"/>
      </w:pPr>
      <w:r>
        <w:rPr>
          <w:b/>
          <w:color w:val="00188F"/>
        </w:rPr>
        <w:t>Os seguintes Créditos de Serviço são aplicáveis à utilização que o Cliente faz das chamadas da API no serviço Microsoft Purview*:</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45257" w14:paraId="2683303F" w14:textId="77777777" w:rsidTr="006F6E13">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F310B49" w14:textId="77777777" w:rsidR="00745257" w:rsidRDefault="00745257" w:rsidP="006F6E13">
            <w:pPr>
              <w:pStyle w:val="ProductList-OfferingBody"/>
              <w:jc w:val="center"/>
              <w:rPr>
                <w:color w:val="FFFFFF" w:themeColor="background1"/>
                <w:kern w:val="2"/>
                <w14:ligatures w14:val="standardContextual"/>
              </w:rPr>
            </w:pPr>
            <w:r>
              <w:rPr>
                <w:color w:val="FFFFFF" w:themeColor="background1"/>
                <w14:ligatures w14:val="standardContextual"/>
              </w:rPr>
              <w:t>Percentagem de Período de Disponibilidade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78AE514" w14:textId="77777777" w:rsidR="00745257" w:rsidRDefault="00745257" w:rsidP="006F6E13">
            <w:pPr>
              <w:pStyle w:val="ProductList-OfferingBody"/>
              <w:jc w:val="center"/>
              <w:rPr>
                <w:color w:val="FFFFFF" w:themeColor="background1"/>
                <w:kern w:val="2"/>
                <w14:ligatures w14:val="standardContextual"/>
              </w:rPr>
            </w:pPr>
            <w:r>
              <w:rPr>
                <w:color w:val="FFFFFF" w:themeColor="background1"/>
                <w14:ligatures w14:val="standardContextual"/>
              </w:rPr>
              <w:t>Crédito de Serviço</w:t>
            </w:r>
          </w:p>
        </w:tc>
      </w:tr>
      <w:tr w:rsidR="00745257" w14:paraId="1D9DFD57" w14:textId="77777777" w:rsidTr="006F6E1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E9DA8" w14:textId="77777777" w:rsidR="00745257" w:rsidRDefault="00745257" w:rsidP="006F6E13">
            <w:pPr>
              <w:pStyle w:val="ProductList-OfferingBody"/>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2F56C" w14:textId="77777777" w:rsidR="00745257" w:rsidRDefault="00745257" w:rsidP="006F6E13">
            <w:pPr>
              <w:pStyle w:val="ProductList-OfferingBody"/>
              <w:jc w:val="center"/>
              <w:rPr>
                <w:kern w:val="2"/>
                <w14:ligatures w14:val="standardContextual"/>
              </w:rPr>
            </w:pPr>
            <w:r>
              <w:rPr>
                <w14:ligatures w14:val="standardContextual"/>
              </w:rPr>
              <w:t>10%</w:t>
            </w:r>
          </w:p>
        </w:tc>
      </w:tr>
      <w:tr w:rsidR="00745257" w14:paraId="631E0380" w14:textId="77777777" w:rsidTr="006F6E13">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CA28F" w14:textId="77777777" w:rsidR="00745257" w:rsidRDefault="00745257" w:rsidP="006F6E13">
            <w:pPr>
              <w:pStyle w:val="ProductList-OfferingBody"/>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C52B60" w14:textId="77777777" w:rsidR="00745257" w:rsidRDefault="00745257" w:rsidP="006F6E13">
            <w:pPr>
              <w:pStyle w:val="ProductList-OfferingBody"/>
              <w:jc w:val="center"/>
              <w:rPr>
                <w:kern w:val="2"/>
                <w14:ligatures w14:val="standardContextual"/>
              </w:rPr>
            </w:pPr>
            <w:r>
              <w:rPr>
                <w14:ligatures w14:val="standardContextual"/>
              </w:rPr>
              <w:t>25%</w:t>
            </w:r>
          </w:p>
        </w:tc>
      </w:tr>
    </w:tbl>
    <w:p w14:paraId="117928A2" w14:textId="77777777" w:rsidR="00745257" w:rsidRDefault="00745257" w:rsidP="001B0E4C">
      <w:pPr>
        <w:spacing w:before="120" w:after="0" w:line="240" w:lineRule="auto"/>
        <w:rPr>
          <w:sz w:val="18"/>
        </w:rPr>
      </w:pPr>
      <w:r>
        <w:rPr>
          <w:sz w:val="18"/>
        </w:rPr>
        <w:t>* Os Créditos de Serviço acima só estão disponíveis para partes do Microsoft Purview que são oferecidos por subscrição (anteriormente conhecido como Azure Purview).</w:t>
      </w:r>
    </w:p>
    <w:p w14:paraId="70188E3D" w14:textId="77777777" w:rsidR="00745257" w:rsidRPr="00EF7CF9" w:rsidRDefault="00745257" w:rsidP="0074525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018AC1C5" w14:textId="77777777" w:rsidR="00BC654E" w:rsidRPr="00E1785C" w:rsidRDefault="00BC654E" w:rsidP="001B0E4C">
      <w:pPr>
        <w:pStyle w:val="ProductList-Offering2Heading"/>
        <w:tabs>
          <w:tab w:val="clear" w:pos="360"/>
          <w:tab w:val="clear" w:pos="720"/>
          <w:tab w:val="clear" w:pos="1080"/>
        </w:tabs>
        <w:outlineLvl w:val="2"/>
      </w:pPr>
      <w:bookmarkStart w:id="368" w:name="_Toc239176520"/>
      <w:r>
        <w:t>Azure Red Hat OpenShift</w:t>
      </w:r>
      <w:bookmarkEnd w:id="368"/>
    </w:p>
    <w:p w14:paraId="43386062" w14:textId="77777777" w:rsidR="00BC654E" w:rsidRPr="00E1785C" w:rsidRDefault="00BC654E" w:rsidP="00BC654E">
      <w:pPr>
        <w:pStyle w:val="ProductList-Body"/>
        <w:rPr>
          <w:b/>
          <w:bCs/>
          <w:color w:val="00188F"/>
        </w:rPr>
      </w:pPr>
      <w:r>
        <w:rPr>
          <w:b/>
          <w:bCs/>
          <w:color w:val="00188F"/>
        </w:rPr>
        <w:t>Definições Adicionais</w:t>
      </w:r>
    </w:p>
    <w:p w14:paraId="64D663D2" w14:textId="77777777" w:rsidR="00BC654E" w:rsidRDefault="00BC654E" w:rsidP="00BC654E">
      <w:pPr>
        <w:pStyle w:val="ProductList-Body"/>
      </w:pPr>
      <w:r>
        <w:t>“</w:t>
      </w:r>
      <w:r>
        <w:rPr>
          <w:b/>
          <w:bCs/>
          <w:color w:val="00188F"/>
        </w:rPr>
        <w:t>Máximo de Minutos Disponíveis</w:t>
      </w:r>
      <w:r>
        <w:t>” designa o total de minutos acumulados durante um Período Aplicável durante o qual um determinado cluster do Azure Red Hat OpenShift tenha sido implementado numa subscrição do Microsoft Azure.</w:t>
      </w:r>
    </w:p>
    <w:p w14:paraId="0FC05AE4" w14:textId="77777777" w:rsidR="00BC654E" w:rsidRDefault="00BC654E" w:rsidP="00BC654E">
      <w:pPr>
        <w:pStyle w:val="ProductList-Body"/>
      </w:pPr>
      <w:r>
        <w:t>“</w:t>
      </w:r>
      <w:r>
        <w:rPr>
          <w:b/>
          <w:bCs/>
          <w:color w:val="00188F"/>
        </w:rPr>
        <w:t>Período de indisponibilidade</w:t>
      </w:r>
      <w:r>
        <w:t>” designa o total Máximo de Minutos Disponíveis acumulados durante um Período Aplicável durante o qual um determinado ponto final da API de cluster do Azure Red Hat OpenShift está indisponível. Considera-se que um determinado minuto está indisponível se todas as tentativas de ligação ao ponto final da API de cluster, durante esse minuto, falharem.</w:t>
      </w:r>
    </w:p>
    <w:p w14:paraId="616B8A02" w14:textId="77777777" w:rsidR="00BC654E" w:rsidRDefault="00BC654E" w:rsidP="00BC654E">
      <w:pPr>
        <w:pStyle w:val="ProductList-Body"/>
      </w:pPr>
      <w:r>
        <w:t>“</w:t>
      </w:r>
      <w:r>
        <w:rPr>
          <w:b/>
          <w:bCs/>
          <w:color w:val="00188F"/>
        </w:rPr>
        <w:t>Percentagem de Período de Disponibilidade</w:t>
      </w:r>
      <w:r>
        <w:t>” A Percentagem de Período de Disponibilidade é calculada utilizando a seguinte fórmula:</w:t>
      </w:r>
    </w:p>
    <w:p w14:paraId="3DE9B14D" w14:textId="77777777" w:rsidR="00BC654E" w:rsidRPr="001B0E4C" w:rsidRDefault="00000000" w:rsidP="00AB6E4B">
      <w:pPr>
        <w:pStyle w:val="ListParagraph"/>
        <w:spacing w:before="120" w:after="0" w:line="240" w:lineRule="auto"/>
        <w:contextualSpacing w:val="0"/>
        <w:rPr>
          <w:rFonts w:ascii="Cambria Math" w:eastAsiaTheme="minorEastAsia" w:hAnsi="Cambria Math" w:cs="Tahoma"/>
          <w:i/>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54E" w:rsidRPr="00B44CF9" w14:paraId="1BA64AF8" w14:textId="77777777" w:rsidTr="006F6E13">
        <w:trPr>
          <w:tblHeader/>
        </w:trPr>
        <w:tc>
          <w:tcPr>
            <w:tcW w:w="5400" w:type="dxa"/>
            <w:shd w:val="clear" w:color="auto" w:fill="0072C6"/>
          </w:tcPr>
          <w:p w14:paraId="4943AC2A" w14:textId="77777777" w:rsidR="00BC654E" w:rsidRPr="005A3C16" w:rsidRDefault="00BC654E" w:rsidP="006F6E13">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430B541" w14:textId="77777777" w:rsidR="00BC654E" w:rsidRPr="005A3C16" w:rsidRDefault="00BC654E" w:rsidP="006F6E13">
            <w:pPr>
              <w:pStyle w:val="ProductList-OfferingBody"/>
              <w:jc w:val="center"/>
              <w:rPr>
                <w:color w:val="FFFFFF" w:themeColor="background1"/>
              </w:rPr>
            </w:pPr>
            <w:r>
              <w:rPr>
                <w:color w:val="FFFFFF" w:themeColor="background1"/>
              </w:rPr>
              <w:t>Crédito de Serviço</w:t>
            </w:r>
          </w:p>
        </w:tc>
      </w:tr>
      <w:tr w:rsidR="00BC654E" w:rsidRPr="00B44CF9" w14:paraId="5B7B315E" w14:textId="77777777" w:rsidTr="006F6E13">
        <w:tc>
          <w:tcPr>
            <w:tcW w:w="5400" w:type="dxa"/>
          </w:tcPr>
          <w:p w14:paraId="5596C317" w14:textId="77777777" w:rsidR="00BC654E" w:rsidRPr="005A3C16" w:rsidRDefault="00BC654E" w:rsidP="006F6E13">
            <w:pPr>
              <w:pStyle w:val="ProductList-OfferingBody"/>
              <w:jc w:val="center"/>
            </w:pPr>
            <w:r>
              <w:t>&lt; 99,95%</w:t>
            </w:r>
          </w:p>
        </w:tc>
        <w:tc>
          <w:tcPr>
            <w:tcW w:w="5400" w:type="dxa"/>
          </w:tcPr>
          <w:p w14:paraId="13C72FA3" w14:textId="77777777" w:rsidR="00BC654E" w:rsidRPr="005A3C16" w:rsidRDefault="00BC654E" w:rsidP="006F6E13">
            <w:pPr>
              <w:pStyle w:val="ProductList-OfferingBody"/>
              <w:jc w:val="center"/>
            </w:pPr>
            <w:r>
              <w:t>10%</w:t>
            </w:r>
          </w:p>
        </w:tc>
      </w:tr>
      <w:tr w:rsidR="00BC654E" w:rsidRPr="00B44CF9" w14:paraId="609CCFC5" w14:textId="77777777" w:rsidTr="006F6E13">
        <w:tc>
          <w:tcPr>
            <w:tcW w:w="5400" w:type="dxa"/>
          </w:tcPr>
          <w:p w14:paraId="2021C2FC" w14:textId="77777777" w:rsidR="00BC654E" w:rsidRPr="005A3C16" w:rsidRDefault="00BC654E" w:rsidP="006F6E13">
            <w:pPr>
              <w:pStyle w:val="ProductList-OfferingBody"/>
              <w:jc w:val="center"/>
            </w:pPr>
            <w:r>
              <w:t>&lt; 99%</w:t>
            </w:r>
          </w:p>
        </w:tc>
        <w:tc>
          <w:tcPr>
            <w:tcW w:w="5400" w:type="dxa"/>
          </w:tcPr>
          <w:p w14:paraId="4A41FD3C" w14:textId="77777777" w:rsidR="00BC654E" w:rsidRPr="005A3C16" w:rsidRDefault="00BC654E" w:rsidP="006F6E13">
            <w:pPr>
              <w:pStyle w:val="ProductList-OfferingBody"/>
              <w:jc w:val="center"/>
            </w:pPr>
            <w:r>
              <w:t>25%</w:t>
            </w:r>
          </w:p>
        </w:tc>
      </w:tr>
    </w:tbl>
    <w:p w14:paraId="7ADBA4C2" w14:textId="77777777" w:rsidR="00BC654E" w:rsidRPr="00EF7CF9" w:rsidRDefault="00BC654E" w:rsidP="00BC654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74CB1C4" w14:textId="5B9E474A" w:rsidR="00BC654E" w:rsidRPr="000C7D2A" w:rsidRDefault="00BC654E" w:rsidP="00BC654E">
      <w:pPr>
        <w:pStyle w:val="ProductList-Offering2Heading"/>
        <w:keepNext/>
        <w:tabs>
          <w:tab w:val="clear" w:pos="360"/>
          <w:tab w:val="clear" w:pos="720"/>
          <w:tab w:val="clear" w:pos="1080"/>
        </w:tabs>
        <w:outlineLvl w:val="2"/>
      </w:pPr>
      <w:bookmarkStart w:id="369" w:name="_Toc239176521"/>
      <w:r>
        <w:t>Composição Remota</w:t>
      </w:r>
      <w:bookmarkEnd w:id="369"/>
    </w:p>
    <w:p w14:paraId="344C9FD2" w14:textId="77777777" w:rsidR="00BC654E" w:rsidRPr="000C7D2A" w:rsidRDefault="00BC654E" w:rsidP="00BC654E">
      <w:pPr>
        <w:pStyle w:val="ProductList-Body"/>
        <w:rPr>
          <w:b/>
          <w:bCs/>
          <w:color w:val="00188F"/>
        </w:rPr>
      </w:pPr>
      <w:r>
        <w:rPr>
          <w:b/>
          <w:bCs/>
          <w:color w:val="00188F"/>
        </w:rPr>
        <w:t>Definições Adicionais</w:t>
      </w:r>
    </w:p>
    <w:p w14:paraId="7A9BF92D" w14:textId="77777777" w:rsidR="00BC654E" w:rsidRDefault="00BC654E" w:rsidP="00BC654E">
      <w:pPr>
        <w:pStyle w:val="ProductList-Body"/>
      </w:pPr>
      <w:r>
        <w:t>“</w:t>
      </w:r>
      <w:r>
        <w:rPr>
          <w:b/>
          <w:bCs/>
          <w:color w:val="00188F"/>
        </w:rPr>
        <w:t>Conversão</w:t>
      </w:r>
      <w:r>
        <w:t>” designa um processo que transforma os modelos 3D no formato exigido durante uma Sessão de Composição.</w:t>
      </w:r>
    </w:p>
    <w:p w14:paraId="4CB334E6" w14:textId="77777777" w:rsidR="00BC654E" w:rsidRDefault="00BC654E" w:rsidP="00BC654E">
      <w:pPr>
        <w:pStyle w:val="ProductList-Body"/>
      </w:pPr>
      <w:r>
        <w:t>“</w:t>
      </w:r>
      <w:r>
        <w:rPr>
          <w:b/>
          <w:bCs/>
          <w:color w:val="00188F"/>
        </w:rPr>
        <w:t>Sessão de Composição</w:t>
      </w:r>
      <w:r>
        <w:t>” designa uma interação com o Serviço de Composição Remota.</w:t>
      </w:r>
    </w:p>
    <w:p w14:paraId="120137A5" w14:textId="77777777" w:rsidR="00BC654E" w:rsidRPr="000C7D2A" w:rsidRDefault="00BC654E" w:rsidP="00AB73C5">
      <w:pPr>
        <w:pStyle w:val="ProductList-Body"/>
        <w:rPr>
          <w:b/>
          <w:bCs/>
          <w:color w:val="00188F"/>
        </w:rPr>
      </w:pPr>
      <w:r>
        <w:rPr>
          <w:b/>
          <w:bCs/>
          <w:color w:val="00188F"/>
        </w:rPr>
        <w:t>Cálculo do Período de Disponibilidade e Níveis de Serviço para Transações de API REST de Conversão</w:t>
      </w:r>
    </w:p>
    <w:p w14:paraId="53C0717C" w14:textId="77777777" w:rsidR="00BC654E" w:rsidRDefault="00BC654E" w:rsidP="00AB73C5">
      <w:pPr>
        <w:pStyle w:val="ProductList-Body"/>
        <w:keepNext/>
      </w:pPr>
      <w:r>
        <w:t>“</w:t>
      </w:r>
      <w:r>
        <w:rPr>
          <w:b/>
          <w:bCs/>
          <w:color w:val="00188F"/>
        </w:rPr>
        <w:t>Total de Tentativas de Transação</w:t>
      </w:r>
      <w:r>
        <w:t>” é o número total de pedidos da API REST autenticados para a funcionalidade de Conversão no Serviço Azure Remote Rendering efetuado pelo Cliente durante um Período Aplicável para uma subscrição. O Total de Tentativas de Transação não inclui os pedidos de API REST que devolvem um Código de Erro e que são repetidos continuamente num intervalo de cinco minutos após a receção do primeiro Código de Erro.</w:t>
      </w:r>
    </w:p>
    <w:p w14:paraId="18CE72E6" w14:textId="77777777" w:rsidR="00BC654E" w:rsidRDefault="00BC654E" w:rsidP="00BC654E">
      <w:pPr>
        <w:pStyle w:val="ProductList-Body"/>
      </w:pPr>
      <w:r>
        <w:t>“</w:t>
      </w:r>
      <w:r>
        <w:rPr>
          <w:b/>
          <w:bCs/>
          <w:color w:val="00188F"/>
        </w:rPr>
        <w:t>Transações com Falha</w:t>
      </w:r>
      <w:r>
        <w:t>” é o conjunto de todos os pedidos no Total de Tentativas de Transação que devolvem um Código de Erro num prazo de 30 segundos a partir da receção do pedido por parte da Microsoft.</w:t>
      </w:r>
    </w:p>
    <w:p w14:paraId="431A94A8" w14:textId="77777777" w:rsidR="00BC654E" w:rsidRDefault="00BC654E" w:rsidP="00BC654E">
      <w:pPr>
        <w:pStyle w:val="ProductList-Body"/>
      </w:pPr>
      <w:r>
        <w:t>A “</w:t>
      </w:r>
      <w:r>
        <w:rPr>
          <w:b/>
          <w:bCs/>
          <w:color w:val="00188F"/>
        </w:rPr>
        <w:t>Percentagem de Período de Disponibilidade</w:t>
      </w:r>
      <w:r>
        <w:t>” para o Serviço Azure Remote Rendering é calculada como o Total de Tentativas de Transação menos as Transações com Falha a dividir pelo Total de Tentativas de Transação num Período Aplicável para uma determinada subscrição do Microsoft Azure. A Percentagem de Período de Disponibilidade é representada pela seguinte fórmula:</w:t>
      </w:r>
    </w:p>
    <w:p w14:paraId="575266B3" w14:textId="77777777" w:rsidR="00BC654E" w:rsidRPr="00EF7CF9" w:rsidRDefault="00000000" w:rsidP="00CB3B0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Tentativas de Transação - Transações com Falha</m:t>
              </m:r>
            </m:num>
            <m:den>
              <m:r>
                <m:rPr>
                  <m:nor/>
                </m:rPr>
                <w:rPr>
                  <w:rFonts w:ascii="Cambria Math" w:hAnsi="Cambria Math" w:cs="Tahoma"/>
                  <w:i/>
                  <w:iCs/>
                  <w:color w:val="000000" w:themeColor="text1"/>
                  <w:sz w:val="18"/>
                  <w:szCs w:val="18"/>
                </w:rPr>
                <m:t>Total de Tentativas de Transação</m:t>
              </m:r>
            </m:den>
          </m:f>
          <m:r>
            <w:rPr>
              <w:rFonts w:ascii="Cambria Math" w:hAnsi="Cambria Math" w:cs="Tahoma"/>
              <w:color w:val="000000" w:themeColor="text1"/>
              <w:sz w:val="18"/>
              <w:szCs w:val="18"/>
            </w:rPr>
            <m:t xml:space="preserve"> x 100</m:t>
          </m:r>
        </m:oMath>
      </m:oMathPara>
    </w:p>
    <w:p w14:paraId="0F3AD3BF" w14:textId="77777777" w:rsidR="00BC654E" w:rsidRPr="000C7D2A" w:rsidRDefault="00BC654E" w:rsidP="00BC654E">
      <w:pPr>
        <w:pStyle w:val="ProductList-Body"/>
        <w:rPr>
          <w:b/>
          <w:bCs/>
          <w:color w:val="00188F"/>
        </w:rPr>
      </w:pPr>
      <w:r>
        <w:rPr>
          <w:b/>
          <w:bCs/>
          <w:color w:val="00188F"/>
        </w:rPr>
        <w:t>Os seguintes Níveis de Serviço e Créditos de Serviço são aplicáveis à utilização que o Cliente faz da funcionalidade Conversão do Serviço de Composição Remota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54E" w:rsidRPr="00B44CF9" w14:paraId="38425541" w14:textId="77777777" w:rsidTr="006F6E13">
        <w:trPr>
          <w:tblHeader/>
        </w:trPr>
        <w:tc>
          <w:tcPr>
            <w:tcW w:w="5400" w:type="dxa"/>
            <w:shd w:val="clear" w:color="auto" w:fill="0072C6"/>
          </w:tcPr>
          <w:p w14:paraId="5ED9FD62" w14:textId="77777777" w:rsidR="00BC654E" w:rsidRPr="005A3C16" w:rsidRDefault="00BC654E" w:rsidP="006F6E13">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BDA7EE0" w14:textId="77777777" w:rsidR="00BC654E" w:rsidRPr="005A3C16" w:rsidRDefault="00BC654E" w:rsidP="006F6E13">
            <w:pPr>
              <w:pStyle w:val="ProductList-OfferingBody"/>
              <w:jc w:val="center"/>
              <w:rPr>
                <w:color w:val="FFFFFF" w:themeColor="background1"/>
              </w:rPr>
            </w:pPr>
            <w:r>
              <w:rPr>
                <w:color w:val="FFFFFF" w:themeColor="background1"/>
              </w:rPr>
              <w:t>Crédito de Serviço</w:t>
            </w:r>
          </w:p>
        </w:tc>
      </w:tr>
      <w:tr w:rsidR="00BC654E" w:rsidRPr="00B44CF9" w14:paraId="7CA2DB34" w14:textId="77777777" w:rsidTr="006F6E13">
        <w:tc>
          <w:tcPr>
            <w:tcW w:w="5400" w:type="dxa"/>
          </w:tcPr>
          <w:p w14:paraId="63CD7E72" w14:textId="77777777" w:rsidR="00BC654E" w:rsidRPr="005A3C16" w:rsidRDefault="00BC654E" w:rsidP="006F6E13">
            <w:pPr>
              <w:pStyle w:val="ProductList-OfferingBody"/>
              <w:jc w:val="center"/>
            </w:pPr>
            <w:r>
              <w:t>&lt; 99,9%</w:t>
            </w:r>
          </w:p>
        </w:tc>
        <w:tc>
          <w:tcPr>
            <w:tcW w:w="5400" w:type="dxa"/>
          </w:tcPr>
          <w:p w14:paraId="5D78C177" w14:textId="77777777" w:rsidR="00BC654E" w:rsidRPr="005A3C16" w:rsidRDefault="00BC654E" w:rsidP="006F6E13">
            <w:pPr>
              <w:pStyle w:val="ProductList-OfferingBody"/>
              <w:jc w:val="center"/>
            </w:pPr>
            <w:r>
              <w:t>10%</w:t>
            </w:r>
          </w:p>
        </w:tc>
      </w:tr>
      <w:tr w:rsidR="00BC654E" w:rsidRPr="00B44CF9" w14:paraId="19D690EA" w14:textId="77777777" w:rsidTr="006F6E13">
        <w:tc>
          <w:tcPr>
            <w:tcW w:w="5400" w:type="dxa"/>
          </w:tcPr>
          <w:p w14:paraId="0EC04617" w14:textId="77777777" w:rsidR="00BC654E" w:rsidRPr="005A3C16" w:rsidRDefault="00BC654E" w:rsidP="006F6E13">
            <w:pPr>
              <w:pStyle w:val="ProductList-OfferingBody"/>
              <w:jc w:val="center"/>
            </w:pPr>
            <w:r>
              <w:t>&lt; 99%</w:t>
            </w:r>
          </w:p>
        </w:tc>
        <w:tc>
          <w:tcPr>
            <w:tcW w:w="5400" w:type="dxa"/>
          </w:tcPr>
          <w:p w14:paraId="014D9EED" w14:textId="77777777" w:rsidR="00BC654E" w:rsidRPr="005A3C16" w:rsidRDefault="00BC654E" w:rsidP="006F6E13">
            <w:pPr>
              <w:pStyle w:val="ProductList-OfferingBody"/>
              <w:jc w:val="center"/>
            </w:pPr>
            <w:r>
              <w:t>25%</w:t>
            </w:r>
          </w:p>
        </w:tc>
      </w:tr>
    </w:tbl>
    <w:p w14:paraId="578217EE" w14:textId="77777777" w:rsidR="00BC654E" w:rsidRPr="004E4800" w:rsidRDefault="00BC654E" w:rsidP="00BC654E">
      <w:pPr>
        <w:pStyle w:val="ProductList-Body"/>
        <w:spacing w:before="120"/>
        <w:rPr>
          <w:b/>
          <w:bCs/>
          <w:color w:val="00188F"/>
        </w:rPr>
      </w:pPr>
      <w:r>
        <w:rPr>
          <w:b/>
          <w:bCs/>
          <w:color w:val="00188F"/>
        </w:rPr>
        <w:t>Cálculo do Período de Disponibilidade e Níveis de Serviço para Sessões de Composição</w:t>
      </w:r>
    </w:p>
    <w:p w14:paraId="58D414EF" w14:textId="2A350E59" w:rsidR="000C7D2A" w:rsidRDefault="00380305" w:rsidP="00F01ED6">
      <w:pPr>
        <w:pStyle w:val="ProductList-Body"/>
      </w:pPr>
      <w:r>
        <w:t>“</w:t>
      </w:r>
      <w:r w:rsidR="000C7D2A">
        <w:rPr>
          <w:b/>
          <w:bCs/>
          <w:color w:val="00188F"/>
        </w:rPr>
        <w:t>Minutos de Implementação</w:t>
      </w:r>
      <w:r>
        <w:t>”</w:t>
      </w:r>
      <w:r w:rsidR="000C7D2A">
        <w:t xml:space="preserve"> é o número de minutos numa Sessão de Composição, medido a partir da alocação de uma Sessão de Composição devido a uma ação iniciada pelo Cliente até ao momento em que o Cliente iniciou uma ação que resultaria na paragem da sessão durante um Período Aplicável.</w:t>
      </w:r>
    </w:p>
    <w:p w14:paraId="75D2D956" w14:textId="3F017D98" w:rsidR="000C7D2A" w:rsidRDefault="00380305" w:rsidP="00F01ED6">
      <w:pPr>
        <w:pStyle w:val="ProductList-Body"/>
      </w:pPr>
      <w:r>
        <w:lastRenderedPageBreak/>
        <w:t>“</w:t>
      </w:r>
      <w:r w:rsidR="000C7D2A">
        <w:rPr>
          <w:b/>
          <w:bCs/>
          <w:color w:val="00188F"/>
        </w:rPr>
        <w:t>Máximo de Minutos Disponíveis</w:t>
      </w:r>
      <w:r>
        <w:t>”</w:t>
      </w:r>
      <w:r w:rsidR="000C7D2A">
        <w:t xml:space="preserve"> designa a soma de todos os Minutos de Implementação em todas as Sessões de Composição durante um Período Aplicável.</w:t>
      </w:r>
    </w:p>
    <w:p w14:paraId="5D2CD3DA" w14:textId="2D16243C" w:rsidR="000C7D2A" w:rsidRPr="00957253" w:rsidRDefault="00380305" w:rsidP="00F01ED6">
      <w:pPr>
        <w:pStyle w:val="ProductList-Body"/>
        <w:rPr>
          <w:spacing w:val="-3"/>
        </w:rPr>
      </w:pPr>
      <w:r>
        <w:rPr>
          <w:spacing w:val="-3"/>
        </w:rPr>
        <w:t>“</w:t>
      </w:r>
      <w:r w:rsidR="000C7D2A" w:rsidRPr="00957253">
        <w:rPr>
          <w:b/>
          <w:bCs/>
          <w:color w:val="00188F"/>
          <w:spacing w:val="-3"/>
        </w:rPr>
        <w:t>Período de Indisponibilidade</w:t>
      </w:r>
      <w:r>
        <w:rPr>
          <w:spacing w:val="-3"/>
        </w:rPr>
        <w:t>”</w:t>
      </w:r>
      <w:r w:rsidR="000C7D2A" w:rsidRPr="00957253">
        <w:rPr>
          <w:spacing w:val="-3"/>
        </w:rPr>
        <w:t xml:space="preserve"> é o total de Minutos de Implementação acumulados quando o Serviço de Composição Remota está indisponível. Um minuto é considerado indisponível para uma determinada Sessão de Composição se esta não tiver qualquer Conectividade Externa durante o minuto.</w:t>
      </w:r>
    </w:p>
    <w:p w14:paraId="6B5C2F46" w14:textId="4A35B156" w:rsidR="000C7D2A" w:rsidRDefault="000C7D2A" w:rsidP="00F01ED6">
      <w:pPr>
        <w:pStyle w:val="ProductList-Body"/>
      </w:pPr>
      <w:r>
        <w:t xml:space="preserve">A </w:t>
      </w:r>
      <w:r w:rsidR="00380305">
        <w:t>“</w:t>
      </w:r>
      <w:r>
        <w:rPr>
          <w:b/>
          <w:bCs/>
          <w:color w:val="00188F"/>
        </w:rPr>
        <w:t>Percentagem de Período de Disponibilidade</w:t>
      </w:r>
      <w:r w:rsidR="00380305">
        <w:t>”</w:t>
      </w:r>
      <w:r>
        <w:t xml:space="preserve"> para a Sessão de Composição é calculada como o Máximo de Minutos Disponíveis menos o Período de Indisponibilidade a dividir pelo Máximo de Minutos Disponíveis num Período Aplicável para uma determinada subscrição do Azure. A</w:t>
      </w:r>
      <w:r w:rsidR="003730C8">
        <w:t> </w:t>
      </w:r>
      <w:r>
        <w:t>Percentagem de Período de Disponibilidade é representada pela seguinte fórmula:</w:t>
      </w:r>
    </w:p>
    <w:p w14:paraId="22235A21" w14:textId="16911006" w:rsidR="00381981" w:rsidRPr="00EF7CF9" w:rsidRDefault="00000000" w:rsidP="00AD1D5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E3B2938" w14:textId="77777777" w:rsidR="000C7D2A" w:rsidRPr="00CF7B6D" w:rsidRDefault="000C7D2A" w:rsidP="00F01ED6">
      <w:pPr>
        <w:pStyle w:val="ProductList-Body"/>
        <w:rPr>
          <w:b/>
          <w:bCs/>
          <w:color w:val="00188F"/>
        </w:rPr>
      </w:pPr>
      <w:r>
        <w:rPr>
          <w:b/>
          <w:bCs/>
          <w:color w:val="00188F"/>
        </w:rPr>
        <w:t>Os seguintes Níveis de Serviço e Créditos de Serviço são aplicáveis à utilização que o Cliente faz das Sessões de Composição no Serviço de Composição Remota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3204C83" w14:textId="77777777" w:rsidR="00381981" w:rsidRPr="005A3C16" w:rsidRDefault="00381981" w:rsidP="00F01ED6">
            <w:pPr>
              <w:pStyle w:val="ProductList-OfferingBody"/>
              <w:jc w:val="center"/>
              <w:rPr>
                <w:color w:val="FFFFFF" w:themeColor="background1"/>
              </w:rPr>
            </w:pPr>
            <w:r>
              <w:rPr>
                <w:color w:val="FFFFFF" w:themeColor="background1"/>
              </w:rPr>
              <w:t>Crédito de Serviço</w:t>
            </w:r>
          </w:p>
        </w:tc>
      </w:tr>
      <w:tr w:rsidR="00381981" w:rsidRPr="00B44CF9" w14:paraId="2E8116D2" w14:textId="77777777" w:rsidTr="00277097">
        <w:tc>
          <w:tcPr>
            <w:tcW w:w="5400" w:type="dxa"/>
          </w:tcPr>
          <w:p w14:paraId="4217D408" w14:textId="77777777" w:rsidR="00381981" w:rsidRPr="005A3C16" w:rsidRDefault="00381981" w:rsidP="00F01ED6">
            <w:pPr>
              <w:pStyle w:val="ProductList-OfferingBody"/>
              <w:jc w:val="center"/>
            </w:pPr>
            <w:r>
              <w:t>&lt; 99,9%</w:t>
            </w:r>
          </w:p>
        </w:tc>
        <w:tc>
          <w:tcPr>
            <w:tcW w:w="5400" w:type="dxa"/>
          </w:tcPr>
          <w:p w14:paraId="272E18FB" w14:textId="77777777" w:rsidR="00381981" w:rsidRPr="005A3C16" w:rsidRDefault="00381981" w:rsidP="00F01ED6">
            <w:pPr>
              <w:pStyle w:val="ProductList-OfferingBody"/>
              <w:jc w:val="center"/>
            </w:pPr>
            <w:r>
              <w:t>10%</w:t>
            </w:r>
          </w:p>
        </w:tc>
      </w:tr>
      <w:tr w:rsidR="00381981" w:rsidRPr="00B44CF9" w14:paraId="0C18A53A" w14:textId="77777777" w:rsidTr="00277097">
        <w:tc>
          <w:tcPr>
            <w:tcW w:w="5400" w:type="dxa"/>
          </w:tcPr>
          <w:p w14:paraId="295554A0" w14:textId="77777777" w:rsidR="00381981" w:rsidRPr="005A3C16" w:rsidRDefault="00381981" w:rsidP="00F01ED6">
            <w:pPr>
              <w:pStyle w:val="ProductList-OfferingBody"/>
              <w:jc w:val="center"/>
            </w:pPr>
            <w:r>
              <w:t>&lt; 99%</w:t>
            </w:r>
          </w:p>
        </w:tc>
        <w:tc>
          <w:tcPr>
            <w:tcW w:w="5400" w:type="dxa"/>
          </w:tcPr>
          <w:p w14:paraId="499C4BE6" w14:textId="77777777" w:rsidR="00381981" w:rsidRPr="005A3C16" w:rsidRDefault="00381981" w:rsidP="00F01ED6">
            <w:pPr>
              <w:pStyle w:val="ProductList-OfferingBody"/>
              <w:jc w:val="center"/>
            </w:pPr>
            <w:r>
              <w:t>25%</w:t>
            </w:r>
          </w:p>
        </w:tc>
      </w:tr>
    </w:tbl>
    <w:p w14:paraId="094AC561"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8EB8223" w14:textId="77777777" w:rsidR="00A82CB1" w:rsidRPr="00A82CB1" w:rsidRDefault="00A82CB1" w:rsidP="00F01ED6">
      <w:pPr>
        <w:pStyle w:val="ProductList-Offering2Heading"/>
        <w:keepNext/>
        <w:tabs>
          <w:tab w:val="clear" w:pos="360"/>
          <w:tab w:val="clear" w:pos="720"/>
          <w:tab w:val="clear" w:pos="1080"/>
        </w:tabs>
        <w:outlineLvl w:val="2"/>
      </w:pPr>
      <w:bookmarkStart w:id="370" w:name="_Toc239176522"/>
      <w:r>
        <w:t>Azure Route Server</w:t>
      </w:r>
      <w:bookmarkEnd w:id="370"/>
    </w:p>
    <w:p w14:paraId="3DEC4CEF" w14:textId="49D02559" w:rsidR="00A82CB1" w:rsidRPr="00A82CB1" w:rsidRDefault="00EE6E3C" w:rsidP="00F01ED6">
      <w:pPr>
        <w:pStyle w:val="ProductList-Body"/>
        <w:keepNext/>
        <w:rPr>
          <w:b/>
          <w:bCs/>
          <w:color w:val="00188F"/>
        </w:rPr>
      </w:pPr>
      <w:r>
        <w:rPr>
          <w:b/>
          <w:bCs/>
          <w:color w:val="00188F"/>
        </w:rPr>
        <w:t>Cálculo do Período de Disponibilidade</w:t>
      </w:r>
    </w:p>
    <w:p w14:paraId="2D504CF5" w14:textId="700839D9" w:rsidR="00A82CB1" w:rsidRDefault="00380305" w:rsidP="00F01ED6">
      <w:pPr>
        <w:pStyle w:val="ProductList-Body"/>
      </w:pPr>
      <w:r>
        <w:t>“</w:t>
      </w:r>
      <w:r w:rsidR="00A82CB1">
        <w:rPr>
          <w:b/>
          <w:bCs/>
          <w:color w:val="00188F"/>
        </w:rPr>
        <w:t>Máximo de Minutos Disponíveis</w:t>
      </w:r>
      <w:r>
        <w:t>”</w:t>
      </w:r>
      <w:r w:rsidR="00A82CB1">
        <w:t xml:space="preserve"> designa o total de minutos acumulados durante um Período Aplicável durante o qual um determinado Azure Route Server tenha sido implementado numa subscrição do Microsoft Azure.</w:t>
      </w:r>
    </w:p>
    <w:p w14:paraId="67F8492A" w14:textId="3B34BDDC" w:rsidR="00A82CB1" w:rsidRDefault="00380305" w:rsidP="00F01ED6">
      <w:pPr>
        <w:pStyle w:val="ProductList-Body"/>
      </w:pPr>
      <w:r>
        <w:t>“</w:t>
      </w:r>
      <w:r w:rsidR="00A82CB1">
        <w:rPr>
          <w:b/>
          <w:bCs/>
          <w:color w:val="00188F"/>
        </w:rPr>
        <w:t>Período de Indisponibilidade</w:t>
      </w:r>
      <w:r>
        <w:t>”</w:t>
      </w:r>
      <w:r w:rsidR="00A82CB1">
        <w:t xml:space="preserve"> designa ao total acumulado de Máximo de Minutos Disponíveis durante o qual um Azure Route Server está indisponível. Considera-se que um minuto está indisponível se todas as tentativas de ligação ao Azure Route Server durante esse minuto falharem.</w:t>
      </w:r>
    </w:p>
    <w:p w14:paraId="3255F05B" w14:textId="512DCFDC" w:rsidR="00A82CB1" w:rsidRDefault="00A82CB1" w:rsidP="00F01ED6">
      <w:pPr>
        <w:pStyle w:val="ProductList-Body"/>
      </w:pPr>
      <w:r>
        <w:t xml:space="preserve">A </w:t>
      </w:r>
      <w:r w:rsidR="00380305">
        <w:t>“</w:t>
      </w:r>
      <w:r>
        <w:rPr>
          <w:b/>
          <w:bCs/>
          <w:color w:val="00188F"/>
        </w:rPr>
        <w:t>Percentagem de Período de Disponibilidade</w:t>
      </w:r>
      <w:r w:rsidR="00380305">
        <w:t>”</w:t>
      </w:r>
      <w:r>
        <w:t xml:space="preserve"> para um determinado Azure Route Server é calculada como o Máximo de Minutos Disponíveis menos o Período de Indisponibilidade a dividir pelo Máximo de Minutos Disponíveis num Período Aplicável para uma determinada subscrição do Microsoft Azure. A Percentagem de Período de Disponibilidade é representada pela seguinte fórmula:</w:t>
      </w:r>
    </w:p>
    <w:p w14:paraId="35981088" w14:textId="492FB761" w:rsidR="00A82CB1" w:rsidRPr="00EF7CF9" w:rsidRDefault="00000000" w:rsidP="00AD1D5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7224F44" w14:textId="33220A43" w:rsidR="00A82CB1" w:rsidRPr="00A82CB1" w:rsidRDefault="00A82CB1" w:rsidP="00F01ED6">
      <w:pPr>
        <w:pStyle w:val="ProductList-Body"/>
        <w:rPr>
          <w:b/>
          <w:bCs/>
          <w:color w:val="00188F"/>
        </w:rPr>
      </w:pPr>
      <w:r>
        <w:rPr>
          <w:b/>
          <w:bCs/>
          <w:color w:val="00188F"/>
        </w:rPr>
        <w:t>Os seguintes Níveis de Serviço e Créditos de Serviço são aplicáveis à utilização de cada Azure Route Server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C6A2B71" w14:textId="77777777" w:rsidR="00A82CB1" w:rsidRPr="005A3C16" w:rsidRDefault="00A82CB1" w:rsidP="00F01ED6">
            <w:pPr>
              <w:pStyle w:val="ProductList-OfferingBody"/>
              <w:jc w:val="center"/>
              <w:rPr>
                <w:color w:val="FFFFFF" w:themeColor="background1"/>
              </w:rPr>
            </w:pPr>
            <w:r>
              <w:rPr>
                <w:color w:val="FFFFFF" w:themeColor="background1"/>
              </w:rPr>
              <w:t>Crédito de Serviço</w:t>
            </w:r>
          </w:p>
        </w:tc>
      </w:tr>
      <w:tr w:rsidR="00A82CB1" w:rsidRPr="00B44CF9" w14:paraId="4A47106F" w14:textId="77777777" w:rsidTr="00277097">
        <w:tc>
          <w:tcPr>
            <w:tcW w:w="5400" w:type="dxa"/>
          </w:tcPr>
          <w:p w14:paraId="67891EF6" w14:textId="3A77A409" w:rsidR="00A82CB1" w:rsidRPr="005A3C16" w:rsidRDefault="00A82CB1" w:rsidP="00F01ED6">
            <w:pPr>
              <w:pStyle w:val="ProductList-OfferingBody"/>
              <w:jc w:val="center"/>
            </w:pPr>
            <w:r>
              <w:t>&lt; 99,95%</w:t>
            </w:r>
          </w:p>
        </w:tc>
        <w:tc>
          <w:tcPr>
            <w:tcW w:w="5400" w:type="dxa"/>
          </w:tcPr>
          <w:p w14:paraId="1275BFAD" w14:textId="77777777" w:rsidR="00A82CB1" w:rsidRPr="005A3C16" w:rsidRDefault="00A82CB1" w:rsidP="00F01ED6">
            <w:pPr>
              <w:pStyle w:val="ProductList-OfferingBody"/>
              <w:jc w:val="center"/>
            </w:pPr>
            <w:r>
              <w:t>10%</w:t>
            </w:r>
          </w:p>
        </w:tc>
      </w:tr>
      <w:tr w:rsidR="00A82CB1" w:rsidRPr="00B44CF9" w14:paraId="26BCF7B5" w14:textId="77777777" w:rsidTr="00277097">
        <w:tc>
          <w:tcPr>
            <w:tcW w:w="5400" w:type="dxa"/>
          </w:tcPr>
          <w:p w14:paraId="234E6232" w14:textId="77777777" w:rsidR="00A82CB1" w:rsidRPr="005A3C16" w:rsidRDefault="00A82CB1" w:rsidP="00F01ED6">
            <w:pPr>
              <w:pStyle w:val="ProductList-OfferingBody"/>
              <w:jc w:val="center"/>
            </w:pPr>
            <w:r>
              <w:t>&lt; 99%</w:t>
            </w:r>
          </w:p>
        </w:tc>
        <w:tc>
          <w:tcPr>
            <w:tcW w:w="5400" w:type="dxa"/>
          </w:tcPr>
          <w:p w14:paraId="1119D2E9" w14:textId="77777777" w:rsidR="00A82CB1" w:rsidRPr="005A3C16" w:rsidRDefault="00A82CB1" w:rsidP="00F01ED6">
            <w:pPr>
              <w:pStyle w:val="ProductList-OfferingBody"/>
              <w:jc w:val="center"/>
            </w:pPr>
            <w:r>
              <w:t>25%</w:t>
            </w:r>
          </w:p>
        </w:tc>
      </w:tr>
    </w:tbl>
    <w:bookmarkStart w:id="371" w:name="_Toc510793702"/>
    <w:bookmarkStart w:id="372" w:name="_Toc52348978"/>
    <w:p w14:paraId="60993F14" w14:textId="77777777" w:rsidR="005E5DC2" w:rsidRPr="00EF7CF9" w:rsidRDefault="005E5DC2" w:rsidP="005E5DC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8CD3C75" w14:textId="77777777" w:rsidR="00745257" w:rsidRDefault="00745257" w:rsidP="00840862">
      <w:pPr>
        <w:pStyle w:val="ProductList-Offering2Heading"/>
        <w:keepNext/>
        <w:tabs>
          <w:tab w:val="clear" w:pos="360"/>
          <w:tab w:val="clear" w:pos="720"/>
          <w:tab w:val="clear" w:pos="1080"/>
        </w:tabs>
        <w:outlineLvl w:val="2"/>
      </w:pPr>
      <w:bookmarkStart w:id="373" w:name="_Toc239176523"/>
      <w:r>
        <w:t>SAP HANA em Grandes Instâncias do Azure</w:t>
      </w:r>
      <w:bookmarkEnd w:id="373"/>
    </w:p>
    <w:p w14:paraId="54953FF3" w14:textId="77777777" w:rsidR="00745257" w:rsidRPr="00957253" w:rsidRDefault="00745257" w:rsidP="00745257">
      <w:pPr>
        <w:pStyle w:val="ProductList-Body"/>
        <w:rPr>
          <w:rFonts w:cstheme="minorHAnsi"/>
          <w:szCs w:val="18"/>
        </w:rPr>
      </w:pPr>
      <w:r w:rsidRPr="00957253">
        <w:rPr>
          <w:rFonts w:cstheme="minorHAnsi"/>
          <w:b/>
          <w:color w:val="00188F"/>
          <w:szCs w:val="18"/>
        </w:rPr>
        <w:t>Definições Adicionais</w:t>
      </w:r>
      <w:r w:rsidRPr="00473DD3">
        <w:rPr>
          <w:rFonts w:cstheme="minorHAnsi"/>
          <w:b/>
          <w:color w:val="00188F"/>
          <w:szCs w:val="18"/>
        </w:rPr>
        <w:t>:</w:t>
      </w:r>
    </w:p>
    <w:p w14:paraId="7CC3393F" w14:textId="77777777" w:rsidR="00745257" w:rsidRPr="00957253" w:rsidRDefault="00745257" w:rsidP="00745257">
      <w:pPr>
        <w:spacing w:after="0" w:line="240" w:lineRule="auto"/>
        <w:rPr>
          <w:rFonts w:cstheme="minorHAnsi"/>
          <w:sz w:val="18"/>
          <w:szCs w:val="18"/>
        </w:rPr>
      </w:pPr>
      <w:r>
        <w:rPr>
          <w:rFonts w:cstheme="minorHAnsi"/>
          <w:sz w:val="18"/>
          <w:szCs w:val="18"/>
        </w:rPr>
        <w:t>“</w:t>
      </w:r>
      <w:r w:rsidRPr="00957253">
        <w:rPr>
          <w:rFonts w:cstheme="minorHAnsi"/>
          <w:b/>
          <w:color w:val="00188F"/>
          <w:sz w:val="18"/>
          <w:szCs w:val="18"/>
        </w:rPr>
        <w:t>Manutenção da Instância Única Anunciada</w:t>
      </w:r>
      <w:r>
        <w:rPr>
          <w:rFonts w:cstheme="minorHAnsi"/>
          <w:sz w:val="18"/>
          <w:szCs w:val="18"/>
        </w:rPr>
        <w:t>”</w:t>
      </w:r>
      <w:r w:rsidRPr="00957253">
        <w:rPr>
          <w:rFonts w:cstheme="minorHAnsi"/>
          <w:sz w:val="18"/>
          <w:szCs w:val="18"/>
        </w:rPr>
        <w:t xml:space="preserve"> designa os períodos de Período de Indisponibilidade relacionados com as atualizações de rede ou a</w:t>
      </w:r>
      <w:r>
        <w:rPr>
          <w:rFonts w:cstheme="minorHAnsi"/>
          <w:sz w:val="18"/>
          <w:szCs w:val="18"/>
        </w:rPr>
        <w:t> </w:t>
      </w:r>
      <w:r w:rsidRPr="00957253">
        <w:rPr>
          <w:rFonts w:cstheme="minorHAnsi"/>
          <w:sz w:val="18"/>
          <w:szCs w:val="18"/>
        </w:rPr>
        <w:t>manutenção da rede, do hardware ou do Serviço que têm impacto nas Instâncias Únicas. A Microsoft publicará uma notificação ou notificará o</w:t>
      </w:r>
      <w:r>
        <w:rPr>
          <w:rFonts w:cstheme="minorHAnsi"/>
          <w:sz w:val="18"/>
          <w:szCs w:val="18"/>
        </w:rPr>
        <w:t> </w:t>
      </w:r>
      <w:r w:rsidRPr="00957253">
        <w:rPr>
          <w:rFonts w:cstheme="minorHAnsi"/>
          <w:sz w:val="18"/>
          <w:szCs w:val="18"/>
        </w:rPr>
        <w:t>Cliente pelo menos cinco (5) dias antes do início desse Período de Indisponibilidade.</w:t>
      </w:r>
    </w:p>
    <w:p w14:paraId="68781C45" w14:textId="77777777" w:rsidR="00745257" w:rsidRPr="00957253" w:rsidRDefault="00745257" w:rsidP="00745257">
      <w:pPr>
        <w:spacing w:after="0" w:line="240" w:lineRule="auto"/>
        <w:rPr>
          <w:rFonts w:cstheme="minorHAnsi"/>
          <w:sz w:val="18"/>
          <w:szCs w:val="18"/>
        </w:rPr>
      </w:pPr>
      <w:r>
        <w:rPr>
          <w:rFonts w:cstheme="minorHAnsi"/>
          <w:sz w:val="18"/>
          <w:szCs w:val="18"/>
        </w:rPr>
        <w:t>“</w:t>
      </w:r>
      <w:r w:rsidRPr="00957253">
        <w:rPr>
          <w:rFonts w:cstheme="minorHAnsi"/>
          <w:b/>
          <w:color w:val="00188F"/>
          <w:sz w:val="18"/>
          <w:szCs w:val="18"/>
        </w:rPr>
        <w:t>Par de Elevada Disponibilidade</w:t>
      </w:r>
      <w:r>
        <w:rPr>
          <w:rFonts w:cstheme="minorHAnsi"/>
          <w:sz w:val="18"/>
          <w:szCs w:val="18"/>
        </w:rPr>
        <w:t>”</w:t>
      </w:r>
      <w:r w:rsidRPr="00957253">
        <w:rPr>
          <w:rFonts w:cstheme="minorHAnsi"/>
          <w:sz w:val="18"/>
          <w:szCs w:val="18"/>
        </w:rPr>
        <w:t xml:space="preserve"> designa duas ou mais instâncias de grande dimensão do SAP HANA no Azure idênticas implementadas na mesma região e configuradas pelo cliente para a replicação do sistema na camada de aplicação. O Cliente deve declarar os membros de um Par de Elevada Disponibilidade à Microsoft durante o processo de estruturação da arquitetura.</w:t>
      </w:r>
    </w:p>
    <w:p w14:paraId="62E182F8" w14:textId="77777777" w:rsidR="00745257" w:rsidRPr="00957253" w:rsidRDefault="00745257" w:rsidP="00745257">
      <w:pPr>
        <w:spacing w:after="0" w:line="240" w:lineRule="auto"/>
        <w:rPr>
          <w:rFonts w:cstheme="minorHAnsi"/>
          <w:sz w:val="18"/>
          <w:szCs w:val="18"/>
        </w:rPr>
      </w:pPr>
      <w:r>
        <w:rPr>
          <w:rFonts w:cstheme="minorHAnsi"/>
          <w:sz w:val="18"/>
          <w:szCs w:val="18"/>
        </w:rPr>
        <w:t>“</w:t>
      </w:r>
      <w:r w:rsidRPr="00957253">
        <w:rPr>
          <w:rFonts w:cstheme="minorHAnsi"/>
          <w:b/>
          <w:color w:val="00188F"/>
          <w:sz w:val="18"/>
          <w:szCs w:val="18"/>
        </w:rPr>
        <w:t>Conectividade do SAP HANA</w:t>
      </w:r>
      <w:r>
        <w:rPr>
          <w:rFonts w:cstheme="minorHAnsi"/>
          <w:sz w:val="18"/>
          <w:szCs w:val="18"/>
        </w:rPr>
        <w:t>”</w:t>
      </w:r>
      <w:r w:rsidRPr="00957253">
        <w:rPr>
          <w:rFonts w:cstheme="minorHAnsi"/>
          <w:sz w:val="18"/>
          <w:szCs w:val="18"/>
        </w:rPr>
        <w:t xml:space="preserve"> no Azure designa o tráfego de rede bidirecional entre a instância de grande dimensão do SAP HANA no Azure e os outros endereços IP que utilizam os protocolos de rede TCP ou UDP em que a instância está configurada para o tráfego permitido. Os endereços IP têm de ser endereços IP na Rede Virtual da subscrição do Azure associada.</w:t>
      </w:r>
    </w:p>
    <w:p w14:paraId="006A4042" w14:textId="77777777" w:rsidR="00745257" w:rsidRPr="00957253" w:rsidRDefault="00745257" w:rsidP="00745257">
      <w:pPr>
        <w:spacing w:after="0" w:line="240" w:lineRule="auto"/>
        <w:rPr>
          <w:rFonts w:cstheme="minorHAnsi"/>
          <w:sz w:val="18"/>
          <w:szCs w:val="18"/>
        </w:rPr>
      </w:pPr>
      <w:r w:rsidRPr="00957253">
        <w:rPr>
          <w:rFonts w:cstheme="minorHAnsi"/>
          <w:sz w:val="18"/>
          <w:szCs w:val="18"/>
        </w:rPr>
        <w:t xml:space="preserve">A </w:t>
      </w:r>
      <w:r>
        <w:rPr>
          <w:rFonts w:cstheme="minorHAnsi"/>
          <w:sz w:val="18"/>
          <w:szCs w:val="18"/>
        </w:rPr>
        <w:t>“</w:t>
      </w:r>
      <w:r w:rsidRPr="00957253">
        <w:rPr>
          <w:rFonts w:cstheme="minorHAnsi"/>
          <w:b/>
          <w:color w:val="00188F"/>
          <w:sz w:val="18"/>
          <w:szCs w:val="18"/>
        </w:rPr>
        <w:t>Instância Única</w:t>
      </w:r>
      <w:r>
        <w:rPr>
          <w:rFonts w:cstheme="minorHAnsi"/>
          <w:sz w:val="18"/>
          <w:szCs w:val="18"/>
        </w:rPr>
        <w:t>”</w:t>
      </w:r>
      <w:r w:rsidRPr="00957253">
        <w:rPr>
          <w:rFonts w:cstheme="minorHAnsi"/>
          <w:sz w:val="18"/>
          <w:szCs w:val="18"/>
        </w:rPr>
        <w:t xml:space="preserve"> é definida como qualquer máquina da Instância de Grande Dimensão do Microsoft SAP HANA no Azure que não esteja implementada num Par de Elevada Disponibilidade.</w:t>
      </w:r>
    </w:p>
    <w:p w14:paraId="53D07323" w14:textId="77777777" w:rsidR="00745257" w:rsidRPr="00522FF8" w:rsidRDefault="00745257" w:rsidP="00745257">
      <w:pPr>
        <w:spacing w:after="0" w:line="240" w:lineRule="auto"/>
        <w:rPr>
          <w:b/>
          <w:color w:val="00188F"/>
          <w:sz w:val="18"/>
        </w:rPr>
      </w:pPr>
      <w:r>
        <w:rPr>
          <w:b/>
          <w:color w:val="00188F"/>
          <w:sz w:val="18"/>
        </w:rPr>
        <w:t>Cálculo do Período de Disponibilidade e Níveis de Serviço para o Par de Elevada Disponibilidade do SAP HANA no Azure</w:t>
      </w:r>
    </w:p>
    <w:p w14:paraId="7EDDEB0D" w14:textId="77777777" w:rsidR="00745257" w:rsidRPr="0069715D" w:rsidRDefault="00745257" w:rsidP="00745257">
      <w:pPr>
        <w:spacing w:after="0" w:line="240" w:lineRule="auto"/>
        <w:ind w:left="720"/>
        <w:rPr>
          <w:sz w:val="18"/>
        </w:rPr>
      </w:pPr>
      <w:r>
        <w:rPr>
          <w:sz w:val="18"/>
        </w:rPr>
        <w:t>“</w:t>
      </w:r>
      <w:r>
        <w:rPr>
          <w:b/>
          <w:color w:val="0072C6"/>
          <w:sz w:val="18"/>
        </w:rPr>
        <w:t>Máximo de Minutos Disponíveis</w:t>
      </w:r>
      <w:r>
        <w:rPr>
          <w:sz w:val="18"/>
        </w:rPr>
        <w:t>”</w:t>
      </w:r>
      <w:r>
        <w:rPr>
          <w:sz w:val="18"/>
          <w:szCs w:val="18"/>
        </w:rPr>
        <w:t xml:space="preserve"> </w:t>
      </w:r>
      <w:r>
        <w:rPr>
          <w:sz w:val="18"/>
        </w:rPr>
        <w:t>designa o total de minutos acumulados durante um Período Aplicável para todas as instâncias do SAP HANA no Azure implementadas no mesmo Par de Elevada Disponibilidade. O Máximo de Minutos Disponíveis é calculado a partir do momento em que duas ou mais instâncias no mesmo Par de Elevada Disponibilidade foram iniciadas como resultado de uma ação iniciada pelo Cliente até ao momento em que o Cliente iniciou uma ação que resultaria na interrupção das instâncias.</w:t>
      </w:r>
    </w:p>
    <w:p w14:paraId="228F5872" w14:textId="77777777" w:rsidR="00745257" w:rsidRPr="0069715D" w:rsidRDefault="00745257" w:rsidP="00745257">
      <w:pPr>
        <w:spacing w:after="0" w:line="240" w:lineRule="auto"/>
        <w:ind w:left="720"/>
        <w:rPr>
          <w:sz w:val="18"/>
        </w:rPr>
      </w:pPr>
      <w:r>
        <w:rPr>
          <w:sz w:val="18"/>
        </w:rPr>
        <w:lastRenderedPageBreak/>
        <w:t>“</w:t>
      </w:r>
      <w:r>
        <w:rPr>
          <w:b/>
          <w:color w:val="0072C6"/>
          <w:sz w:val="18"/>
        </w:rPr>
        <w:t>Período de Indisponibilidade</w:t>
      </w:r>
      <w:r>
        <w:rPr>
          <w:sz w:val="18"/>
        </w:rPr>
        <w:t>” designa o total de minutos acumulados que fazem parte do Máximo de Minutos Disponíveis sem Conectividade do SAP HANA no Azure.</w:t>
      </w:r>
    </w:p>
    <w:p w14:paraId="7040D7AA" w14:textId="77777777" w:rsidR="00745257" w:rsidRDefault="00745257" w:rsidP="00745257">
      <w:pPr>
        <w:pStyle w:val="ProductList-Body"/>
        <w:ind w:left="720"/>
      </w:pPr>
      <w:r>
        <w:rPr>
          <w:b/>
          <w:color w:val="0072C6"/>
        </w:rPr>
        <w:t>Percentagem de Período de Disponibilidade</w:t>
      </w:r>
      <w:r w:rsidRPr="00473DD3">
        <w:rPr>
          <w:b/>
          <w:color w:val="0072C6"/>
        </w:rPr>
        <w:t>:</w:t>
      </w:r>
      <w:r>
        <w:t xml:space="preserve"> A Percentagem de Período de Disponibilidade para o Par de Elevada Disponibilidade do SAP HANA no Azure é calculada com a seguinte fórmula:</w:t>
      </w:r>
    </w:p>
    <w:p w14:paraId="64951CAF" w14:textId="77777777" w:rsidR="00745257" w:rsidRPr="000A6233" w:rsidRDefault="00000000" w:rsidP="00D67D10">
      <w:pPr>
        <w:pStyle w:val="ListParagraph"/>
        <w:spacing w:before="120" w:after="120" w:line="240" w:lineRule="auto"/>
        <w:ind w:left="1440"/>
        <w:contextualSpacing w:val="0"/>
        <w:rPr>
          <w:rFonts w:ascii="Cambria Math" w:eastAsiaTheme="minorEastAsia" w:hAnsi="Cambria Math" w:cs="Tahoma"/>
          <w:i/>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AAE2B66" w14:textId="77777777" w:rsidR="000A6233" w:rsidRDefault="000A6233" w:rsidP="000A6233">
      <w:pPr>
        <w:pStyle w:val="ProductList-Body"/>
        <w:keepNext/>
        <w:keepLines/>
        <w:ind w:left="720"/>
      </w:pPr>
      <w:r>
        <w:rPr>
          <w:b/>
          <w:color w:val="00188F"/>
        </w:rPr>
        <w:t>Crédito de Serviço para o Par de Elevada Disponibilidade do SAP HANA no Azure</w:t>
      </w:r>
      <w:r w:rsidRPr="00473DD3">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0A6233" w:rsidRPr="00B44CF9" w14:paraId="329A53D7" w14:textId="77777777" w:rsidTr="006F6E13">
        <w:trPr>
          <w:trHeight w:val="235"/>
          <w:tblHeader/>
        </w:trPr>
        <w:tc>
          <w:tcPr>
            <w:tcW w:w="5040" w:type="dxa"/>
            <w:shd w:val="clear" w:color="auto" w:fill="0072C6"/>
          </w:tcPr>
          <w:p w14:paraId="26C3953D" w14:textId="77777777" w:rsidR="000A6233" w:rsidRPr="001A0074" w:rsidRDefault="000A6233" w:rsidP="006F6E13">
            <w:pPr>
              <w:pStyle w:val="ProductList-OfferingBody"/>
              <w:jc w:val="center"/>
              <w:rPr>
                <w:color w:val="FFFFFF" w:themeColor="background1"/>
              </w:rPr>
            </w:pPr>
            <w:r>
              <w:rPr>
                <w:color w:val="FFFFFF" w:themeColor="background1"/>
              </w:rPr>
              <w:t>Percentagem de Período de Disponibilidade</w:t>
            </w:r>
          </w:p>
        </w:tc>
        <w:tc>
          <w:tcPr>
            <w:tcW w:w="4950" w:type="dxa"/>
            <w:shd w:val="clear" w:color="auto" w:fill="0072C6"/>
          </w:tcPr>
          <w:p w14:paraId="38410CF1" w14:textId="77777777" w:rsidR="000A6233" w:rsidRPr="001A0074" w:rsidRDefault="000A6233" w:rsidP="006F6E13">
            <w:pPr>
              <w:pStyle w:val="ProductList-OfferingBody"/>
              <w:jc w:val="center"/>
              <w:rPr>
                <w:color w:val="FFFFFF" w:themeColor="background1"/>
              </w:rPr>
            </w:pPr>
            <w:r>
              <w:rPr>
                <w:color w:val="FFFFFF" w:themeColor="background1"/>
              </w:rPr>
              <w:t>Crédito de Serviço</w:t>
            </w:r>
          </w:p>
        </w:tc>
      </w:tr>
      <w:tr w:rsidR="000A6233" w:rsidRPr="00B44CF9" w14:paraId="638CDDC5" w14:textId="77777777" w:rsidTr="006F6E13">
        <w:trPr>
          <w:trHeight w:val="235"/>
        </w:trPr>
        <w:tc>
          <w:tcPr>
            <w:tcW w:w="5040" w:type="dxa"/>
          </w:tcPr>
          <w:p w14:paraId="658F3439" w14:textId="77777777" w:rsidR="000A6233" w:rsidRPr="0076238C" w:rsidRDefault="000A6233" w:rsidP="006F6E13">
            <w:pPr>
              <w:pStyle w:val="ProductList-OfferingBody"/>
              <w:jc w:val="center"/>
            </w:pPr>
            <w:r>
              <w:t>&lt; 99,99%</w:t>
            </w:r>
          </w:p>
        </w:tc>
        <w:tc>
          <w:tcPr>
            <w:tcW w:w="4950" w:type="dxa"/>
          </w:tcPr>
          <w:p w14:paraId="41D355BC" w14:textId="77777777" w:rsidR="000A6233" w:rsidRPr="0076238C" w:rsidRDefault="000A6233" w:rsidP="006F6E13">
            <w:pPr>
              <w:pStyle w:val="ProductList-OfferingBody"/>
              <w:jc w:val="center"/>
            </w:pPr>
            <w:r>
              <w:t>10%</w:t>
            </w:r>
          </w:p>
        </w:tc>
      </w:tr>
      <w:tr w:rsidR="000A6233" w:rsidRPr="00B44CF9" w14:paraId="6616EDF0" w14:textId="77777777" w:rsidTr="006F6E13">
        <w:trPr>
          <w:trHeight w:val="236"/>
        </w:trPr>
        <w:tc>
          <w:tcPr>
            <w:tcW w:w="5040" w:type="dxa"/>
          </w:tcPr>
          <w:p w14:paraId="2E24AB8E" w14:textId="77777777" w:rsidR="000A6233" w:rsidRPr="0076238C" w:rsidRDefault="000A6233" w:rsidP="006F6E13">
            <w:pPr>
              <w:pStyle w:val="ProductList-OfferingBody"/>
              <w:jc w:val="center"/>
            </w:pPr>
            <w:r>
              <w:t>&lt; 99,9%</w:t>
            </w:r>
          </w:p>
        </w:tc>
        <w:tc>
          <w:tcPr>
            <w:tcW w:w="4950" w:type="dxa"/>
          </w:tcPr>
          <w:p w14:paraId="4FD62A05" w14:textId="77777777" w:rsidR="000A6233" w:rsidRPr="0076238C" w:rsidRDefault="000A6233" w:rsidP="006F6E13">
            <w:pPr>
              <w:pStyle w:val="ProductList-OfferingBody"/>
              <w:jc w:val="center"/>
            </w:pPr>
            <w:r>
              <w:t>25%</w:t>
            </w:r>
          </w:p>
        </w:tc>
      </w:tr>
    </w:tbl>
    <w:p w14:paraId="18B2EE26" w14:textId="77777777" w:rsidR="000A6233" w:rsidRPr="00F60A8A" w:rsidRDefault="000A6233" w:rsidP="000A6233">
      <w:pPr>
        <w:spacing w:before="120" w:after="0" w:line="240" w:lineRule="auto"/>
        <w:rPr>
          <w:b/>
          <w:color w:val="00188F"/>
          <w:sz w:val="18"/>
        </w:rPr>
      </w:pPr>
      <w:r>
        <w:rPr>
          <w:b/>
          <w:color w:val="00188F"/>
          <w:sz w:val="18"/>
        </w:rPr>
        <w:t>Cálculo do Período de Disponibilidade e Níveis de Serviço para a Instância Única do SAP HANA no Azure</w:t>
      </w:r>
    </w:p>
    <w:p w14:paraId="2366F91B" w14:textId="77777777" w:rsidR="000A6233" w:rsidRDefault="000A6233" w:rsidP="000A6233">
      <w:pPr>
        <w:spacing w:after="0" w:line="240" w:lineRule="auto"/>
        <w:ind w:left="720"/>
        <w:rPr>
          <w:sz w:val="18"/>
        </w:rPr>
      </w:pPr>
      <w:r>
        <w:rPr>
          <w:sz w:val="18"/>
        </w:rPr>
        <w:t>“</w:t>
      </w:r>
      <w:r>
        <w:rPr>
          <w:b/>
          <w:color w:val="0072C6"/>
          <w:sz w:val="18"/>
        </w:rPr>
        <w:t>Máximo de Minutos Disponíveis</w:t>
      </w:r>
      <w:r>
        <w:rPr>
          <w:sz w:val="18"/>
        </w:rPr>
        <w:t xml:space="preserve">” designa o total de minutos acumulados para todas as Instâncias Únicas do SAP HANA no Azure implementadas pelo Cliente, durante um Período Aplicável, para uma determinada subscrição do Microsoft Azure. </w:t>
      </w:r>
    </w:p>
    <w:p w14:paraId="406F375B" w14:textId="77777777" w:rsidR="000A6233" w:rsidRDefault="000A6233" w:rsidP="000A6233">
      <w:pPr>
        <w:spacing w:after="0" w:line="240" w:lineRule="auto"/>
        <w:ind w:left="720"/>
        <w:rPr>
          <w:sz w:val="18"/>
        </w:rPr>
      </w:pPr>
      <w:r>
        <w:rPr>
          <w:sz w:val="18"/>
        </w:rPr>
        <w:t>“</w:t>
      </w:r>
      <w:r>
        <w:rPr>
          <w:b/>
          <w:color w:val="0072C6"/>
          <w:sz w:val="18"/>
        </w:rPr>
        <w:t>Período de Indisponibilidade</w:t>
      </w:r>
      <w:r>
        <w:rPr>
          <w:sz w:val="18"/>
        </w:rPr>
        <w:t>” designa o total de minutos acumulados que fazem parte do Máximo de Minutos Disponíveis sem Conectividade do SAP HANA no Azure. O Período de Indisponibilidade exclui a Manutenção da Instância Única Anunciada.</w:t>
      </w:r>
    </w:p>
    <w:p w14:paraId="05AB80E5" w14:textId="77777777" w:rsidR="000A6233" w:rsidRDefault="000A6233" w:rsidP="000A6233">
      <w:pPr>
        <w:spacing w:after="0" w:line="240" w:lineRule="auto"/>
        <w:ind w:left="720"/>
        <w:rPr>
          <w:sz w:val="18"/>
        </w:rPr>
      </w:pPr>
      <w:r>
        <w:rPr>
          <w:b/>
          <w:color w:val="0072C6"/>
          <w:sz w:val="18"/>
        </w:rPr>
        <w:t>Percentagem de Período de Disponibilidade</w:t>
      </w:r>
      <w:r>
        <w:rPr>
          <w:b/>
          <w:color w:val="00188F"/>
          <w:sz w:val="18"/>
        </w:rPr>
        <w:t>:</w:t>
      </w:r>
      <w:r>
        <w:rPr>
          <w:sz w:val="18"/>
        </w:rPr>
        <w:t xml:space="preserve"> A Percentagem de Período de Disponibilidade para a Instância Única do SAP HANA no Azure é calculada com a seguinte fórmula</w:t>
      </w:r>
    </w:p>
    <w:p w14:paraId="04962158" w14:textId="77777777" w:rsidR="000A6233" w:rsidRDefault="00000000" w:rsidP="00D67D10">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E89DB6D" w14:textId="77777777" w:rsidR="000A6233" w:rsidRPr="00957253" w:rsidRDefault="000A6233" w:rsidP="000A6233">
      <w:pPr>
        <w:spacing w:after="0" w:line="240" w:lineRule="auto"/>
        <w:ind w:left="720"/>
        <w:rPr>
          <w:spacing w:val="-2"/>
          <w:sz w:val="18"/>
        </w:rPr>
      </w:pPr>
      <w:r w:rsidRPr="001B0E4C">
        <w:rPr>
          <w:b/>
          <w:color w:val="00188F"/>
          <w:sz w:val="18"/>
        </w:rPr>
        <w:t>Os seguintes Níveis de Serviço e Créditos de Serviço são aplicáveis à utilização que o Cliente faz das Instâncias Únicas do SAP HANA no Azure:</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0A6233" w:rsidRPr="00B44CF9" w14:paraId="4F34B03E" w14:textId="77777777" w:rsidTr="006F6E13">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9B3AFC0" w14:textId="77777777" w:rsidR="000A6233" w:rsidRDefault="000A6233" w:rsidP="006F6E13">
            <w:pPr>
              <w:pStyle w:val="ProductList-OfferingBody"/>
              <w:jc w:val="center"/>
              <w:rPr>
                <w:color w:val="FFFFFF" w:themeColor="background1"/>
              </w:rPr>
            </w:pPr>
            <w:r>
              <w:rPr>
                <w:color w:val="FFFFFF" w:themeColor="background1"/>
              </w:rPr>
              <w:t>Percentagem de Período de Disponibilidade</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D6A39B5" w14:textId="77777777" w:rsidR="000A6233" w:rsidRDefault="000A6233" w:rsidP="006F6E13">
            <w:pPr>
              <w:pStyle w:val="ProductList-OfferingBody"/>
              <w:jc w:val="center"/>
              <w:rPr>
                <w:color w:val="FFFFFF" w:themeColor="background1"/>
              </w:rPr>
            </w:pPr>
            <w:r>
              <w:rPr>
                <w:color w:val="FFFFFF" w:themeColor="background1"/>
              </w:rPr>
              <w:t>Crédito de Serviço</w:t>
            </w:r>
          </w:p>
        </w:tc>
      </w:tr>
      <w:tr w:rsidR="000A6233" w:rsidRPr="00B44CF9" w14:paraId="5A724907" w14:textId="77777777" w:rsidTr="006F6E13">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5A0C0C" w14:textId="77777777" w:rsidR="000A6233" w:rsidRDefault="000A6233" w:rsidP="006F6E13">
            <w:pPr>
              <w:pStyle w:val="ProductList-OfferingBody"/>
              <w:jc w:val="center"/>
            </w:pPr>
            <w: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CF3D0" w14:textId="77777777" w:rsidR="000A6233" w:rsidRDefault="000A6233" w:rsidP="006F6E13">
            <w:pPr>
              <w:pStyle w:val="ProductList-OfferingBody"/>
              <w:jc w:val="center"/>
            </w:pPr>
            <w:r>
              <w:t>10%</w:t>
            </w:r>
          </w:p>
        </w:tc>
      </w:tr>
      <w:tr w:rsidR="000A6233" w:rsidRPr="00B44CF9" w14:paraId="1E94187D" w14:textId="77777777" w:rsidTr="006F6E13">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6882E8" w14:textId="77777777" w:rsidR="000A6233" w:rsidRDefault="000A6233" w:rsidP="006F6E13">
            <w:pPr>
              <w:pStyle w:val="ProductList-OfferingBody"/>
              <w:jc w:val="center"/>
            </w:pPr>
            <w: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72F7AA" w14:textId="77777777" w:rsidR="000A6233" w:rsidRDefault="000A6233" w:rsidP="006F6E13">
            <w:pPr>
              <w:pStyle w:val="ProductList-OfferingBody"/>
              <w:jc w:val="center"/>
            </w:pPr>
            <w:r>
              <w:t>25%</w:t>
            </w:r>
          </w:p>
        </w:tc>
      </w:tr>
      <w:tr w:rsidR="000A6233" w:rsidRPr="00B44CF9" w14:paraId="01ED675C" w14:textId="77777777" w:rsidTr="006F6E13">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C442F" w14:textId="77777777" w:rsidR="000A6233" w:rsidRDefault="000A6233" w:rsidP="006F6E13">
            <w:pPr>
              <w:pStyle w:val="ProductList-OfferingBody"/>
              <w:jc w:val="center"/>
            </w:pPr>
            <w:r>
              <w:t>&lt; 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09192" w14:textId="77777777" w:rsidR="000A6233" w:rsidRDefault="000A6233" w:rsidP="006F6E13">
            <w:pPr>
              <w:pStyle w:val="ProductList-OfferingBody"/>
              <w:jc w:val="center"/>
            </w:pPr>
            <w:r>
              <w:t>100%</w:t>
            </w:r>
          </w:p>
        </w:tc>
      </w:tr>
    </w:tbl>
    <w:bookmarkStart w:id="374" w:name="_Toc457821569"/>
    <w:bookmarkStart w:id="375" w:name="_Toc52348979"/>
    <w:p w14:paraId="0BA2D552" w14:textId="77777777" w:rsidR="000A6233" w:rsidRPr="00EF7CF9" w:rsidRDefault="000A6233" w:rsidP="000A6233">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00DE544E" w14:textId="77777777" w:rsidR="000A6233" w:rsidRPr="00EF7CF9" w:rsidRDefault="000A6233" w:rsidP="000A6233">
      <w:pPr>
        <w:pStyle w:val="ProductList-Offering2Heading"/>
        <w:keepNext/>
        <w:keepLines/>
        <w:tabs>
          <w:tab w:val="clear" w:pos="360"/>
          <w:tab w:val="clear" w:pos="720"/>
          <w:tab w:val="clear" w:pos="1080"/>
        </w:tabs>
        <w:outlineLvl w:val="2"/>
      </w:pPr>
      <w:bookmarkStart w:id="376" w:name="_Toc239176524"/>
      <w:r>
        <w:t>Scheduler</w:t>
      </w:r>
      <w:bookmarkEnd w:id="374"/>
      <w:bookmarkEnd w:id="375"/>
      <w:bookmarkEnd w:id="376"/>
    </w:p>
    <w:p w14:paraId="6C54F091" w14:textId="77777777" w:rsidR="000A6233" w:rsidRPr="00EF7CF9" w:rsidRDefault="000A6233" w:rsidP="000A6233">
      <w:pPr>
        <w:pStyle w:val="ProductList-Body"/>
        <w:keepNext/>
        <w:keepLines/>
      </w:pPr>
      <w:r>
        <w:rPr>
          <w:b/>
          <w:color w:val="00188F"/>
        </w:rPr>
        <w:t>Definições Adicionais</w:t>
      </w:r>
      <w:r w:rsidRPr="00473DD3">
        <w:rPr>
          <w:b/>
          <w:color w:val="00188F"/>
        </w:rPr>
        <w:t>:</w:t>
      </w:r>
    </w:p>
    <w:p w14:paraId="119DDD20" w14:textId="77777777" w:rsidR="000A6233" w:rsidRPr="00EF7CF9" w:rsidRDefault="000A6233" w:rsidP="000A6233">
      <w:pPr>
        <w:pStyle w:val="ProductList-Body"/>
        <w:keepNext/>
        <w:keepLines/>
      </w:pPr>
      <w:r>
        <w:t>“</w:t>
      </w:r>
      <w:r>
        <w:rPr>
          <w:b/>
          <w:color w:val="00188F"/>
        </w:rPr>
        <w:t>Máximo de Minutos Disponíveis</w:t>
      </w:r>
      <w:r>
        <w:t>” designa o número total de minutos num Período Aplicável.</w:t>
      </w:r>
    </w:p>
    <w:p w14:paraId="7038C2B4" w14:textId="77777777" w:rsidR="000A6233" w:rsidRPr="00EF7CF9" w:rsidRDefault="000A6233" w:rsidP="000A6233">
      <w:pPr>
        <w:pStyle w:val="ProductList-Body"/>
        <w:keepNext/>
        <w:keepLines/>
      </w:pPr>
      <w:r>
        <w:t>A “</w:t>
      </w:r>
      <w:r>
        <w:rPr>
          <w:b/>
          <w:color w:val="00188F"/>
        </w:rPr>
        <w:t>Hora de Execução Planeada</w:t>
      </w:r>
      <w:r>
        <w:t>” é a hora a que uma Tarefa Agendada está agendada para iniciar a execução.</w:t>
      </w:r>
    </w:p>
    <w:p w14:paraId="4C92686E" w14:textId="77777777" w:rsidR="000A6233" w:rsidRPr="00EF7CF9" w:rsidRDefault="000A6233" w:rsidP="000A6233">
      <w:pPr>
        <w:pStyle w:val="ProductList-Body"/>
      </w:pPr>
      <w:r>
        <w:t>“</w:t>
      </w:r>
      <w:r>
        <w:rPr>
          <w:b/>
          <w:color w:val="00188F"/>
        </w:rPr>
        <w:t>Tarefa Agendada</w:t>
      </w:r>
      <w:r>
        <w:t>” designa uma ação especificada pelo Cliente para ser executada no Microsoft Azure de acordo com uma agenda especificada.</w:t>
      </w:r>
    </w:p>
    <w:p w14:paraId="27BD1350" w14:textId="77777777" w:rsidR="000A6233" w:rsidRPr="00EF7CF9" w:rsidRDefault="000A6233" w:rsidP="000A6233">
      <w:pPr>
        <w:pStyle w:val="ProductList-Body"/>
      </w:pPr>
      <w:r>
        <w:rPr>
          <w:b/>
          <w:color w:val="00188F"/>
        </w:rPr>
        <w:t>Período de Indisponibilidade</w:t>
      </w:r>
      <w:r w:rsidRPr="00473DD3">
        <w:rPr>
          <w:b/>
          <w:color w:val="00188F"/>
        </w:rPr>
        <w:t>:</w:t>
      </w:r>
      <w:r>
        <w:t xml:space="preserve"> O total de minutos acumulados num Período Aplicável durante o qual uma ou mais Tarefas Agendadas do Cliente estão no estado de execução atrasada. Uma determinada Tarefa Agendada está no estado de execução atrasada se não tiver começado a execução a seguir a uma Hora de Execução Planeada, desde que essa hora de execução atrasada não seja considerada Período de Indisponibilidade caso a Tarefa Agendada comece a execução num prazo de trinta (30) minutos a seguir a uma Hora de Execução Planeada.</w:t>
      </w:r>
    </w:p>
    <w:p w14:paraId="1B9AA541" w14:textId="77777777" w:rsidR="000A6233" w:rsidRPr="00EF7CF9" w:rsidRDefault="000A6233" w:rsidP="000A6233">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A621C38" w14:textId="77777777" w:rsidR="000A6233" w:rsidRPr="00EF7CF9" w:rsidRDefault="00000000" w:rsidP="00CB3B0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0E15666" w14:textId="2A9F88E4" w:rsidR="00565771" w:rsidRDefault="000A6233" w:rsidP="001B0E4C">
      <w:pPr>
        <w:pStyle w:val="ProductList-Body"/>
        <w:rPr>
          <w:b/>
          <w:color w:val="00188F"/>
        </w:rPr>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A6233" w:rsidRPr="00B44CF9" w14:paraId="279350FD" w14:textId="77777777" w:rsidTr="006F6E13">
        <w:trPr>
          <w:tblHeader/>
        </w:trPr>
        <w:tc>
          <w:tcPr>
            <w:tcW w:w="5400" w:type="dxa"/>
            <w:shd w:val="clear" w:color="auto" w:fill="0072C6"/>
          </w:tcPr>
          <w:p w14:paraId="3FBC80E3" w14:textId="77777777" w:rsidR="000A6233" w:rsidRPr="00EF7CF9" w:rsidRDefault="000A6233" w:rsidP="006F6E13">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DA96BA4" w14:textId="77777777" w:rsidR="000A6233" w:rsidRPr="00EF7CF9" w:rsidRDefault="000A6233" w:rsidP="006F6E13">
            <w:pPr>
              <w:pStyle w:val="ProductList-OfferingBody"/>
              <w:jc w:val="center"/>
              <w:rPr>
                <w:color w:val="FFFFFF" w:themeColor="background1"/>
              </w:rPr>
            </w:pPr>
            <w:r>
              <w:rPr>
                <w:color w:val="FFFFFF" w:themeColor="background1"/>
              </w:rPr>
              <w:t>Crédito de Serviço</w:t>
            </w:r>
          </w:p>
        </w:tc>
      </w:tr>
      <w:tr w:rsidR="000A6233" w:rsidRPr="00B44CF9" w14:paraId="79216E0E" w14:textId="77777777" w:rsidTr="006F6E13">
        <w:tc>
          <w:tcPr>
            <w:tcW w:w="5400" w:type="dxa"/>
          </w:tcPr>
          <w:p w14:paraId="5996CEA7" w14:textId="77777777" w:rsidR="000A6233" w:rsidRPr="00EF7CF9" w:rsidRDefault="000A6233" w:rsidP="006F6E13">
            <w:pPr>
              <w:pStyle w:val="ProductList-OfferingBody"/>
              <w:jc w:val="center"/>
            </w:pPr>
            <w:r>
              <w:t>&lt; 99,9%</w:t>
            </w:r>
          </w:p>
        </w:tc>
        <w:tc>
          <w:tcPr>
            <w:tcW w:w="5400" w:type="dxa"/>
          </w:tcPr>
          <w:p w14:paraId="0982C738" w14:textId="77777777" w:rsidR="000A6233" w:rsidRPr="00EF7CF9" w:rsidRDefault="000A6233" w:rsidP="006F6E13">
            <w:pPr>
              <w:pStyle w:val="ProductList-OfferingBody"/>
              <w:jc w:val="center"/>
            </w:pPr>
            <w:r>
              <w:t>10%</w:t>
            </w:r>
          </w:p>
        </w:tc>
      </w:tr>
      <w:tr w:rsidR="000A6233" w:rsidRPr="00B44CF9" w14:paraId="02D5381F" w14:textId="77777777" w:rsidTr="006F6E13">
        <w:tc>
          <w:tcPr>
            <w:tcW w:w="5400" w:type="dxa"/>
          </w:tcPr>
          <w:p w14:paraId="12881091" w14:textId="77777777" w:rsidR="000A6233" w:rsidRPr="00EF7CF9" w:rsidRDefault="000A6233" w:rsidP="006F6E13">
            <w:pPr>
              <w:pStyle w:val="ProductList-OfferingBody"/>
              <w:jc w:val="center"/>
            </w:pPr>
            <w:r>
              <w:t>&lt; 99%</w:t>
            </w:r>
          </w:p>
        </w:tc>
        <w:tc>
          <w:tcPr>
            <w:tcW w:w="5400" w:type="dxa"/>
          </w:tcPr>
          <w:p w14:paraId="08F0395C" w14:textId="77777777" w:rsidR="000A6233" w:rsidRPr="00EF7CF9" w:rsidRDefault="000A6233" w:rsidP="006F6E13">
            <w:pPr>
              <w:pStyle w:val="ProductList-OfferingBody"/>
              <w:jc w:val="center"/>
            </w:pPr>
            <w:r>
              <w:t>25%</w:t>
            </w:r>
          </w:p>
        </w:tc>
      </w:tr>
    </w:tbl>
    <w:p w14:paraId="48D6AB7E" w14:textId="77777777" w:rsidR="000A6233" w:rsidRPr="00EF7CF9" w:rsidRDefault="000A6233" w:rsidP="000A623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551E196" w14:textId="1B49219A" w:rsidR="008A01B3" w:rsidRPr="00EF7CF9" w:rsidRDefault="008A01B3" w:rsidP="00762971">
      <w:pPr>
        <w:pStyle w:val="ProductList-Offering2Heading"/>
        <w:keepNext/>
        <w:pageBreakBefore/>
        <w:tabs>
          <w:tab w:val="clear" w:pos="360"/>
          <w:tab w:val="clear" w:pos="720"/>
          <w:tab w:val="clear" w:pos="1080"/>
        </w:tabs>
        <w:outlineLvl w:val="2"/>
      </w:pPr>
      <w:bookmarkStart w:id="377" w:name="_Toc457821574"/>
      <w:bookmarkStart w:id="378" w:name="_Toc52348984"/>
      <w:bookmarkStart w:id="379" w:name="_Toc239176525"/>
      <w:bookmarkStart w:id="380" w:name="ServiceBusServiceRelays"/>
      <w:bookmarkEnd w:id="371"/>
      <w:bookmarkEnd w:id="372"/>
      <w:r>
        <w:lastRenderedPageBreak/>
        <w:t>Barramento de Serviço</w:t>
      </w:r>
      <w:bookmarkEnd w:id="377"/>
      <w:bookmarkEnd w:id="378"/>
      <w:bookmarkEnd w:id="379"/>
    </w:p>
    <w:bookmarkEnd w:id="380"/>
    <w:p w14:paraId="0147F982" w14:textId="77777777" w:rsidR="008A01B3" w:rsidRPr="00EF7CF9" w:rsidRDefault="008A01B3" w:rsidP="00F01ED6">
      <w:pPr>
        <w:pStyle w:val="ProductList-Body"/>
      </w:pPr>
      <w:r>
        <w:rPr>
          <w:b/>
          <w:color w:val="00188F"/>
        </w:rPr>
        <w:t>Definições Adicionais</w:t>
      </w:r>
      <w:r w:rsidRPr="00473DD3">
        <w:rPr>
          <w:b/>
          <w:color w:val="00188F"/>
        </w:rPr>
        <w:t>:</w:t>
      </w:r>
    </w:p>
    <w:p w14:paraId="1902CD18" w14:textId="77777777" w:rsidR="00801E9E" w:rsidRPr="00D6124B" w:rsidRDefault="00801E9E" w:rsidP="00801E9E">
      <w:pPr>
        <w:pStyle w:val="ProductList-Body"/>
        <w:rPr>
          <w:rFonts w:ascii="Calibri" w:hAnsi="Calibri" w:cs="Calibri"/>
        </w:rPr>
      </w:pPr>
      <w:bookmarkStart w:id="381" w:name="_Toc526859711"/>
      <w:bookmarkStart w:id="382" w:name="_Toc52348985"/>
      <w:bookmarkStart w:id="383" w:name="_Toc457821577"/>
      <w:r>
        <w:rPr>
          <w:rFonts w:ascii="Calibri" w:hAnsi="Calibri" w:cs="Calibri"/>
        </w:rPr>
        <w:t>“</w:t>
      </w:r>
      <w:r>
        <w:rPr>
          <w:rFonts w:ascii="Calibri" w:hAnsi="Calibri" w:cs="Calibri"/>
          <w:b/>
          <w:color w:val="00188F"/>
        </w:rPr>
        <w:t>Mensagem</w:t>
      </w:r>
      <w:r>
        <w:rPr>
          <w:rFonts w:ascii="Calibri" w:hAnsi="Calibri" w:cs="Calibri"/>
        </w:rPr>
        <w:t>” designa qualquer conteúdo definido pelo utilizador que seja enviado ou recebido através de Reencaminhamentos de Barramento de Serviço, Filas ou Tópicos e que utilize qualquer protocolo suportado pelo Barramento de Serviço.</w:t>
      </w:r>
    </w:p>
    <w:p w14:paraId="1B82D5E8" w14:textId="77777777" w:rsidR="00801E9E" w:rsidRPr="00D6124B" w:rsidRDefault="00801E9E" w:rsidP="00801E9E">
      <w:pPr>
        <w:pStyle w:val="ProductList-Body"/>
        <w:rPr>
          <w:rFonts w:ascii="Calibri" w:hAnsi="Calibri" w:cs="Calibri"/>
        </w:rPr>
      </w:pPr>
      <w:r>
        <w:rPr>
          <w:rFonts w:ascii="Calibri" w:hAnsi="Calibri" w:cs="Calibri"/>
        </w:rPr>
        <w:t>“</w:t>
      </w:r>
      <w:r>
        <w:rPr>
          <w:rFonts w:ascii="Calibri" w:hAnsi="Calibri" w:cs="Calibri"/>
          <w:b/>
          <w:bCs/>
          <w:color w:val="00188F"/>
        </w:rPr>
        <w:t>Zona de Disponibilidade</w:t>
      </w:r>
      <w:r>
        <w:rPr>
          <w:rFonts w:ascii="Calibri" w:hAnsi="Calibri" w:cs="Calibri"/>
        </w:rPr>
        <w:t>” designa uma área isolada de falhas numa região do Azure que providencia alimentação, refrigeração e rede redundantes.</w:t>
      </w:r>
    </w:p>
    <w:p w14:paraId="0554E400" w14:textId="77777777" w:rsidR="00801E9E" w:rsidRPr="00D6124B" w:rsidRDefault="00801E9E" w:rsidP="00801E9E">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Minutos de Implementação</w:t>
      </w:r>
      <w:r>
        <w:rPr>
          <w:rFonts w:ascii="Calibri" w:hAnsi="Calibri" w:cs="Calibri"/>
          <w:color w:val="000000" w:themeColor="text1"/>
        </w:rPr>
        <w:t>” designa o número total de minutos durante os quais um determinado Reencaminhamento, Fila ou Tópico foi implementado no Microsoft Azure durante um Período Aplicável.</w:t>
      </w:r>
    </w:p>
    <w:p w14:paraId="24BB88C0" w14:textId="77777777" w:rsidR="00801E9E" w:rsidRPr="00D6124B" w:rsidRDefault="00801E9E" w:rsidP="00801E9E">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Máximo de Minutos Disponíveis</w:t>
      </w:r>
      <w:r>
        <w:rPr>
          <w:rFonts w:ascii="Calibri" w:hAnsi="Calibri" w:cs="Calibri"/>
          <w:color w:val="000000" w:themeColor="text1"/>
        </w:rPr>
        <w:t>” designa a soma de todos os Minutos de Implementação em todos os Reencaminhamentos, Filas e Tópicos implementados pelo Cliente numa determinada subscrição do Microsoft Azure durante um Período Aplicável.</w:t>
      </w:r>
    </w:p>
    <w:p w14:paraId="497A02CB" w14:textId="77777777" w:rsidR="00801E9E" w:rsidRPr="00D6124B" w:rsidRDefault="00801E9E" w:rsidP="00801E9E">
      <w:pPr>
        <w:pStyle w:val="ProductList-Body"/>
        <w:rPr>
          <w:rFonts w:ascii="Calibri" w:hAnsi="Calibri" w:cs="Calibri"/>
          <w:color w:val="000000" w:themeColor="text1"/>
        </w:rPr>
      </w:pPr>
      <w:r>
        <w:rPr>
          <w:rFonts w:ascii="Calibri" w:hAnsi="Calibri" w:cs="Calibri"/>
          <w:b/>
          <w:bCs/>
          <w:color w:val="00188F"/>
        </w:rPr>
        <w:t>Tempo de Inatividade:</w:t>
      </w:r>
      <w:r>
        <w:rPr>
          <w:rFonts w:ascii="Calibri" w:hAnsi="Calibri" w:cs="Calibri"/>
          <w:color w:val="000000" w:themeColor="text1"/>
        </w:rPr>
        <w:t xml:space="preserve"> O total de Minutos de Implementação acumulados, em todos os Reencaminhamentos, Filas e Tópicos implementados pelo Cliente numa determinada subscrição do Microsoft Azure, no qual o Reencaminhamento, Fila ou Tópico está indisponível. Um minuto é considerado indisponível para um determinado Reencaminhamento, Fila ou Tópico se todas as tentativas contínuas para enviar ou receber Mensagens ou executar outras operações no Reencaminhamento, Fila ou Tópico nesse minuto devolverem um Código de Erro ou não resultarem num Código de Êxito num prazo de cinco minutos.</w:t>
      </w:r>
    </w:p>
    <w:p w14:paraId="68CA05CD" w14:textId="77777777" w:rsidR="00801E9E" w:rsidRPr="00D6124B" w:rsidRDefault="00801E9E" w:rsidP="00801E9E">
      <w:pPr>
        <w:pStyle w:val="ProductList-Body"/>
        <w:rPr>
          <w:rFonts w:ascii="Calibri" w:hAnsi="Calibri" w:cs="Calibri"/>
          <w:color w:val="000000" w:themeColor="text1"/>
        </w:rPr>
      </w:pPr>
      <w:r>
        <w:rPr>
          <w:rFonts w:ascii="Calibri" w:hAnsi="Calibri" w:cs="Calibri"/>
          <w:b/>
          <w:bCs/>
          <w:color w:val="00188F"/>
        </w:rPr>
        <w:t>Percentagem de Tempo de Atividade:</w:t>
      </w:r>
      <w:r>
        <w:rPr>
          <w:rFonts w:ascii="Calibri" w:hAnsi="Calibri" w:cs="Calibri"/>
          <w:color w:val="000000" w:themeColor="text1"/>
        </w:rPr>
        <w:t xml:space="preserve"> para os Reencaminhamentos, Filas e Tópicos é calculada como o Máximo de Minutos Disponíveis menos o Tempo de Inatividade a dividir pelo Máximo de Minutos Disponíveis num Período Aplicável para uma determinada subscrição do Microsoft Azure.</w:t>
      </w:r>
    </w:p>
    <w:p w14:paraId="294D846F" w14:textId="77777777" w:rsidR="00801E9E" w:rsidRPr="00D6124B" w:rsidRDefault="00801E9E" w:rsidP="00801E9E">
      <w:pPr>
        <w:pStyle w:val="ProductList-Body"/>
        <w:rPr>
          <w:rFonts w:ascii="Calibri" w:hAnsi="Calibri" w:cs="Calibri"/>
          <w:color w:val="000000" w:themeColor="text1"/>
        </w:rPr>
      </w:pPr>
      <w:r>
        <w:rPr>
          <w:rFonts w:ascii="Calibri" w:hAnsi="Calibri" w:cs="Calibri"/>
          <w:color w:val="000000" w:themeColor="text1"/>
        </w:rPr>
        <w:t>A Percentagem de Tempo de Atividade é representada pela seguinte fórmula:</w:t>
      </w:r>
    </w:p>
    <w:p w14:paraId="1DDE4C93" w14:textId="77777777" w:rsidR="00801E9E" w:rsidRPr="00EF7CF9" w:rsidRDefault="00000000" w:rsidP="00801E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42C6A5B" w14:textId="77777777" w:rsidR="00801E9E" w:rsidRPr="00513FBB" w:rsidRDefault="00801E9E" w:rsidP="00801E9E">
      <w:pPr>
        <w:pStyle w:val="ProductList-Body"/>
        <w:rPr>
          <w:rFonts w:ascii="Calibri" w:hAnsi="Calibri" w:cs="Calibri"/>
          <w:b/>
          <w:bCs/>
          <w:color w:val="00188F"/>
        </w:rPr>
      </w:pPr>
      <w:r>
        <w:rPr>
          <w:rFonts w:ascii="Calibri" w:hAnsi="Calibri" w:cs="Calibri"/>
          <w:b/>
          <w:bCs/>
          <w:color w:val="00188F"/>
        </w:rPr>
        <w:t>Cálculo do Tempo de Atividade e Níveis de Serviço para as Filas e Tópicos</w:t>
      </w:r>
    </w:p>
    <w:p w14:paraId="66F925C9" w14:textId="77777777" w:rsidR="00801E9E" w:rsidRPr="00513FBB" w:rsidRDefault="00801E9E" w:rsidP="00801E9E">
      <w:pPr>
        <w:pStyle w:val="ProductList-Body"/>
        <w:rPr>
          <w:rFonts w:ascii="Calibri" w:hAnsi="Calibri" w:cs="Calibri"/>
          <w:b/>
          <w:bCs/>
          <w:color w:val="00188F"/>
        </w:rPr>
      </w:pPr>
      <w:r>
        <w:rPr>
          <w:rFonts w:ascii="Calibri" w:hAnsi="Calibri" w:cs="Calibri"/>
          <w:b/>
          <w:bCs/>
          <w:color w:val="00188F"/>
        </w:rPr>
        <w:t>Os seguintes Níveis de serviço e Créditos de Serviço são aplicáveis à utilização de Filas e Tópicos por parte do Cliente em todas as camadas implementadas fora das regiões com suporte de Zona de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1E9E" w:rsidRPr="00EF7CF9" w14:paraId="4C035342" w14:textId="77777777" w:rsidTr="0016350D">
        <w:trPr>
          <w:tblHeader/>
        </w:trPr>
        <w:tc>
          <w:tcPr>
            <w:tcW w:w="5400" w:type="dxa"/>
            <w:shd w:val="clear" w:color="auto" w:fill="0072C6"/>
          </w:tcPr>
          <w:p w14:paraId="7F2B6C41" w14:textId="77777777" w:rsidR="00801E9E" w:rsidRPr="00C311B3" w:rsidRDefault="00801E9E" w:rsidP="0016350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Tempo de Atividade</w:t>
            </w:r>
          </w:p>
        </w:tc>
        <w:tc>
          <w:tcPr>
            <w:tcW w:w="5400" w:type="dxa"/>
            <w:shd w:val="clear" w:color="auto" w:fill="0072C6"/>
          </w:tcPr>
          <w:p w14:paraId="3FE4EA75" w14:textId="77777777" w:rsidR="00801E9E" w:rsidRPr="00C311B3" w:rsidRDefault="00801E9E" w:rsidP="0016350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01E9E" w:rsidRPr="00EF7CF9" w14:paraId="5D338316" w14:textId="77777777" w:rsidTr="0016350D">
        <w:tc>
          <w:tcPr>
            <w:tcW w:w="5400" w:type="dxa"/>
          </w:tcPr>
          <w:p w14:paraId="369DF321"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&lt; 99,9%</w:t>
            </w:r>
          </w:p>
        </w:tc>
        <w:tc>
          <w:tcPr>
            <w:tcW w:w="5400" w:type="dxa"/>
          </w:tcPr>
          <w:p w14:paraId="6484FEE5"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10%</w:t>
            </w:r>
          </w:p>
        </w:tc>
      </w:tr>
      <w:tr w:rsidR="00801E9E" w:rsidRPr="00EF7CF9" w14:paraId="7CEC319F" w14:textId="77777777" w:rsidTr="0016350D">
        <w:tc>
          <w:tcPr>
            <w:tcW w:w="5400" w:type="dxa"/>
          </w:tcPr>
          <w:p w14:paraId="1C38D26A"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&lt; 99%</w:t>
            </w:r>
          </w:p>
        </w:tc>
        <w:tc>
          <w:tcPr>
            <w:tcW w:w="5400" w:type="dxa"/>
          </w:tcPr>
          <w:p w14:paraId="4AECE3CE"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25%</w:t>
            </w:r>
          </w:p>
        </w:tc>
      </w:tr>
    </w:tbl>
    <w:p w14:paraId="0C388E29" w14:textId="77777777" w:rsidR="00801E9E" w:rsidRPr="00C311B3" w:rsidRDefault="00801E9E" w:rsidP="00801E9E">
      <w:pPr>
        <w:pStyle w:val="ProductList-Body"/>
        <w:spacing w:before="120"/>
        <w:rPr>
          <w:rFonts w:ascii="Calibri" w:hAnsi="Calibri" w:cs="Calibri"/>
          <w:b/>
          <w:bCs/>
          <w:color w:val="00188F"/>
        </w:rPr>
      </w:pPr>
      <w:r>
        <w:rPr>
          <w:rFonts w:ascii="Calibri" w:hAnsi="Calibri" w:cs="Calibri"/>
          <w:b/>
          <w:bCs/>
          <w:color w:val="00188F"/>
        </w:rPr>
        <w:t>Os seguintes Níveis de serviço e Créditos de Serviço são aplicáveis à utilização de Filas e Tópicos por parte do Cliente na camada Premium implementada em regiões com suporte de Zona de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1E9E" w:rsidRPr="00EF7CF9" w14:paraId="54CBB5AE" w14:textId="77777777" w:rsidTr="0016350D">
        <w:trPr>
          <w:tblHeader/>
        </w:trPr>
        <w:tc>
          <w:tcPr>
            <w:tcW w:w="5400" w:type="dxa"/>
            <w:shd w:val="clear" w:color="auto" w:fill="0072C6"/>
          </w:tcPr>
          <w:p w14:paraId="70B275DC" w14:textId="77777777" w:rsidR="00801E9E" w:rsidRPr="00C311B3" w:rsidRDefault="00801E9E" w:rsidP="0016350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Tempo de Atividade</w:t>
            </w:r>
          </w:p>
        </w:tc>
        <w:tc>
          <w:tcPr>
            <w:tcW w:w="5400" w:type="dxa"/>
            <w:shd w:val="clear" w:color="auto" w:fill="0072C6"/>
          </w:tcPr>
          <w:p w14:paraId="09607741" w14:textId="77777777" w:rsidR="00801E9E" w:rsidRPr="00C311B3" w:rsidRDefault="00801E9E" w:rsidP="0016350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01E9E" w:rsidRPr="00EF7CF9" w14:paraId="2DB6AA01" w14:textId="77777777" w:rsidTr="0016350D">
        <w:tc>
          <w:tcPr>
            <w:tcW w:w="5400" w:type="dxa"/>
          </w:tcPr>
          <w:p w14:paraId="2605AF7A"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&lt; 99,99%</w:t>
            </w:r>
          </w:p>
        </w:tc>
        <w:tc>
          <w:tcPr>
            <w:tcW w:w="5400" w:type="dxa"/>
          </w:tcPr>
          <w:p w14:paraId="432997F0"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10%</w:t>
            </w:r>
          </w:p>
        </w:tc>
      </w:tr>
      <w:tr w:rsidR="00801E9E" w:rsidRPr="00EF7CF9" w14:paraId="35DC9A43" w14:textId="77777777" w:rsidTr="0016350D">
        <w:tc>
          <w:tcPr>
            <w:tcW w:w="5400" w:type="dxa"/>
          </w:tcPr>
          <w:p w14:paraId="53A4BDB5"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&lt; 99%</w:t>
            </w:r>
          </w:p>
        </w:tc>
        <w:tc>
          <w:tcPr>
            <w:tcW w:w="5400" w:type="dxa"/>
          </w:tcPr>
          <w:p w14:paraId="720E9E52"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25%</w:t>
            </w:r>
          </w:p>
        </w:tc>
      </w:tr>
    </w:tbl>
    <w:p w14:paraId="6B16DA86" w14:textId="77777777" w:rsidR="00801E9E" w:rsidRPr="00C311B3" w:rsidRDefault="00801E9E" w:rsidP="00801E9E">
      <w:pPr>
        <w:pStyle w:val="ProductList-Body"/>
        <w:spacing w:before="120"/>
        <w:rPr>
          <w:rFonts w:ascii="Calibri" w:hAnsi="Calibri" w:cs="Calibri"/>
          <w:szCs w:val="18"/>
        </w:rPr>
      </w:pPr>
      <w:r>
        <w:rPr>
          <w:rFonts w:ascii="Calibri" w:hAnsi="Calibri" w:cs="Calibri"/>
          <w:b/>
          <w:color w:val="00188F"/>
          <w:szCs w:val="18"/>
        </w:rPr>
        <w:t>Os seguintes Níveis de Serviço e Créditos de Serviço são aplicáveis à utilização que o Cliente faz dos Reencaminhamentos: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1E9E" w:rsidRPr="00B44CF9" w14:paraId="34278643" w14:textId="77777777" w:rsidTr="0016350D">
        <w:trPr>
          <w:tblHeader/>
        </w:trPr>
        <w:tc>
          <w:tcPr>
            <w:tcW w:w="5400" w:type="dxa"/>
            <w:shd w:val="clear" w:color="auto" w:fill="0072C6"/>
          </w:tcPr>
          <w:p w14:paraId="66CA2CE1" w14:textId="77777777" w:rsidR="00801E9E" w:rsidRPr="00C311B3" w:rsidRDefault="00801E9E" w:rsidP="0016350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Tempo de Atividade</w:t>
            </w:r>
          </w:p>
        </w:tc>
        <w:tc>
          <w:tcPr>
            <w:tcW w:w="5400" w:type="dxa"/>
            <w:shd w:val="clear" w:color="auto" w:fill="0072C6"/>
          </w:tcPr>
          <w:p w14:paraId="7528AAA6" w14:textId="77777777" w:rsidR="00801E9E" w:rsidRPr="00C311B3" w:rsidRDefault="00801E9E" w:rsidP="0016350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01E9E" w:rsidRPr="00B44CF9" w14:paraId="5C39AFA0" w14:textId="77777777" w:rsidTr="0016350D">
        <w:tc>
          <w:tcPr>
            <w:tcW w:w="5400" w:type="dxa"/>
          </w:tcPr>
          <w:p w14:paraId="6B5677CD"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&lt; 99,9%</w:t>
            </w:r>
          </w:p>
        </w:tc>
        <w:tc>
          <w:tcPr>
            <w:tcW w:w="5400" w:type="dxa"/>
          </w:tcPr>
          <w:p w14:paraId="6F3EEDE7"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10%</w:t>
            </w:r>
          </w:p>
        </w:tc>
      </w:tr>
      <w:tr w:rsidR="00801E9E" w:rsidRPr="00B44CF9" w14:paraId="41621CD2" w14:textId="77777777" w:rsidTr="0016350D">
        <w:tc>
          <w:tcPr>
            <w:tcW w:w="5400" w:type="dxa"/>
          </w:tcPr>
          <w:p w14:paraId="2C137EF1"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&lt; 99%</w:t>
            </w:r>
          </w:p>
        </w:tc>
        <w:tc>
          <w:tcPr>
            <w:tcW w:w="5400" w:type="dxa"/>
          </w:tcPr>
          <w:p w14:paraId="02F9BA06" w14:textId="77777777" w:rsidR="00801E9E" w:rsidRPr="00C311B3" w:rsidRDefault="00801E9E" w:rsidP="0016350D">
            <w:pPr>
              <w:pStyle w:val="ProductList-OfferingBody"/>
              <w:jc w:val="center"/>
              <w:rPr>
                <w:rFonts w:ascii="Calibri" w:hAnsi="Calibri" w:cs="Calibri"/>
                <w:szCs w:val="16"/>
              </w:rPr>
            </w:pPr>
            <w:r>
              <w:rPr>
                <w:rFonts w:ascii="Calibri" w:hAnsi="Calibri" w:cs="Calibri"/>
                <w:szCs w:val="16"/>
              </w:rPr>
              <w:t>25%</w:t>
            </w:r>
          </w:p>
        </w:tc>
      </w:tr>
    </w:tbl>
    <w:p w14:paraId="591328E0" w14:textId="77777777" w:rsidR="00BD46E6" w:rsidRPr="00202E1D" w:rsidRDefault="00BD46E6" w:rsidP="00BD46E6">
      <w:pPr>
        <w:shd w:val="clear" w:color="auto" w:fill="808080"/>
        <w:spacing w:before="120" w:after="240" w:line="240" w:lineRule="auto"/>
        <w:jc w:val="right"/>
        <w:rPr>
          <w:rFonts w:ascii="Calibri" w:eastAsia="Calibri" w:hAnsi="Calibri" w:cs="Arial"/>
          <w:sz w:val="16"/>
          <w:szCs w:val="16"/>
        </w:rPr>
      </w:pPr>
      <w:hyperlink w:anchor="TOC" w:tooltip="Índice" w:history="1">
        <w:r>
          <w:rPr>
            <w:rFonts w:ascii="Calibri" w:eastAsia="Calibri" w:hAnsi="Calibri" w:cs="Arial"/>
            <w:color w:val="0563C1"/>
            <w:sz w:val="16"/>
            <w:szCs w:val="16"/>
            <w:u w:val="single"/>
          </w:rPr>
          <w:t>Índice</w:t>
        </w:r>
      </w:hyperlink>
      <w:r>
        <w:rPr>
          <w:rFonts w:ascii="Calibri" w:eastAsia="Calibri" w:hAnsi="Calibri" w:cs="Arial"/>
          <w:sz w:val="16"/>
          <w:szCs w:val="16"/>
        </w:rPr>
        <w:t xml:space="preserve"> / </w:t>
      </w:r>
      <w:hyperlink w:anchor="Definições" w:tooltip="Definições" w:history="1">
        <w:r>
          <w:rPr>
            <w:rFonts w:ascii="Calibri" w:eastAsia="Calibri" w:hAnsi="Calibri" w:cs="Arial"/>
            <w:color w:val="0563C1"/>
            <w:sz w:val="16"/>
            <w:szCs w:val="16"/>
            <w:u w:val="single"/>
          </w:rPr>
          <w:t>Definições</w:t>
        </w:r>
      </w:hyperlink>
    </w:p>
    <w:p w14:paraId="1BB21621" w14:textId="77777777" w:rsidR="008A01B3" w:rsidRPr="00EF7CF9" w:rsidRDefault="008A01B3" w:rsidP="00F01ED6">
      <w:pPr>
        <w:pStyle w:val="ProductList-Offering2Heading"/>
        <w:tabs>
          <w:tab w:val="clear" w:pos="360"/>
          <w:tab w:val="clear" w:pos="720"/>
          <w:tab w:val="clear" w:pos="1080"/>
        </w:tabs>
        <w:outlineLvl w:val="2"/>
      </w:pPr>
      <w:bookmarkStart w:id="384" w:name="_Toc239176526"/>
      <w:r>
        <w:t>Azure SignalR Service</w:t>
      </w:r>
      <w:bookmarkEnd w:id="381"/>
      <w:bookmarkEnd w:id="382"/>
      <w:bookmarkEnd w:id="384"/>
    </w:p>
    <w:p w14:paraId="1A07B706" w14:textId="77777777" w:rsidR="008A01B3" w:rsidRPr="0022248D" w:rsidRDefault="008A01B3" w:rsidP="00F01ED6">
      <w:pPr>
        <w:pStyle w:val="ProductList-Body"/>
        <w:rPr>
          <w:b/>
          <w:color w:val="00188F"/>
        </w:rPr>
      </w:pPr>
      <w:r>
        <w:rPr>
          <w:b/>
          <w:color w:val="00188F"/>
        </w:rPr>
        <w:t>Definições Adicionais</w:t>
      </w:r>
      <w:r w:rsidRPr="00473DD3">
        <w:rPr>
          <w:b/>
          <w:color w:val="00188F"/>
        </w:rPr>
        <w:t>:</w:t>
      </w:r>
    </w:p>
    <w:p w14:paraId="35051C26" w14:textId="1412DC0C" w:rsidR="008A01B3" w:rsidRPr="00B44CF9" w:rsidRDefault="00380305" w:rsidP="00F92EAF">
      <w:pPr>
        <w:autoSpaceDE w:val="0"/>
        <w:autoSpaceDN w:val="0"/>
        <w:spacing w:after="0" w:line="240" w:lineRule="auto"/>
        <w:rPr>
          <w:rFonts w:ascii="Segoe UI" w:eastAsiaTheme="minorEastAsia" w:hAnsi="Segoe UI" w:cs="Segoe UI"/>
          <w:sz w:val="18"/>
          <w:szCs w:val="18"/>
          <w:lang w:eastAsia="zh-TW"/>
        </w:rPr>
      </w:pPr>
      <w:bookmarkStart w:id="385" w:name="_Hlk525654755"/>
      <w:r>
        <w:rPr>
          <w:sz w:val="18"/>
        </w:rPr>
        <w:t>“</w:t>
      </w:r>
      <w:r w:rsidR="008A01B3">
        <w:rPr>
          <w:b/>
          <w:color w:val="00188F"/>
          <w:sz w:val="18"/>
        </w:rPr>
        <w:t>Período de Indisponibilidade</w:t>
      </w:r>
      <w:r>
        <w:rPr>
          <w:sz w:val="18"/>
        </w:rPr>
        <w:t>”</w:t>
      </w:r>
      <w:r w:rsidR="008A01B3">
        <w:rPr>
          <w:sz w:val="18"/>
          <w:szCs w:val="18"/>
        </w:rPr>
        <w:t xml:space="preserve"> </w:t>
      </w:r>
      <w:r w:rsidR="008A01B3">
        <w:rPr>
          <w:sz w:val="18"/>
        </w:rPr>
        <w:t>designa o total acumulado de Máximo de Minutos Disponíveis durante um Período Aplicável para o Serviço SignalR durante os quais o Serviço SignalR está indisponível. Um determinado minuto é considerado indisponível se todas as tentativas para enviar Transações SignalR durante o minuto devolverem um Código de Erro ou não resultarem num Código de Sucesso ao fim de um minuto.</w:t>
      </w:r>
    </w:p>
    <w:p w14:paraId="2015B5C6" w14:textId="33BDF958" w:rsidR="008A01B3" w:rsidRPr="00EF7CF9" w:rsidRDefault="00380305" w:rsidP="00F92EAF">
      <w:pPr>
        <w:pStyle w:val="ProductList-Body"/>
      </w:pPr>
      <w:r>
        <w:t>“</w:t>
      </w:r>
      <w:r w:rsidR="008A01B3">
        <w:rPr>
          <w:b/>
          <w:color w:val="00188F"/>
        </w:rPr>
        <w:t>Máximo de Minutos Disponíveis</w:t>
      </w:r>
      <w:r>
        <w:t>”</w:t>
      </w:r>
      <w:r w:rsidR="008A01B3">
        <w:t xml:space="preserve"> designa o número total de minutos durante os quais o Serviço SignalR esteve implementado pelo Cliente numa determinada subscrição do Microsoft Azure durante um Período Aplicável.</w:t>
      </w:r>
    </w:p>
    <w:p w14:paraId="7BEB29D8" w14:textId="77BDB842" w:rsidR="008A01B3" w:rsidRPr="0022248D" w:rsidRDefault="00380305" w:rsidP="00F92EAF">
      <w:pPr>
        <w:pStyle w:val="ProductList-Body"/>
      </w:pPr>
      <w:r>
        <w:t>“</w:t>
      </w:r>
      <w:r w:rsidR="008A01B3">
        <w:rPr>
          <w:b/>
          <w:color w:val="00188F"/>
        </w:rPr>
        <w:t>Ponto Final do Serviço SignalR</w:t>
      </w:r>
      <w:r>
        <w:t>”</w:t>
      </w:r>
      <w:r w:rsidR="008A01B3">
        <w:t xml:space="preserve"> designa o nome do anfitrião a partir do qual o Serviço SignalR é acedido pelos servidores ou clientes para efetuarem Transações SignalR.</w:t>
      </w:r>
    </w:p>
    <w:p w14:paraId="07B13729" w14:textId="0843DB6B" w:rsidR="008A01B3" w:rsidRPr="00EF7CF9" w:rsidRDefault="00380305" w:rsidP="00F92EAF">
      <w:pPr>
        <w:pStyle w:val="ProductList-Body"/>
      </w:pPr>
      <w:r>
        <w:t>“</w:t>
      </w:r>
      <w:r w:rsidR="008A01B3">
        <w:rPr>
          <w:b/>
          <w:color w:val="00188F"/>
        </w:rPr>
        <w:t>Transações SignalR</w:t>
      </w:r>
      <w:r>
        <w:t>”</w:t>
      </w:r>
      <w:r w:rsidR="008A01B3">
        <w:t xml:space="preserve"> é o conjunto de pedidos de transação enviados a partir do cliente para o servidor ou do servidor para o cliente através de</w:t>
      </w:r>
      <w:r w:rsidR="0086560D">
        <w:t> </w:t>
      </w:r>
      <w:r w:rsidR="008A01B3">
        <w:t>um</w:t>
      </w:r>
      <w:r w:rsidR="0086560D">
        <w:t> </w:t>
      </w:r>
      <w:r w:rsidR="008A01B3">
        <w:t>Ponto Final do Serviço SignalR.</w:t>
      </w:r>
    </w:p>
    <w:bookmarkEnd w:id="385"/>
    <w:p w14:paraId="285D972F" w14:textId="473DC744" w:rsidR="008A01B3" w:rsidRDefault="00AC48A7" w:rsidP="00C407EF">
      <w:pPr>
        <w:pStyle w:val="ProductList-Body"/>
        <w:keepNext/>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52DA437F" w14:textId="6179DE81" w:rsidR="008A01B3" w:rsidRPr="00EF7CF9" w:rsidRDefault="00000000" w:rsidP="00F92EA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0F10A3F" w14:textId="6D4CEC83" w:rsidR="008A01B3" w:rsidRPr="00E81B38" w:rsidRDefault="008A01B3" w:rsidP="00F01ED6">
      <w:pPr>
        <w:pStyle w:val="ProductList-Body"/>
        <w:rPr>
          <w:rFonts w:ascii="Calibri" w:eastAsia="Calibri" w:hAnsi="Calibri" w:cs="Arial"/>
          <w:b/>
          <w:color w:val="00188F"/>
        </w:rPr>
      </w:pPr>
      <w:r w:rsidRPr="00E81B38">
        <w:rPr>
          <w:rFonts w:ascii="Calibri" w:eastAsia="Calibri" w:hAnsi="Calibri" w:cs="Arial"/>
          <w:b/>
          <w:color w:val="00188F"/>
        </w:rPr>
        <w:lastRenderedPageBreak/>
        <w:t>Os seguintes Níveis de Serviço e Créditos de Serviço são aplicáveis à utilização que o Cliente faz das camadas Standard do Serviço SignalR.</w:t>
      </w:r>
    </w:p>
    <w:p w14:paraId="1A23005C" w14:textId="77777777" w:rsidR="008A01B3" w:rsidRPr="00EF7CF9" w:rsidRDefault="008A01B3" w:rsidP="00F01ED6">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0DC1C44" w14:textId="77777777" w:rsidR="008A01B3" w:rsidRPr="005A3C16" w:rsidRDefault="008A01B3" w:rsidP="00F01ED6">
            <w:pPr>
              <w:pStyle w:val="ProductList-OfferingBody"/>
              <w:jc w:val="center"/>
              <w:rPr>
                <w:color w:val="FFFFFF" w:themeColor="background1"/>
              </w:rPr>
            </w:pPr>
            <w:r>
              <w:rPr>
                <w:color w:val="FFFFFF" w:themeColor="background1"/>
              </w:rPr>
              <w:t>Crédito de Serviço</w:t>
            </w:r>
          </w:p>
        </w:tc>
      </w:tr>
      <w:tr w:rsidR="008A01B3" w:rsidRPr="00B44CF9" w14:paraId="4571EEE1" w14:textId="77777777" w:rsidTr="00277097">
        <w:tc>
          <w:tcPr>
            <w:tcW w:w="5400" w:type="dxa"/>
          </w:tcPr>
          <w:p w14:paraId="30F2D33A" w14:textId="77777777" w:rsidR="008A01B3" w:rsidRPr="005A3C16" w:rsidRDefault="008A01B3" w:rsidP="00F01ED6">
            <w:pPr>
              <w:pStyle w:val="ProductList-OfferingBody"/>
              <w:jc w:val="center"/>
            </w:pPr>
            <w:r>
              <w:t>&lt; 99,9%</w:t>
            </w:r>
          </w:p>
        </w:tc>
        <w:tc>
          <w:tcPr>
            <w:tcW w:w="5400" w:type="dxa"/>
          </w:tcPr>
          <w:p w14:paraId="6E9E2EAF" w14:textId="77777777" w:rsidR="008A01B3" w:rsidRPr="005A3C16" w:rsidRDefault="008A01B3" w:rsidP="00F01ED6">
            <w:pPr>
              <w:pStyle w:val="ProductList-OfferingBody"/>
              <w:jc w:val="center"/>
            </w:pPr>
            <w:r>
              <w:t>10%</w:t>
            </w:r>
          </w:p>
        </w:tc>
      </w:tr>
      <w:tr w:rsidR="008A01B3" w:rsidRPr="00B44CF9" w14:paraId="707209F1" w14:textId="77777777" w:rsidTr="00277097">
        <w:tc>
          <w:tcPr>
            <w:tcW w:w="5400" w:type="dxa"/>
          </w:tcPr>
          <w:p w14:paraId="3EE5F898" w14:textId="77777777" w:rsidR="008A01B3" w:rsidRPr="005A3C16" w:rsidRDefault="008A01B3" w:rsidP="00F01ED6">
            <w:pPr>
              <w:pStyle w:val="ProductList-OfferingBody"/>
              <w:jc w:val="center"/>
            </w:pPr>
            <w:r>
              <w:t>&lt; 99%</w:t>
            </w:r>
          </w:p>
        </w:tc>
        <w:tc>
          <w:tcPr>
            <w:tcW w:w="5400" w:type="dxa"/>
          </w:tcPr>
          <w:p w14:paraId="177EA44E" w14:textId="77777777" w:rsidR="008A01B3" w:rsidRPr="005A3C16" w:rsidRDefault="008A01B3" w:rsidP="00F01ED6">
            <w:pPr>
              <w:pStyle w:val="ProductList-OfferingBody"/>
              <w:jc w:val="center"/>
            </w:pPr>
            <w:r>
              <w:t>25%</w:t>
            </w:r>
          </w:p>
        </w:tc>
      </w:tr>
    </w:tbl>
    <w:bookmarkStart w:id="386" w:name="AzureSiteRecoveryService_OnPremtoAzure"/>
    <w:bookmarkStart w:id="387" w:name="_Toc52349007"/>
    <w:bookmarkEnd w:id="383"/>
    <w:p w14:paraId="4559E2E4"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3FE2B6D" w14:textId="66D82492" w:rsidR="00A601A1" w:rsidRPr="00EF7CF9" w:rsidRDefault="00A601A1" w:rsidP="00F01ED6">
      <w:pPr>
        <w:pStyle w:val="ProductList-Offering2Heading"/>
        <w:tabs>
          <w:tab w:val="clear" w:pos="360"/>
          <w:tab w:val="clear" w:pos="720"/>
          <w:tab w:val="clear" w:pos="1080"/>
        </w:tabs>
        <w:outlineLvl w:val="2"/>
      </w:pPr>
      <w:bookmarkStart w:id="388" w:name="_Toc239176527"/>
      <w:r>
        <w:t>Azure Site Recovery</w:t>
      </w:r>
      <w:bookmarkEnd w:id="386"/>
      <w:bookmarkEnd w:id="387"/>
      <w:bookmarkEnd w:id="388"/>
    </w:p>
    <w:p w14:paraId="58D4E4C4" w14:textId="77777777" w:rsidR="00A601A1" w:rsidRPr="00EF7CF9" w:rsidRDefault="00A601A1" w:rsidP="00F01ED6">
      <w:pPr>
        <w:pStyle w:val="ProductList-Body"/>
      </w:pPr>
      <w:r>
        <w:rPr>
          <w:b/>
          <w:color w:val="00188F"/>
        </w:rPr>
        <w:t>Definições Adicionais</w:t>
      </w:r>
      <w:r w:rsidRPr="00473DD3">
        <w:rPr>
          <w:b/>
          <w:color w:val="00188F"/>
        </w:rPr>
        <w:t>:</w:t>
      </w:r>
    </w:p>
    <w:p w14:paraId="6FA36C36" w14:textId="77777777" w:rsidR="00E54BD6" w:rsidRPr="000E14A4" w:rsidRDefault="00E54BD6" w:rsidP="00E54BD6">
      <w:pPr>
        <w:pStyle w:val="ProductList-Body"/>
        <w:rPr>
          <w:rFonts w:ascii="Calibri" w:hAnsi="Calibri" w:cs="Calibri"/>
          <w:szCs w:val="18"/>
        </w:rPr>
      </w:pPr>
      <w:r w:rsidRPr="000E14A4">
        <w:rPr>
          <w:rFonts w:ascii="Calibri" w:hAnsi="Calibri" w:cs="Calibri"/>
        </w:rPr>
        <w:t xml:space="preserve">A </w:t>
      </w:r>
      <w:r w:rsidRPr="000E14A4">
        <w:rPr>
          <w:rFonts w:ascii="Calibri" w:hAnsi="Calibri" w:cs="Calibri"/>
          <w:szCs w:val="18"/>
        </w:rPr>
        <w:t>“</w:t>
      </w:r>
      <w:r w:rsidRPr="000E14A4">
        <w:rPr>
          <w:rFonts w:ascii="Calibri" w:hAnsi="Calibri" w:cs="Calibri"/>
          <w:b/>
          <w:color w:val="00188F"/>
          <w:szCs w:val="18"/>
        </w:rPr>
        <w:t>Ativação Pós-falha</w:t>
      </w:r>
      <w:r w:rsidRPr="000E14A4">
        <w:rPr>
          <w:rFonts w:ascii="Calibri" w:hAnsi="Calibri" w:cs="Calibri"/>
          <w:szCs w:val="18"/>
        </w:rPr>
        <w:t>” é o processo de transferência de controlo, simulado ou real, de uma Instância Protegida de um site primário para um site secundário.</w:t>
      </w:r>
    </w:p>
    <w:p w14:paraId="6B7B4D13" w14:textId="77777777" w:rsidR="00E54BD6" w:rsidRPr="000E14A4" w:rsidRDefault="00E54BD6" w:rsidP="00E54BD6">
      <w:pPr>
        <w:pStyle w:val="ProductList-Body"/>
        <w:rPr>
          <w:rFonts w:ascii="Calibri" w:hAnsi="Calibri" w:cs="Calibri"/>
          <w:szCs w:val="18"/>
        </w:rPr>
      </w:pPr>
      <w:r w:rsidRPr="000E14A4">
        <w:rPr>
          <w:rFonts w:ascii="Calibri" w:hAnsi="Calibri" w:cs="Calibri"/>
          <w:szCs w:val="18"/>
        </w:rPr>
        <w:t>“</w:t>
      </w:r>
      <w:r w:rsidRPr="000E14A4">
        <w:rPr>
          <w:rFonts w:ascii="Calibri" w:hAnsi="Calibri" w:cs="Calibri"/>
          <w:b/>
          <w:color w:val="00188F"/>
          <w:szCs w:val="18"/>
        </w:rPr>
        <w:t>Ativação Pós-falha do Local para o Azure</w:t>
      </w:r>
      <w:r w:rsidRPr="000E14A4">
        <w:rPr>
          <w:rFonts w:ascii="Calibri" w:hAnsi="Calibri" w:cs="Calibri"/>
          <w:szCs w:val="18"/>
        </w:rPr>
        <w:t>” designa a Ativação Pós-falha de uma Instância Protegida de um site primário não Azure para um site secundário do Azure.</w:t>
      </w:r>
    </w:p>
    <w:p w14:paraId="7448BCAC" w14:textId="77777777" w:rsidR="00E54BD6" w:rsidRPr="000E14A4" w:rsidRDefault="00E54BD6" w:rsidP="00E54BD6">
      <w:pPr>
        <w:pStyle w:val="ProductList-Body"/>
        <w:rPr>
          <w:rFonts w:ascii="Calibri" w:hAnsi="Calibri" w:cs="Calibri"/>
          <w:color w:val="505050"/>
          <w:szCs w:val="18"/>
          <w:highlight w:val="yellow"/>
        </w:rPr>
      </w:pPr>
      <w:r w:rsidRPr="000E14A4">
        <w:rPr>
          <w:rFonts w:ascii="Calibri" w:hAnsi="Calibri" w:cs="Calibri"/>
          <w:szCs w:val="18"/>
        </w:rPr>
        <w:t>“</w:t>
      </w:r>
      <w:r w:rsidRPr="000E14A4">
        <w:rPr>
          <w:rFonts w:ascii="Calibri" w:hAnsi="Calibri" w:cs="Calibri"/>
          <w:b/>
          <w:color w:val="00188F"/>
          <w:szCs w:val="18"/>
        </w:rPr>
        <w:t>Ativação Pós-falha do Azure para Azure</w:t>
      </w:r>
      <w:r w:rsidRPr="000E14A4">
        <w:rPr>
          <w:rFonts w:ascii="Calibri" w:hAnsi="Calibri" w:cs="Calibri"/>
          <w:szCs w:val="18"/>
        </w:rPr>
        <w:t>”</w:t>
      </w:r>
      <w:r w:rsidRPr="000E14A4">
        <w:rPr>
          <w:rFonts w:ascii="Calibri" w:hAnsi="Calibri" w:cs="Calibri"/>
          <w:color w:val="505050"/>
          <w:szCs w:val="18"/>
        </w:rPr>
        <w:t xml:space="preserve"> </w:t>
      </w:r>
      <w:r w:rsidRPr="000E14A4">
        <w:rPr>
          <w:rFonts w:ascii="Calibri" w:hAnsi="Calibri" w:cs="Calibri"/>
          <w:szCs w:val="18"/>
        </w:rPr>
        <w:t>é a Ativação Pós-falha de uma Instância Protegida de um site primário do Azure para um site secundário do Azure.</w:t>
      </w:r>
      <w:r w:rsidRPr="000E14A4">
        <w:rPr>
          <w:rFonts w:ascii="Calibri" w:hAnsi="Calibri" w:cs="Calibri"/>
          <w:color w:val="505050"/>
          <w:szCs w:val="18"/>
          <w:highlight w:val="yellow"/>
        </w:rPr>
        <w:t xml:space="preserve"> </w:t>
      </w:r>
    </w:p>
    <w:p w14:paraId="257B0C8B" w14:textId="77777777" w:rsidR="00E54BD6" w:rsidRPr="000E14A4" w:rsidRDefault="00E54BD6" w:rsidP="00E54BD6">
      <w:pPr>
        <w:pStyle w:val="ProductList-Body"/>
        <w:rPr>
          <w:rFonts w:ascii="Calibri" w:hAnsi="Calibri" w:cs="Calibri"/>
          <w:szCs w:val="18"/>
        </w:rPr>
      </w:pPr>
      <w:r w:rsidRPr="000E14A4">
        <w:rPr>
          <w:rFonts w:ascii="Calibri" w:hAnsi="Calibri" w:cs="Calibri"/>
          <w:szCs w:val="18"/>
        </w:rPr>
        <w:t>“</w:t>
      </w:r>
      <w:r w:rsidRPr="000E14A4">
        <w:rPr>
          <w:rFonts w:ascii="Calibri" w:hAnsi="Calibri" w:cs="Calibri"/>
          <w:b/>
          <w:color w:val="00188F"/>
          <w:szCs w:val="18"/>
        </w:rPr>
        <w:t>Instância Protegida</w:t>
      </w:r>
      <w:r w:rsidRPr="000E14A4">
        <w:rPr>
          <w:rFonts w:ascii="Calibri" w:hAnsi="Calibri" w:cs="Calibri"/>
          <w:szCs w:val="18"/>
        </w:rPr>
        <w:t>” designa uma máquina virtual ou física configurada para replicação pelo Serviço Site Recovery de um site primário para um site secundário. As Instâncias Protegidas são enumeradas no separador Itens Protegidos na secção Serviços de Recuperação do Portal de Gestão.</w:t>
      </w:r>
    </w:p>
    <w:p w14:paraId="7C9D0649" w14:textId="77777777" w:rsidR="00E54BD6" w:rsidRPr="000E14A4" w:rsidRDefault="00E54BD6" w:rsidP="00E54BD6">
      <w:pPr>
        <w:pStyle w:val="ProductList-Body"/>
        <w:rPr>
          <w:rFonts w:ascii="Calibri" w:hAnsi="Calibri" w:cs="Calibri"/>
          <w:b/>
          <w:color w:val="00188F"/>
          <w:szCs w:val="18"/>
        </w:rPr>
      </w:pPr>
      <w:r w:rsidRPr="000E14A4">
        <w:rPr>
          <w:rFonts w:ascii="Calibri" w:hAnsi="Calibri" w:cs="Calibri"/>
          <w:b/>
          <w:color w:val="00188F"/>
          <w:szCs w:val="18"/>
        </w:rPr>
        <w:t>Cálculo do Período de Disponibilidade e Níveis de Serviço para a Ativação Pós-falha do Azure para Azure ou No Local para Azure</w:t>
      </w:r>
    </w:p>
    <w:p w14:paraId="2F071DE6" w14:textId="77777777" w:rsidR="00E54BD6" w:rsidRPr="000E14A4" w:rsidRDefault="00E54BD6" w:rsidP="00E54BD6">
      <w:pPr>
        <w:pStyle w:val="ProductList-Body"/>
        <w:rPr>
          <w:rFonts w:ascii="Calibri" w:hAnsi="Calibri" w:cs="Calibri"/>
          <w:szCs w:val="18"/>
        </w:rPr>
      </w:pPr>
      <w:r w:rsidRPr="000E14A4">
        <w:rPr>
          <w:rFonts w:ascii="Calibri" w:hAnsi="Calibri" w:cs="Calibri"/>
          <w:szCs w:val="18"/>
        </w:rPr>
        <w:t>“</w:t>
      </w:r>
      <w:r w:rsidRPr="000E14A4">
        <w:rPr>
          <w:rFonts w:ascii="Calibri" w:hAnsi="Calibri" w:cs="Calibri"/>
          <w:b/>
          <w:color w:val="00188F"/>
          <w:szCs w:val="18"/>
        </w:rPr>
        <w:t>Minutos de Ativação Pós-falha</w:t>
      </w:r>
      <w:r w:rsidRPr="000E14A4">
        <w:rPr>
          <w:rFonts w:ascii="Calibri" w:hAnsi="Calibri" w:cs="Calibri"/>
          <w:szCs w:val="18"/>
        </w:rPr>
        <w:t>” designa o número total de minutos num Período Aplicável durante o qual uma Ativação Pós-falha de uma Instância Protegida configurada para a replicação de No Local para No Local foi tentada, mas não foi concluída.</w:t>
      </w:r>
    </w:p>
    <w:p w14:paraId="3F12D24D" w14:textId="77777777" w:rsidR="00E54BD6" w:rsidRPr="000E14A4" w:rsidRDefault="00E54BD6" w:rsidP="00E54BD6">
      <w:pPr>
        <w:pStyle w:val="ProductList-Body"/>
        <w:rPr>
          <w:rFonts w:ascii="Calibri" w:hAnsi="Calibri" w:cs="Calibri"/>
          <w:szCs w:val="18"/>
        </w:rPr>
      </w:pPr>
      <w:r w:rsidRPr="000E14A4">
        <w:rPr>
          <w:rFonts w:ascii="Calibri" w:hAnsi="Calibri" w:cs="Calibri"/>
          <w:szCs w:val="18"/>
        </w:rPr>
        <w:t>“</w:t>
      </w:r>
      <w:r w:rsidRPr="000E14A4">
        <w:rPr>
          <w:rFonts w:ascii="Calibri" w:hAnsi="Calibri" w:cs="Calibri"/>
          <w:b/>
          <w:color w:val="00188F"/>
          <w:szCs w:val="18"/>
        </w:rPr>
        <w:t>Máximo de Minutos Disponíveis</w:t>
      </w:r>
      <w:r w:rsidRPr="000E14A4">
        <w:rPr>
          <w:rFonts w:ascii="Calibri" w:hAnsi="Calibri" w:cs="Calibri"/>
          <w:szCs w:val="18"/>
        </w:rPr>
        <w:t>” designa o número total de minutos durante os quais uma determinada Instância Protegida foi configurada para a replicação Azure para Azure ou No Local para Azure pelo Serviço Azure Site Recovery durante um Período Aplicável.</w:t>
      </w:r>
    </w:p>
    <w:p w14:paraId="501AB454" w14:textId="77777777" w:rsidR="00E54BD6" w:rsidRPr="000E14A4" w:rsidRDefault="00E54BD6" w:rsidP="00E54BD6">
      <w:pPr>
        <w:pStyle w:val="ProductList-Body"/>
        <w:rPr>
          <w:rFonts w:ascii="Calibri" w:hAnsi="Calibri" w:cs="Calibri"/>
          <w:szCs w:val="18"/>
        </w:rPr>
      </w:pPr>
      <w:r w:rsidRPr="000E14A4">
        <w:rPr>
          <w:rFonts w:ascii="Calibri" w:hAnsi="Calibri" w:cs="Calibri"/>
          <w:szCs w:val="18"/>
        </w:rPr>
        <w:t>“</w:t>
      </w:r>
      <w:r w:rsidRPr="000E14A4">
        <w:rPr>
          <w:rFonts w:ascii="Calibri" w:hAnsi="Calibri" w:cs="Calibri"/>
          <w:b/>
          <w:color w:val="00188F"/>
          <w:szCs w:val="18"/>
        </w:rPr>
        <w:t>Instância Protegida</w:t>
      </w:r>
      <w:r w:rsidRPr="000E14A4">
        <w:rPr>
          <w:rFonts w:ascii="Calibri" w:hAnsi="Calibri" w:cs="Calibri"/>
          <w:szCs w:val="18"/>
        </w:rPr>
        <w:t>” designa uma máquina virtual ou física configurada para replicação pelo Serviço Azure Site Recovery de um site primário para um site secundário. As Instâncias Protegidas são enumeradas no separador Itens Protegidos na secção Serviços de Recuperação do Portal de Gestão.</w:t>
      </w:r>
    </w:p>
    <w:p w14:paraId="2B84EAFC" w14:textId="77777777" w:rsidR="00E54BD6" w:rsidRPr="000E14A4" w:rsidRDefault="00E54BD6" w:rsidP="00E54BD6">
      <w:pPr>
        <w:pStyle w:val="ProductList-Body"/>
        <w:rPr>
          <w:rFonts w:ascii="Calibri" w:hAnsi="Calibri" w:cs="Calibri"/>
          <w:szCs w:val="18"/>
        </w:rPr>
      </w:pPr>
      <w:r w:rsidRPr="000E14A4">
        <w:rPr>
          <w:rFonts w:ascii="Calibri" w:hAnsi="Calibri" w:cs="Calibri"/>
          <w:b/>
          <w:color w:val="00188F"/>
          <w:szCs w:val="18"/>
        </w:rPr>
        <w:t>Período de Indisponibilidade</w:t>
      </w:r>
      <w:r w:rsidRPr="00002C9D">
        <w:rPr>
          <w:rFonts w:ascii="Calibri" w:hAnsi="Calibri" w:cs="Calibri"/>
          <w:b/>
          <w:bCs/>
          <w:szCs w:val="18"/>
        </w:rPr>
        <w:t>:</w:t>
      </w:r>
      <w:r w:rsidRPr="000E14A4">
        <w:rPr>
          <w:rFonts w:ascii="Calibri" w:hAnsi="Calibri" w:cs="Calibri"/>
          <w:szCs w:val="18"/>
        </w:rPr>
        <w:t xml:space="preserve"> É o total de Minutos de Ativação Pós-falha acumulados em que a Ativação Pós-falha de uma Instância Protegida não é bem-sucedida devido à indisponibilidade do Serviço de Recuperação de Site do Azure, desde que as repetições sejam tentadas continuamente com a frequência mínima de uma vez de trinta em trinta minutos.</w:t>
      </w:r>
    </w:p>
    <w:p w14:paraId="253791AD" w14:textId="77777777" w:rsidR="00E54BD6" w:rsidRPr="000E14A4" w:rsidRDefault="00E54BD6" w:rsidP="007837B0">
      <w:pPr>
        <w:pStyle w:val="ProductList-Body"/>
        <w:rPr>
          <w:rFonts w:ascii="Calibri" w:hAnsi="Calibri" w:cs="Calibri"/>
          <w:szCs w:val="18"/>
        </w:rPr>
      </w:pPr>
      <w:r w:rsidRPr="000E14A4">
        <w:rPr>
          <w:rFonts w:ascii="Calibri" w:hAnsi="Calibri" w:cs="Calibri"/>
          <w:b/>
          <w:color w:val="00188F"/>
          <w:szCs w:val="18"/>
        </w:rPr>
        <w:t>Percentagem de Período de Disponibilidade</w:t>
      </w:r>
      <w:r w:rsidRPr="005A7614">
        <w:rPr>
          <w:rFonts w:ascii="Calibri" w:hAnsi="Calibri" w:cs="Calibri"/>
          <w:b/>
          <w:bCs/>
          <w:szCs w:val="18"/>
        </w:rPr>
        <w:t>:</w:t>
      </w:r>
      <w:r w:rsidRPr="000E14A4">
        <w:rPr>
          <w:rFonts w:ascii="Calibri" w:hAnsi="Calibri" w:cs="Calibri"/>
          <w:szCs w:val="18"/>
        </w:rPr>
        <w:t xml:space="preserve"> para a Ativação Pós-falha Azure para Azure ou No Local para Azure de uma Instância Protegida específica num determinado Período Aplicável é calculada como o Máximo de Minutos Disponíveis menos o Período de Indisponibilidade, dividido pelo Máximo de Minutos Disponíveis. </w:t>
      </w:r>
    </w:p>
    <w:p w14:paraId="5FDC624D" w14:textId="77777777" w:rsidR="00E54BD6" w:rsidRPr="000E14A4" w:rsidRDefault="00E54BD6" w:rsidP="007837B0">
      <w:pPr>
        <w:pStyle w:val="ProductList-Body"/>
        <w:rPr>
          <w:rFonts w:ascii="Calibri" w:hAnsi="Calibri" w:cs="Calibri"/>
          <w:szCs w:val="18"/>
        </w:rPr>
      </w:pPr>
      <w:r w:rsidRPr="000E14A4">
        <w:rPr>
          <w:rFonts w:ascii="Calibri" w:hAnsi="Calibri" w:cs="Calibri"/>
          <w:szCs w:val="18"/>
        </w:rPr>
        <w:t>A Percentagem de Período de Disponibilidade é calculada através da seguinte fórmula:</w:t>
      </w:r>
    </w:p>
    <w:p w14:paraId="2BD45B6E" w14:textId="77777777" w:rsidR="00E54BD6" w:rsidRPr="00EF7CF9" w:rsidRDefault="00000000" w:rsidP="00F92EAF">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C44F00" w14:textId="77777777" w:rsidR="00E54BD6" w:rsidRPr="00053A2B" w:rsidRDefault="00E54BD6" w:rsidP="00E54BD6">
      <w:pPr>
        <w:pStyle w:val="ProductList-Body"/>
        <w:rPr>
          <w:rFonts w:ascii="Calibri" w:hAnsi="Calibri" w:cs="Calibri"/>
        </w:rPr>
      </w:pPr>
      <w:r>
        <w:rPr>
          <w:rFonts w:ascii="Calibri" w:hAnsi="Calibri" w:cs="Calibri"/>
          <w:b/>
          <w:color w:val="00188F"/>
        </w:rPr>
        <w:t>Os seguintes Níveis de Serviço e Créditos de Serviço são aplicáveis à utilização, por parte do Cliente, de cada Instância Protegida no Serviço Site Recovery para a Ativação Pós-falha do Azure para Azure ou No Local para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54BD6" w:rsidRPr="00B44CF9" w14:paraId="75FB3099" w14:textId="77777777" w:rsidTr="009D172D">
        <w:trPr>
          <w:tblHeader/>
        </w:trPr>
        <w:tc>
          <w:tcPr>
            <w:tcW w:w="5400" w:type="dxa"/>
            <w:shd w:val="clear" w:color="auto" w:fill="0072C6"/>
          </w:tcPr>
          <w:p w14:paraId="621763C7" w14:textId="77777777" w:rsidR="00E54BD6" w:rsidRPr="00053A2B" w:rsidRDefault="00E54BD6"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365BACA6" w14:textId="77777777" w:rsidR="00E54BD6" w:rsidRPr="00053A2B" w:rsidRDefault="00E54BD6"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E54BD6" w:rsidRPr="00B44CF9" w14:paraId="4ED20351" w14:textId="77777777" w:rsidTr="009D172D">
        <w:tc>
          <w:tcPr>
            <w:tcW w:w="5400" w:type="dxa"/>
          </w:tcPr>
          <w:p w14:paraId="408444AF" w14:textId="77777777" w:rsidR="00E54BD6" w:rsidRPr="00053A2B" w:rsidRDefault="00E54BD6" w:rsidP="009D172D">
            <w:pPr>
              <w:pStyle w:val="ProductList-OfferingBody"/>
              <w:jc w:val="center"/>
              <w:rPr>
                <w:rFonts w:ascii="Calibri" w:hAnsi="Calibri" w:cs="Calibri"/>
                <w:szCs w:val="16"/>
              </w:rPr>
            </w:pPr>
            <w:r>
              <w:rPr>
                <w:rFonts w:ascii="Calibri" w:hAnsi="Calibri" w:cs="Calibri"/>
                <w:szCs w:val="16"/>
              </w:rPr>
              <w:t>&lt; 99,9%</w:t>
            </w:r>
          </w:p>
        </w:tc>
        <w:tc>
          <w:tcPr>
            <w:tcW w:w="5400" w:type="dxa"/>
          </w:tcPr>
          <w:p w14:paraId="2D4BC504" w14:textId="77777777" w:rsidR="00E54BD6" w:rsidRPr="00053A2B" w:rsidRDefault="00E54BD6" w:rsidP="009D172D">
            <w:pPr>
              <w:pStyle w:val="ProductList-OfferingBody"/>
              <w:jc w:val="center"/>
              <w:rPr>
                <w:rFonts w:ascii="Calibri" w:hAnsi="Calibri" w:cs="Calibri"/>
                <w:szCs w:val="16"/>
              </w:rPr>
            </w:pPr>
            <w:r>
              <w:rPr>
                <w:rFonts w:ascii="Calibri" w:hAnsi="Calibri" w:cs="Calibri"/>
                <w:szCs w:val="16"/>
              </w:rPr>
              <w:t>10%</w:t>
            </w:r>
          </w:p>
        </w:tc>
      </w:tr>
      <w:tr w:rsidR="00E54BD6" w:rsidRPr="00B44CF9" w14:paraId="5692D66E" w14:textId="77777777" w:rsidTr="009D172D">
        <w:tc>
          <w:tcPr>
            <w:tcW w:w="5400" w:type="dxa"/>
          </w:tcPr>
          <w:p w14:paraId="69D62499" w14:textId="77777777" w:rsidR="00E54BD6" w:rsidRPr="00053A2B" w:rsidRDefault="00E54BD6" w:rsidP="009D172D">
            <w:pPr>
              <w:pStyle w:val="ProductList-OfferingBody"/>
              <w:jc w:val="center"/>
              <w:rPr>
                <w:rFonts w:ascii="Calibri" w:hAnsi="Calibri" w:cs="Calibri"/>
                <w:szCs w:val="16"/>
              </w:rPr>
            </w:pPr>
            <w:r>
              <w:rPr>
                <w:rFonts w:ascii="Calibri" w:hAnsi="Calibri" w:cs="Calibri"/>
                <w:szCs w:val="16"/>
              </w:rPr>
              <w:t>&lt; 99%</w:t>
            </w:r>
          </w:p>
        </w:tc>
        <w:tc>
          <w:tcPr>
            <w:tcW w:w="5400" w:type="dxa"/>
          </w:tcPr>
          <w:p w14:paraId="5746EA2E" w14:textId="77777777" w:rsidR="00E54BD6" w:rsidRPr="00053A2B" w:rsidRDefault="00E54BD6" w:rsidP="009D172D">
            <w:pPr>
              <w:pStyle w:val="ProductList-OfferingBody"/>
              <w:jc w:val="center"/>
              <w:rPr>
                <w:rFonts w:ascii="Calibri" w:hAnsi="Calibri" w:cs="Calibri"/>
                <w:szCs w:val="16"/>
              </w:rPr>
            </w:pPr>
            <w:r>
              <w:rPr>
                <w:rFonts w:ascii="Calibri" w:hAnsi="Calibri" w:cs="Calibri"/>
                <w:szCs w:val="16"/>
              </w:rPr>
              <w:t>25%</w:t>
            </w:r>
          </w:p>
        </w:tc>
      </w:tr>
    </w:tbl>
    <w:p w14:paraId="5A390D21" w14:textId="77777777" w:rsidR="00E54BD6" w:rsidRPr="00053A2B" w:rsidRDefault="00E54BD6" w:rsidP="00E54BD6">
      <w:pPr>
        <w:pStyle w:val="ProductList-Body"/>
        <w:spacing w:before="120"/>
        <w:rPr>
          <w:rFonts w:ascii="Calibri" w:hAnsi="Calibri" w:cs="Calibri"/>
          <w:b/>
          <w:bCs/>
          <w:color w:val="00188F"/>
        </w:rPr>
      </w:pPr>
      <w:r>
        <w:rPr>
          <w:rFonts w:ascii="Calibri" w:hAnsi="Calibri" w:cs="Calibri"/>
          <w:b/>
          <w:bCs/>
          <w:color w:val="00188F"/>
        </w:rPr>
        <w:t>Objetivo de Tempo de Recuperação e Níveis de Serviço para Ativação Pós-falha do Local para o Azure</w:t>
      </w:r>
    </w:p>
    <w:p w14:paraId="59B99CA7" w14:textId="77777777" w:rsidR="00E54BD6" w:rsidRPr="00053A2B" w:rsidRDefault="00E54BD6" w:rsidP="00E54BD6">
      <w:pPr>
        <w:pStyle w:val="ProductList-Body"/>
        <w:rPr>
          <w:rFonts w:ascii="Calibri" w:hAnsi="Calibri" w:cs="Calibri"/>
        </w:rPr>
      </w:pPr>
      <w:r>
        <w:rPr>
          <w:rFonts w:ascii="Calibri" w:hAnsi="Calibri" w:cs="Calibri"/>
        </w:rPr>
        <w:t>“</w:t>
      </w:r>
      <w:r>
        <w:rPr>
          <w:rFonts w:ascii="Calibri" w:hAnsi="Calibri" w:cs="Calibri"/>
          <w:b/>
          <w:color w:val="00188F"/>
        </w:rPr>
        <w:t>Objetivo de Tempo de Recuperação (RTO)</w:t>
      </w:r>
      <w:r>
        <w:rPr>
          <w:rFonts w:ascii="Calibri" w:hAnsi="Calibri" w:cs="Calibri"/>
        </w:rPr>
        <w:t>” designa o período de tempo que se inicia quando o Cliente inicia uma Ativação Pós-falha de uma Instância Protegida quando deteta uma falha planeada ou não planeada para a replicação do Local para o Azure até ao momento em que a Instância Protegida é executada como uma máquina virtual no Microsoft Azure, excluindo o tempo associado à ação manual ou execução dos scripts do Cliente.</w:t>
      </w:r>
    </w:p>
    <w:p w14:paraId="40BBA190" w14:textId="77777777" w:rsidR="00E54BD6" w:rsidRPr="0018346E" w:rsidRDefault="00E54BD6" w:rsidP="00E54BD6">
      <w:pPr>
        <w:pStyle w:val="ProductList-Body"/>
        <w:rPr>
          <w:rFonts w:ascii="Calibri" w:hAnsi="Calibri" w:cs="Calibri"/>
        </w:rPr>
      </w:pPr>
      <w:r>
        <w:rPr>
          <w:rFonts w:ascii="Calibri" w:hAnsi="Calibri" w:cs="Calibri"/>
        </w:rPr>
        <w:t>“</w:t>
      </w:r>
      <w:r>
        <w:rPr>
          <w:rFonts w:ascii="Calibri" w:hAnsi="Calibri" w:cs="Calibri"/>
          <w:b/>
          <w:color w:val="00188F"/>
        </w:rPr>
        <w:t>Objetivo de Tempo de Recuperação</w:t>
      </w:r>
      <w:r>
        <w:rPr>
          <w:rFonts w:ascii="Calibri" w:hAnsi="Calibri" w:cs="Calibri"/>
        </w:rPr>
        <w:t>”</w:t>
      </w:r>
      <w:r w:rsidRPr="00860AE1">
        <w:rPr>
          <w:rFonts w:ascii="Calibri" w:hAnsi="Calibri" w:cs="Calibri"/>
          <w:b/>
          <w:bCs/>
        </w:rPr>
        <w:t>:</w:t>
      </w:r>
      <w:r>
        <w:rPr>
          <w:rFonts w:ascii="Calibri" w:hAnsi="Calibri" w:cs="Calibri"/>
        </w:rPr>
        <w:t xml:space="preserve"> Para uma Instância Protegida específica configurada para a replicação Local para o Azure num determinado Período Aplicável é de uma hora.</w:t>
      </w:r>
    </w:p>
    <w:p w14:paraId="7931E48E" w14:textId="77777777" w:rsidR="00E54BD6" w:rsidRPr="00053A2B" w:rsidRDefault="00E54BD6" w:rsidP="00E54BD6">
      <w:pPr>
        <w:pStyle w:val="ProductList-Body"/>
        <w:rPr>
          <w:rFonts w:ascii="Calibri" w:hAnsi="Calibri" w:cs="Calibri"/>
          <w:b/>
          <w:color w:val="00188F"/>
          <w:sz w:val="12"/>
          <w:szCs w:val="12"/>
        </w:rPr>
      </w:pPr>
    </w:p>
    <w:p w14:paraId="0A1A1439" w14:textId="77777777" w:rsidR="00E54BD6" w:rsidRPr="00053A2B" w:rsidRDefault="00E54BD6" w:rsidP="00E54BD6">
      <w:pPr>
        <w:pStyle w:val="ProductList-Body"/>
        <w:rPr>
          <w:rFonts w:ascii="Calibri" w:hAnsi="Calibri" w:cs="Calibri"/>
        </w:rPr>
      </w:pPr>
      <w:r>
        <w:rPr>
          <w:rFonts w:ascii="Calibri" w:hAnsi="Calibri" w:cs="Calibri"/>
          <w:b/>
          <w:color w:val="00188F"/>
        </w:rPr>
        <w:t>Os seguintes Níveis de Serviço e Créditos de Serviço são aplicáveis à utilização, por parte do Cliente, de cada Instância Protegida no Serviço Site Recovery para Ativação Pós-falha do Local para o Azure</w:t>
      </w:r>
      <w:r w:rsidRPr="00560BE8">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54BD6" w:rsidRPr="00B44CF9" w14:paraId="5D54C5D9" w14:textId="77777777" w:rsidTr="009D172D">
        <w:trPr>
          <w:tblHeader/>
        </w:trPr>
        <w:tc>
          <w:tcPr>
            <w:tcW w:w="5400" w:type="dxa"/>
            <w:shd w:val="clear" w:color="auto" w:fill="0072C6"/>
          </w:tcPr>
          <w:p w14:paraId="25869345" w14:textId="77777777" w:rsidR="00E54BD6" w:rsidRPr="00EF7CF9" w:rsidRDefault="00E54BD6" w:rsidP="009D172D">
            <w:pPr>
              <w:pStyle w:val="ProductList-OfferingBody"/>
              <w:jc w:val="center"/>
              <w:rPr>
                <w:color w:val="FFFFFF" w:themeColor="background1"/>
              </w:rPr>
            </w:pPr>
            <w:r>
              <w:rPr>
                <w:color w:val="FFFFFF" w:themeColor="background1"/>
              </w:rPr>
              <w:t>Objetivo de Tempo de Recuperação</w:t>
            </w:r>
          </w:p>
        </w:tc>
        <w:tc>
          <w:tcPr>
            <w:tcW w:w="5400" w:type="dxa"/>
            <w:shd w:val="clear" w:color="auto" w:fill="0072C6"/>
          </w:tcPr>
          <w:p w14:paraId="36CC7943" w14:textId="77777777" w:rsidR="00E54BD6" w:rsidRPr="00EF7CF9" w:rsidRDefault="00E54BD6" w:rsidP="009D172D">
            <w:pPr>
              <w:pStyle w:val="ProductList-OfferingBody"/>
              <w:jc w:val="center"/>
              <w:rPr>
                <w:color w:val="FFFFFF" w:themeColor="background1"/>
              </w:rPr>
            </w:pPr>
            <w:r>
              <w:rPr>
                <w:color w:val="FFFFFF" w:themeColor="background1"/>
              </w:rPr>
              <w:t>Crédito de Serviço</w:t>
            </w:r>
          </w:p>
        </w:tc>
      </w:tr>
      <w:tr w:rsidR="00E54BD6" w:rsidRPr="00B44CF9" w14:paraId="4882952F" w14:textId="77777777" w:rsidTr="009D172D">
        <w:tc>
          <w:tcPr>
            <w:tcW w:w="5400" w:type="dxa"/>
          </w:tcPr>
          <w:p w14:paraId="1836ECC0" w14:textId="77777777" w:rsidR="00E54BD6" w:rsidRPr="00053A2B" w:rsidRDefault="00E54BD6" w:rsidP="009D172D">
            <w:pPr>
              <w:pStyle w:val="ProductList-OfferingBody"/>
              <w:jc w:val="center"/>
              <w:rPr>
                <w:rFonts w:ascii="Calibri" w:hAnsi="Calibri" w:cs="Calibri"/>
                <w:szCs w:val="16"/>
              </w:rPr>
            </w:pPr>
            <w:r>
              <w:rPr>
                <w:rFonts w:ascii="Calibri" w:hAnsi="Calibri" w:cs="Calibri"/>
                <w:szCs w:val="16"/>
              </w:rPr>
              <w:t>&gt; 1 hora</w:t>
            </w:r>
          </w:p>
        </w:tc>
        <w:tc>
          <w:tcPr>
            <w:tcW w:w="5400" w:type="dxa"/>
          </w:tcPr>
          <w:p w14:paraId="0E255034" w14:textId="77777777" w:rsidR="00E54BD6" w:rsidRPr="00053A2B" w:rsidRDefault="00E54BD6" w:rsidP="009D172D">
            <w:pPr>
              <w:pStyle w:val="ProductList-OfferingBody"/>
              <w:jc w:val="center"/>
              <w:rPr>
                <w:rFonts w:ascii="Calibri" w:hAnsi="Calibri" w:cs="Calibri"/>
                <w:szCs w:val="16"/>
              </w:rPr>
            </w:pPr>
            <w:r>
              <w:rPr>
                <w:rFonts w:ascii="Calibri" w:hAnsi="Calibri" w:cs="Calibri"/>
                <w:szCs w:val="16"/>
              </w:rPr>
              <w:t>100%</w:t>
            </w:r>
          </w:p>
        </w:tc>
      </w:tr>
    </w:tbl>
    <w:p w14:paraId="54A2120D" w14:textId="77777777" w:rsidR="00E54BD6" w:rsidRPr="007E0001" w:rsidRDefault="00E54BD6" w:rsidP="00E54BD6">
      <w:pPr>
        <w:pStyle w:val="ProductList-Body"/>
        <w:spacing w:before="120"/>
        <w:rPr>
          <w:rFonts w:ascii="Calibri" w:hAnsi="Calibri" w:cs="Calibri"/>
          <w:b/>
          <w:bCs/>
          <w:color w:val="00188F"/>
          <w:szCs w:val="18"/>
        </w:rPr>
      </w:pPr>
      <w:r w:rsidRPr="007E0001">
        <w:rPr>
          <w:rFonts w:ascii="Calibri" w:hAnsi="Calibri" w:cs="Calibri"/>
          <w:b/>
          <w:bCs/>
          <w:color w:val="00188F"/>
          <w:szCs w:val="18"/>
        </w:rPr>
        <w:t>Objetivo de Tempo de Recuperação e Níveis de Serviço para Ativação Pós-falha do Azure para Azure</w:t>
      </w:r>
    </w:p>
    <w:p w14:paraId="689B5EBA" w14:textId="77777777" w:rsidR="00E54BD6" w:rsidRPr="007E0001" w:rsidRDefault="00E54BD6" w:rsidP="00E54BD6">
      <w:pPr>
        <w:pStyle w:val="ProductList-Body"/>
        <w:rPr>
          <w:rFonts w:ascii="Calibri" w:hAnsi="Calibri" w:cs="Calibri"/>
          <w:szCs w:val="18"/>
        </w:rPr>
      </w:pPr>
      <w:r w:rsidRPr="007E0001">
        <w:rPr>
          <w:rFonts w:ascii="Calibri" w:hAnsi="Calibri" w:cs="Calibri"/>
          <w:bCs/>
          <w:szCs w:val="18"/>
        </w:rPr>
        <w:lastRenderedPageBreak/>
        <w:t>“</w:t>
      </w:r>
      <w:r w:rsidRPr="007E0001">
        <w:rPr>
          <w:rFonts w:ascii="Calibri" w:hAnsi="Calibri" w:cs="Calibri"/>
          <w:b/>
          <w:bCs/>
          <w:color w:val="00188F"/>
          <w:szCs w:val="18"/>
        </w:rPr>
        <w:t>Objetivo de Tempo de Recuperação (RTO)</w:t>
      </w:r>
      <w:r w:rsidRPr="007E0001">
        <w:rPr>
          <w:rFonts w:ascii="Calibri" w:hAnsi="Calibri" w:cs="Calibri"/>
          <w:szCs w:val="18"/>
        </w:rPr>
        <w:t>”</w:t>
      </w:r>
      <w:r w:rsidRPr="007E0001">
        <w:rPr>
          <w:rFonts w:ascii="Calibri" w:hAnsi="Calibri" w:cs="Calibri"/>
          <w:color w:val="00188F"/>
          <w:szCs w:val="18"/>
        </w:rPr>
        <w:t xml:space="preserve"> </w:t>
      </w:r>
      <w:r w:rsidRPr="007E0001">
        <w:rPr>
          <w:rFonts w:ascii="Calibri" w:hAnsi="Calibri" w:cs="Calibri"/>
          <w:szCs w:val="18"/>
        </w:rPr>
        <w:t>designa o período de tempo que se inicia quando o Cliente inicia uma Ativação Pós-falha de uma Instância Protegida para a replicação Azure para Azure até ao momento em que a Instância Protegida é executada como uma máquina virtual na região do Azure secundária, excluindo o tempo associado à ação manual ou à execução dos scripts do Cliente.</w:t>
      </w:r>
    </w:p>
    <w:p w14:paraId="2B8DF5E4" w14:textId="77777777" w:rsidR="00E54BD6" w:rsidRPr="007E0001" w:rsidRDefault="00E54BD6" w:rsidP="00E54BD6">
      <w:pPr>
        <w:spacing w:after="120" w:line="240" w:lineRule="auto"/>
        <w:rPr>
          <w:rFonts w:ascii="Calibri" w:hAnsi="Calibri" w:cs="Calibri"/>
          <w:color w:val="00188F"/>
          <w:sz w:val="18"/>
          <w:szCs w:val="18"/>
        </w:rPr>
      </w:pPr>
      <w:r w:rsidRPr="007E0001">
        <w:rPr>
          <w:rFonts w:ascii="Calibri" w:hAnsi="Calibri" w:cs="Calibri"/>
          <w:sz w:val="18"/>
          <w:szCs w:val="18"/>
        </w:rPr>
        <w:t>O “</w:t>
      </w:r>
      <w:r w:rsidRPr="007E0001">
        <w:rPr>
          <w:rFonts w:ascii="Calibri" w:hAnsi="Calibri" w:cs="Calibri"/>
          <w:b/>
          <w:bCs/>
          <w:color w:val="00188F"/>
          <w:sz w:val="18"/>
          <w:szCs w:val="18"/>
        </w:rPr>
        <w:t>Objetivo de Tempo de Recuperação</w:t>
      </w:r>
      <w:r w:rsidRPr="007E0001">
        <w:rPr>
          <w:rFonts w:ascii="Calibri" w:hAnsi="Calibri" w:cs="Calibri"/>
          <w:sz w:val="18"/>
          <w:szCs w:val="18"/>
        </w:rPr>
        <w:t>”</w:t>
      </w:r>
      <w:r w:rsidRPr="007E0001">
        <w:rPr>
          <w:rFonts w:ascii="Calibri" w:hAnsi="Calibri" w:cs="Calibri"/>
          <w:b/>
          <w:color w:val="00188F"/>
          <w:sz w:val="18"/>
          <w:szCs w:val="18"/>
        </w:rPr>
        <w:t xml:space="preserve"> </w:t>
      </w:r>
      <w:r w:rsidRPr="007E0001">
        <w:rPr>
          <w:rFonts w:ascii="Calibri" w:hAnsi="Calibri" w:cs="Calibri"/>
          <w:sz w:val="18"/>
          <w:szCs w:val="18"/>
        </w:rPr>
        <w:t>para uma Instância Protegida específica configurada para a replicação Azure para Azure num determinado Período Aplicável é de 1 hora.</w:t>
      </w:r>
    </w:p>
    <w:p w14:paraId="001EEA06" w14:textId="77777777" w:rsidR="00E54BD6" w:rsidRPr="007E0001" w:rsidRDefault="00E54BD6" w:rsidP="00E54BD6">
      <w:pPr>
        <w:pStyle w:val="ProductList-Body"/>
        <w:rPr>
          <w:rFonts w:ascii="Calibri" w:hAnsi="Calibri" w:cs="Calibri"/>
          <w:szCs w:val="18"/>
        </w:rPr>
      </w:pPr>
      <w:r w:rsidRPr="007E0001">
        <w:rPr>
          <w:rFonts w:ascii="Calibri" w:hAnsi="Calibri" w:cs="Calibri"/>
          <w:b/>
          <w:color w:val="00188F"/>
          <w:szCs w:val="18"/>
        </w:rPr>
        <w:t>Os seguintes Níveis de Serviço e Créditos de Serviço são aplicáveis à utilização que o Cliente faz de cada Instância Protegida no Serviço Site Recovery para Ativação Pós-falha do Azure para Azure</w:t>
      </w:r>
      <w:r w:rsidRPr="00B711B4">
        <w:rPr>
          <w:rFonts w:ascii="Calibri" w:hAnsi="Calibri" w:cs="Calibri"/>
          <w:b/>
          <w:bCs/>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54BD6" w14:paraId="02276382"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D049284" w14:textId="77777777" w:rsidR="00E54BD6" w:rsidRPr="00053A2B" w:rsidRDefault="00E54BD6"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Objetivo de Tempo de Recuperação</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3759D7B" w14:textId="77777777" w:rsidR="00E54BD6" w:rsidRPr="00053A2B" w:rsidRDefault="00E54BD6"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Crédito de Serviço</w:t>
            </w:r>
          </w:p>
        </w:tc>
      </w:tr>
      <w:tr w:rsidR="00E54BD6" w14:paraId="17E634C7"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213464" w14:textId="77777777" w:rsidR="00E54BD6" w:rsidRPr="00053A2B" w:rsidRDefault="00E54BD6" w:rsidP="009D172D">
            <w:pPr>
              <w:pStyle w:val="ProductList-OfferingBody"/>
              <w:spacing w:line="254" w:lineRule="auto"/>
              <w:jc w:val="center"/>
              <w:rPr>
                <w:rFonts w:ascii="Calibri" w:hAnsi="Calibri" w:cs="Calibri"/>
                <w:szCs w:val="16"/>
              </w:rPr>
            </w:pPr>
            <w:r>
              <w:rPr>
                <w:rFonts w:ascii="Calibri" w:hAnsi="Calibri" w:cs="Calibri"/>
                <w:szCs w:val="16"/>
              </w:rPr>
              <w:t>&gt; 1 hora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3A2B7" w14:textId="77777777" w:rsidR="00E54BD6" w:rsidRPr="00053A2B" w:rsidRDefault="00E54BD6" w:rsidP="009D172D">
            <w:pPr>
              <w:pStyle w:val="ProductList-OfferingBody"/>
              <w:spacing w:line="254" w:lineRule="auto"/>
              <w:jc w:val="center"/>
              <w:rPr>
                <w:rFonts w:ascii="Calibri" w:hAnsi="Calibri" w:cs="Calibri"/>
                <w:szCs w:val="16"/>
              </w:rPr>
            </w:pPr>
            <w:r>
              <w:rPr>
                <w:rFonts w:ascii="Calibri" w:hAnsi="Calibri" w:cs="Calibri"/>
                <w:szCs w:val="16"/>
              </w:rPr>
              <w:t>100%</w:t>
            </w:r>
          </w:p>
        </w:tc>
      </w:tr>
    </w:tbl>
    <w:p w14:paraId="75837827" w14:textId="77777777" w:rsidR="00E54BD6" w:rsidRPr="00053A2B" w:rsidRDefault="00E54BD6" w:rsidP="00E81B38">
      <w:pPr>
        <w:spacing w:before="120" w:after="0" w:line="240" w:lineRule="auto"/>
        <w:rPr>
          <w:rFonts w:ascii="Calibri" w:hAnsi="Calibri" w:cs="Calibri"/>
          <w:sz w:val="18"/>
          <w:szCs w:val="18"/>
        </w:rPr>
      </w:pPr>
      <w:r>
        <w:rPr>
          <w:rFonts w:ascii="Calibri" w:hAnsi="Calibri" w:cs="Calibri"/>
          <w:b/>
          <w:bCs/>
          <w:color w:val="00188F"/>
          <w:sz w:val="18"/>
          <w:szCs w:val="18"/>
        </w:rPr>
        <w:t>Nota:</w:t>
      </w:r>
      <w:r>
        <w:rPr>
          <w:rFonts w:ascii="Calibri" w:hAnsi="Calibri" w:cs="Calibri"/>
          <w:sz w:val="18"/>
          <w:szCs w:val="18"/>
        </w:rPr>
        <w:t xml:space="preserve"> Os créditos de serviço por falha da ativação pós-falha não serão aplicáveis se a capacidade de computação na região secundária não estiver disponível.</w:t>
      </w:r>
    </w:p>
    <w:p w14:paraId="43689F8D"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7748417" w14:textId="77777777" w:rsidR="004F034D" w:rsidRPr="004F034D" w:rsidRDefault="004F034D" w:rsidP="00F01ED6">
      <w:pPr>
        <w:pStyle w:val="ProductList-Offering2Heading"/>
        <w:keepNext/>
        <w:tabs>
          <w:tab w:val="clear" w:pos="360"/>
          <w:tab w:val="clear" w:pos="720"/>
          <w:tab w:val="clear" w:pos="1080"/>
        </w:tabs>
        <w:outlineLvl w:val="2"/>
      </w:pPr>
      <w:bookmarkStart w:id="389" w:name="_Toc239176528"/>
      <w:r>
        <w:t>Spatial Anchors</w:t>
      </w:r>
      <w:bookmarkEnd w:id="389"/>
    </w:p>
    <w:p w14:paraId="0BFC321D" w14:textId="77777777" w:rsidR="004F034D" w:rsidRPr="00405BA5" w:rsidRDefault="004F034D" w:rsidP="00F01ED6">
      <w:pPr>
        <w:pStyle w:val="ProductList-Body"/>
        <w:keepNext/>
        <w:rPr>
          <w:b/>
          <w:bCs/>
          <w:color w:val="00188F"/>
        </w:rPr>
      </w:pPr>
      <w:r>
        <w:rPr>
          <w:b/>
          <w:bCs/>
          <w:color w:val="00188F"/>
        </w:rPr>
        <w:t>Definições Adicionais</w:t>
      </w:r>
    </w:p>
    <w:p w14:paraId="651B2826" w14:textId="4D8F7671" w:rsidR="004F034D" w:rsidRDefault="00380305" w:rsidP="00F01ED6">
      <w:pPr>
        <w:pStyle w:val="ProductList-Body"/>
      </w:pPr>
      <w:r>
        <w:t>“</w:t>
      </w:r>
      <w:r w:rsidR="004F034D">
        <w:rPr>
          <w:b/>
          <w:bCs/>
          <w:color w:val="00188F"/>
        </w:rPr>
        <w:t>Total de Tentativas de Transação</w:t>
      </w:r>
      <w:r>
        <w:t>”</w:t>
      </w:r>
      <w:r w:rsidR="004F034D">
        <w:t xml:space="preserve"> é o número total de pedidos de API autenticados em relação aos Azure Spatial Anchors feitos pelo Cliente durante um Período Aplicável para uma determinada API de Azure Spatial Anchors. O Total de Tentativas de Transação não inclui os pedidos de API que devolvem um Código de Erro e que são repetidos continuamente num intervalo de cinco minutos após a receção do primeiro Código de Erro.</w:t>
      </w:r>
    </w:p>
    <w:p w14:paraId="796CA674" w14:textId="6C28C700" w:rsidR="004F034D" w:rsidRDefault="00380305" w:rsidP="00F01ED6">
      <w:pPr>
        <w:pStyle w:val="ProductList-Body"/>
      </w:pPr>
      <w:r w:rsidRPr="00CB7596">
        <w:t>“</w:t>
      </w:r>
      <w:r w:rsidR="004F034D">
        <w:rPr>
          <w:b/>
          <w:bCs/>
          <w:color w:val="00188F"/>
        </w:rPr>
        <w:t>Transações com Falha</w:t>
      </w:r>
      <w:r w:rsidRPr="00CB7596">
        <w:t>”</w:t>
      </w:r>
      <w:r w:rsidR="004F034D">
        <w:t xml:space="preserve"> é o conjunto de todos os pedidos para a API de Azure Spatial Anchors no Total de Tentativas de Transação que devolve um Código de Erro.</w:t>
      </w:r>
    </w:p>
    <w:p w14:paraId="5DEAF8F5" w14:textId="33CFCAAA" w:rsidR="004F034D" w:rsidRPr="001012EB" w:rsidRDefault="00EE6E3C" w:rsidP="00F01ED6">
      <w:pPr>
        <w:pStyle w:val="ProductList-Body"/>
        <w:keepNext/>
        <w:rPr>
          <w:b/>
          <w:bCs/>
          <w:color w:val="00188F"/>
        </w:rPr>
      </w:pPr>
      <w:r>
        <w:rPr>
          <w:b/>
          <w:bCs/>
          <w:color w:val="00188F"/>
        </w:rPr>
        <w:t>Cálculo do Período de Disponibilidade</w:t>
      </w:r>
    </w:p>
    <w:p w14:paraId="1A5DAFF7" w14:textId="21A8B03C" w:rsidR="004F034D" w:rsidRDefault="004F034D" w:rsidP="00F01ED6">
      <w:pPr>
        <w:pStyle w:val="ProductList-Body"/>
      </w:pPr>
      <w:r>
        <w:t xml:space="preserve">A </w:t>
      </w:r>
      <w:r w:rsidR="00380305">
        <w:t>“</w:t>
      </w:r>
      <w:r>
        <w:rPr>
          <w:b/>
          <w:bCs/>
          <w:color w:val="00188F"/>
        </w:rPr>
        <w:t>Percentagem de Período de Disponibilidade</w:t>
      </w:r>
      <w:r w:rsidR="00380305">
        <w:t>”</w:t>
      </w:r>
      <w:r>
        <w:t xml:space="preserve"> para os Azure Spatial Anchors é calculada como o Total de Tentativas de Transação menos as Transações com Falha a dividir pelo Total de Tentativas de Transação num Período Aplicável para uma determinada subscrição do Microsoft Azure. A Percentagem de Período de Disponibilidade é representada pela seguinte fórmula:</w:t>
      </w:r>
    </w:p>
    <w:p w14:paraId="02BCFA38" w14:textId="3EE7BAA7" w:rsidR="00F21F65" w:rsidRPr="00EF7CF9" w:rsidRDefault="00000000" w:rsidP="00D3580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Tentativas de Transação - Transações com Falha</m:t>
              </m:r>
            </m:num>
            <m:den>
              <m:r>
                <m:rPr>
                  <m:nor/>
                </m:rPr>
                <w:rPr>
                  <w:rFonts w:ascii="Cambria Math" w:hAnsi="Cambria Math" w:cs="Tahoma"/>
                  <w:i/>
                  <w:iCs/>
                  <w:color w:val="000000" w:themeColor="text1"/>
                  <w:sz w:val="18"/>
                  <w:szCs w:val="18"/>
                </w:rPr>
                <m:t>Total de Tentativas de Transação</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F01ED6">
      <w:pPr>
        <w:pStyle w:val="ProductList-Body"/>
        <w:rPr>
          <w:b/>
          <w:bCs/>
          <w:color w:val="00188F"/>
        </w:rPr>
      </w:pPr>
      <w:r>
        <w:rPr>
          <w:b/>
          <w:bCs/>
          <w:color w:val="00188F"/>
        </w:rPr>
        <w:t>Os seguintes Níveis de Serviço e Créditos de Serviço são aplicáveis às API de Azure Spatial Anchors: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FF80F05" w14:textId="77777777" w:rsidR="005C638F" w:rsidRPr="00EF7CF9" w:rsidRDefault="005C638F" w:rsidP="00F01ED6">
            <w:pPr>
              <w:pStyle w:val="ProductList-OfferingBody"/>
              <w:jc w:val="center"/>
              <w:rPr>
                <w:color w:val="FFFFFF" w:themeColor="background1"/>
              </w:rPr>
            </w:pPr>
            <w:r>
              <w:rPr>
                <w:color w:val="FFFFFF" w:themeColor="background1"/>
              </w:rPr>
              <w:t>Crédito de Serviço</w:t>
            </w:r>
          </w:p>
        </w:tc>
      </w:tr>
      <w:tr w:rsidR="005C638F" w:rsidRPr="00B44CF9" w14:paraId="1100463E" w14:textId="77777777" w:rsidTr="00277097">
        <w:tc>
          <w:tcPr>
            <w:tcW w:w="5400" w:type="dxa"/>
          </w:tcPr>
          <w:p w14:paraId="7EB7FC53" w14:textId="77777777" w:rsidR="005C638F" w:rsidRPr="00EF7CF9" w:rsidRDefault="005C638F" w:rsidP="00F01ED6">
            <w:pPr>
              <w:pStyle w:val="ProductList-OfferingBody"/>
              <w:jc w:val="center"/>
            </w:pPr>
            <w:r>
              <w:t>&lt; 99,9%</w:t>
            </w:r>
          </w:p>
        </w:tc>
        <w:tc>
          <w:tcPr>
            <w:tcW w:w="5400" w:type="dxa"/>
          </w:tcPr>
          <w:p w14:paraId="7357F934" w14:textId="77777777" w:rsidR="005C638F" w:rsidRPr="00EF7CF9" w:rsidRDefault="005C638F" w:rsidP="00F01ED6">
            <w:pPr>
              <w:pStyle w:val="ProductList-OfferingBody"/>
              <w:jc w:val="center"/>
            </w:pPr>
            <w:r>
              <w:t>10%</w:t>
            </w:r>
          </w:p>
        </w:tc>
      </w:tr>
      <w:tr w:rsidR="005C638F" w:rsidRPr="00B44CF9" w14:paraId="4DC15696" w14:textId="77777777" w:rsidTr="00277097">
        <w:tc>
          <w:tcPr>
            <w:tcW w:w="5400" w:type="dxa"/>
          </w:tcPr>
          <w:p w14:paraId="52935FDC" w14:textId="77777777" w:rsidR="005C638F" w:rsidRPr="00EF7CF9" w:rsidRDefault="005C638F" w:rsidP="00F01ED6">
            <w:pPr>
              <w:pStyle w:val="ProductList-OfferingBody"/>
              <w:jc w:val="center"/>
            </w:pPr>
            <w:r>
              <w:t>&lt; 99%</w:t>
            </w:r>
          </w:p>
        </w:tc>
        <w:tc>
          <w:tcPr>
            <w:tcW w:w="5400" w:type="dxa"/>
          </w:tcPr>
          <w:p w14:paraId="7AD1629F" w14:textId="77777777" w:rsidR="005C638F" w:rsidRPr="00EF7CF9" w:rsidRDefault="005C638F" w:rsidP="00F01ED6">
            <w:pPr>
              <w:pStyle w:val="ProductList-OfferingBody"/>
              <w:jc w:val="center"/>
            </w:pPr>
            <w:r>
              <w:t>25%</w:t>
            </w:r>
          </w:p>
        </w:tc>
      </w:tr>
    </w:tbl>
    <w:p w14:paraId="11A28583"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0D3B8C1" w14:textId="3359FF99" w:rsidR="004731F2" w:rsidRPr="004731F2" w:rsidRDefault="004731F2" w:rsidP="003E44BF">
      <w:pPr>
        <w:pStyle w:val="ProductList-Offering2Heading"/>
        <w:keepNext/>
        <w:tabs>
          <w:tab w:val="clear" w:pos="360"/>
          <w:tab w:val="clear" w:pos="720"/>
          <w:tab w:val="clear" w:pos="1080"/>
        </w:tabs>
        <w:outlineLvl w:val="2"/>
      </w:pPr>
      <w:bookmarkStart w:id="390" w:name="_Toc239176529"/>
      <w:r>
        <w:t>Azure Spring Apps</w:t>
      </w:r>
      <w:bookmarkEnd w:id="390"/>
    </w:p>
    <w:p w14:paraId="0563B350" w14:textId="77777777" w:rsidR="004731F2" w:rsidRPr="004731F2" w:rsidRDefault="004731F2" w:rsidP="00F01ED6">
      <w:pPr>
        <w:pStyle w:val="ProductList-Body"/>
        <w:rPr>
          <w:b/>
          <w:bCs/>
          <w:color w:val="00188F"/>
        </w:rPr>
      </w:pPr>
      <w:r>
        <w:rPr>
          <w:b/>
          <w:bCs/>
          <w:color w:val="00188F"/>
        </w:rPr>
        <w:t>Definições Adicionais</w:t>
      </w:r>
    </w:p>
    <w:p w14:paraId="5CE2A674" w14:textId="00CA5FE9" w:rsidR="004731F2" w:rsidRDefault="00380305" w:rsidP="00F01ED6">
      <w:pPr>
        <w:pStyle w:val="ProductList-Body"/>
      </w:pPr>
      <w:r>
        <w:t>“</w:t>
      </w:r>
      <w:r w:rsidR="004731F2">
        <w:rPr>
          <w:b/>
          <w:bCs/>
          <w:color w:val="00188F"/>
        </w:rPr>
        <w:t>Aplicação</w:t>
      </w:r>
      <w:r>
        <w:t>”</w:t>
      </w:r>
      <w:r w:rsidR="004731F2">
        <w:t xml:space="preserve"> é uma Aplicação do Spring Boot implementada pelo Cliente no Azure Spring Apps. Excluindo as Aplicações na Camada Basic.</w:t>
      </w:r>
    </w:p>
    <w:p w14:paraId="10973B28" w14:textId="6CE4C804" w:rsidR="004731F2" w:rsidRDefault="00380305" w:rsidP="00F01ED6">
      <w:pPr>
        <w:pStyle w:val="ProductList-Body"/>
      </w:pPr>
      <w:r>
        <w:t>“</w:t>
      </w:r>
      <w:r w:rsidR="004731F2">
        <w:rPr>
          <w:b/>
          <w:bCs/>
          <w:color w:val="00188F"/>
        </w:rPr>
        <w:t>Runtime do Serviço Spring Apps</w:t>
      </w:r>
      <w:r>
        <w:t>”</w:t>
      </w:r>
      <w:r w:rsidR="004731F2">
        <w:t xml:space="preserve"> é uma coleção de componentes do Spring Apps (por exemplo, Spring Apps Config Server, Spring Apps Registry) alojada pela Microsoft.</w:t>
      </w:r>
    </w:p>
    <w:p w14:paraId="6C47BC19" w14:textId="7BA2076C" w:rsidR="004731F2" w:rsidRPr="004731F2" w:rsidRDefault="00EE6E3C" w:rsidP="00F01ED6">
      <w:pPr>
        <w:pStyle w:val="ProductList-Body"/>
        <w:spacing w:before="120"/>
        <w:rPr>
          <w:b/>
          <w:bCs/>
          <w:color w:val="00188F"/>
        </w:rPr>
      </w:pPr>
      <w:r>
        <w:rPr>
          <w:b/>
          <w:bCs/>
          <w:color w:val="00188F"/>
        </w:rPr>
        <w:t>Cálculo do Período de Disponibilidade e Níveis de Serviço para o Azure Spring Apps</w:t>
      </w:r>
    </w:p>
    <w:p w14:paraId="17080AFD" w14:textId="7ED6F6CB" w:rsidR="004731F2" w:rsidRDefault="00380305" w:rsidP="00F01ED6">
      <w:pPr>
        <w:pStyle w:val="ProductList-Body"/>
      </w:pPr>
      <w:r>
        <w:t>“</w:t>
      </w:r>
      <w:r w:rsidR="004731F2">
        <w:rPr>
          <w:b/>
          <w:bCs/>
          <w:color w:val="00188F"/>
        </w:rPr>
        <w:t>Minutos de Implementação</w:t>
      </w:r>
      <w:r>
        <w:t>”</w:t>
      </w:r>
      <w:r w:rsidR="004731F2">
        <w:t xml:space="preserve"> designa o número total de minutos durante os quais uma determinada Aplicação foi definida para ser executada no</w:t>
      </w:r>
      <w:r w:rsidR="00EB3633">
        <w:t> </w:t>
      </w:r>
      <w:r w:rsidR="004731F2">
        <w:t>Microsoft Azure durante um Período Aplicável. Os Minutos de Implementação são calculados a partir do momento em que a Aplicação foi criada</w:t>
      </w:r>
      <w:r w:rsidR="00EB3633">
        <w:t> </w:t>
      </w:r>
      <w:r w:rsidR="004731F2">
        <w:t>ou o Cliente iniciou uma ação que resultaria na execução da Aplicação até ao momento em que o Cliente iniciou uma ação que resultaria na</w:t>
      </w:r>
      <w:r w:rsidR="00EB3633">
        <w:t> </w:t>
      </w:r>
      <w:r w:rsidR="004731F2">
        <w:t>interrupção ou eliminação da Aplicação.</w:t>
      </w:r>
    </w:p>
    <w:p w14:paraId="7ADA867F" w14:textId="38A71791" w:rsidR="004731F2" w:rsidRDefault="00380305" w:rsidP="00F01ED6">
      <w:pPr>
        <w:pStyle w:val="ProductList-Body"/>
      </w:pPr>
      <w:r>
        <w:t>“</w:t>
      </w:r>
      <w:r w:rsidR="004731F2">
        <w:rPr>
          <w:b/>
          <w:bCs/>
          <w:color w:val="00188F"/>
        </w:rPr>
        <w:t>Máximo de Minutos Disponíveis</w:t>
      </w:r>
      <w:r>
        <w:t>”</w:t>
      </w:r>
      <w:r w:rsidR="004731F2">
        <w:t xml:space="preserve"> designa a soma de todos os Minutos de Implementação em todas as Aplicações implementadas pelo Cliente numa determinada subscrição do Microsoft Azure durante um Período Aplicável.</w:t>
      </w:r>
    </w:p>
    <w:p w14:paraId="78D8D718" w14:textId="5E04B5DC" w:rsidR="004731F2" w:rsidRDefault="00380305" w:rsidP="00F01ED6">
      <w:pPr>
        <w:pStyle w:val="ProductList-Body"/>
      </w:pPr>
      <w:r>
        <w:t>“</w:t>
      </w:r>
      <w:r w:rsidR="004731F2">
        <w:rPr>
          <w:b/>
          <w:bCs/>
          <w:color w:val="00188F"/>
        </w:rPr>
        <w:t>Período de Indisponibilidade</w:t>
      </w:r>
      <w:r>
        <w:t>”</w:t>
      </w:r>
      <w:r w:rsidR="004731F2">
        <w:t xml:space="preserve"> designa a soma de todos os Minutos de Implementação, em todas as Aplicações implementadas pelo Cliente numa</w:t>
      </w:r>
      <w:r w:rsidR="00A67B21">
        <w:t> </w:t>
      </w:r>
      <w:r w:rsidR="004731F2">
        <w:t>determinada subscrição do Microsoft Azure, durante um Período Aplicável no qual a Aplicação está indisponível. Um minuto é considerado indisponível para uma determinada Aplicação se todas as tentativas contínuas para estabelecer ligação entre a Aplicação e o gateway de Internet da Microsoft, ou o Runtime do Serviço Azure Spring Service Runtime, nesse minuto resultar num Código de Erro ou não devolver um Código de Êxito num prazo de cinco minutos.</w:t>
      </w:r>
    </w:p>
    <w:p w14:paraId="480E1E8E" w14:textId="6D311FBD" w:rsidR="004731F2" w:rsidRDefault="00380305" w:rsidP="00F01ED6">
      <w:pPr>
        <w:pStyle w:val="ProductList-Body"/>
      </w:pPr>
      <w:r>
        <w:t>“</w:t>
      </w:r>
      <w:r w:rsidR="004731F2">
        <w:rPr>
          <w:b/>
          <w:bCs/>
          <w:color w:val="00188F"/>
        </w:rPr>
        <w:t>Percentagem de Período de Disponibilidade</w:t>
      </w:r>
      <w:r>
        <w:t>”</w:t>
      </w:r>
      <w:r w:rsidR="004731F2">
        <w:t xml:space="preserve"> A Percentagem de Período de Disponibilidade é calculada utilizando a seguinte fórmula:</w:t>
      </w:r>
    </w:p>
    <w:p w14:paraId="0ECF3A39" w14:textId="7E47185F" w:rsidR="004731F2" w:rsidRPr="00EF7CF9" w:rsidRDefault="00000000" w:rsidP="00D3580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8F62620" w14:textId="33C509D8" w:rsidR="004731F2" w:rsidRPr="004731F2" w:rsidRDefault="00DE237E" w:rsidP="00F01ED6">
      <w:pPr>
        <w:pStyle w:val="ProductList-Body"/>
        <w:rPr>
          <w:b/>
          <w:bCs/>
          <w:color w:val="00188F"/>
        </w:rPr>
      </w:pPr>
      <w:r>
        <w:rPr>
          <w:b/>
          <w:bCs/>
          <w:color w:val="00188F"/>
        </w:rPr>
        <w:t>Os seguintes Níveis de Serviço e Créditos de Serviço são aplicáveis à Camada Standard: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AEF3B8E" w14:textId="77777777" w:rsidR="004731F2" w:rsidRPr="00EF7CF9" w:rsidRDefault="004731F2" w:rsidP="00F01ED6">
            <w:pPr>
              <w:pStyle w:val="ProductList-OfferingBody"/>
              <w:jc w:val="center"/>
              <w:rPr>
                <w:color w:val="FFFFFF" w:themeColor="background1"/>
              </w:rPr>
            </w:pPr>
            <w:r>
              <w:rPr>
                <w:color w:val="FFFFFF" w:themeColor="background1"/>
              </w:rPr>
              <w:t>Crédito de Serviço</w:t>
            </w:r>
          </w:p>
        </w:tc>
      </w:tr>
      <w:tr w:rsidR="004731F2" w:rsidRPr="00B44CF9" w14:paraId="2CF31537" w14:textId="77777777" w:rsidTr="00277097">
        <w:tc>
          <w:tcPr>
            <w:tcW w:w="5400" w:type="dxa"/>
          </w:tcPr>
          <w:p w14:paraId="4B7534D4" w14:textId="77777777" w:rsidR="004731F2" w:rsidRPr="00EF7CF9" w:rsidRDefault="004731F2" w:rsidP="00F01ED6">
            <w:pPr>
              <w:pStyle w:val="ProductList-OfferingBody"/>
              <w:jc w:val="center"/>
            </w:pPr>
            <w:r>
              <w:t>&lt; 99,9%</w:t>
            </w:r>
          </w:p>
        </w:tc>
        <w:tc>
          <w:tcPr>
            <w:tcW w:w="5400" w:type="dxa"/>
          </w:tcPr>
          <w:p w14:paraId="6A78877F" w14:textId="77777777" w:rsidR="004731F2" w:rsidRPr="00EF7CF9" w:rsidRDefault="004731F2" w:rsidP="00F01ED6">
            <w:pPr>
              <w:pStyle w:val="ProductList-OfferingBody"/>
              <w:jc w:val="center"/>
            </w:pPr>
            <w:r>
              <w:t>10%</w:t>
            </w:r>
          </w:p>
        </w:tc>
      </w:tr>
      <w:tr w:rsidR="004731F2" w:rsidRPr="00B44CF9" w14:paraId="7531695E" w14:textId="77777777" w:rsidTr="00277097">
        <w:tc>
          <w:tcPr>
            <w:tcW w:w="5400" w:type="dxa"/>
          </w:tcPr>
          <w:p w14:paraId="04819F0C" w14:textId="77777777" w:rsidR="004731F2" w:rsidRPr="00EF7CF9" w:rsidRDefault="004731F2" w:rsidP="00F01ED6">
            <w:pPr>
              <w:pStyle w:val="ProductList-OfferingBody"/>
              <w:jc w:val="center"/>
            </w:pPr>
            <w:r>
              <w:t>&lt; 99%</w:t>
            </w:r>
          </w:p>
        </w:tc>
        <w:tc>
          <w:tcPr>
            <w:tcW w:w="5400" w:type="dxa"/>
          </w:tcPr>
          <w:p w14:paraId="7BBF4E72" w14:textId="77777777" w:rsidR="004731F2" w:rsidRPr="00EF7CF9" w:rsidRDefault="004731F2" w:rsidP="00F01ED6">
            <w:pPr>
              <w:pStyle w:val="ProductList-OfferingBody"/>
              <w:jc w:val="center"/>
            </w:pPr>
            <w:r>
              <w:t>25%</w:t>
            </w:r>
          </w:p>
        </w:tc>
      </w:tr>
    </w:tbl>
    <w:p w14:paraId="1785D4EF" w14:textId="7C09F61D" w:rsidR="002B686C" w:rsidRDefault="002B686C" w:rsidP="00F92EAF">
      <w:pPr>
        <w:pStyle w:val="ProductList-Body"/>
        <w:keepNext/>
        <w:spacing w:before="120"/>
        <w:rPr>
          <w:b/>
          <w:bCs/>
          <w:color w:val="00188F"/>
        </w:rPr>
      </w:pPr>
      <w:r>
        <w:rPr>
          <w:b/>
          <w:bCs/>
          <w:color w:val="00188F"/>
        </w:rPr>
        <w:t>Os seguintes Níveis de Serviço e Créditos de Serviço são aplicáveis à Camada Enterprise: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rsidP="00F01ED6">
            <w:pPr>
              <w:pStyle w:val="ProductList-OfferingBody"/>
              <w:jc w:val="center"/>
              <w:rPr>
                <w:color w:val="FFFFFF" w:themeColor="background1"/>
              </w:rPr>
            </w:pPr>
            <w:r>
              <w:rPr>
                <w:color w:val="FFFFFF" w:themeColor="background1"/>
              </w:rPr>
              <w:t>Crédito de Serviço</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rsidP="00F01ED6">
            <w:pPr>
              <w:pStyle w:val="ProductList-OfferingBody"/>
              <w:jc w:val="center"/>
            </w:pPr>
            <w: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rsidP="00F01ED6">
            <w:pPr>
              <w:pStyle w:val="ProductList-OfferingBody"/>
              <w:jc w:val="center"/>
            </w:pPr>
            <w:r>
              <w:t>10%</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rsidP="00F01ED6">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rsidP="00F01ED6">
            <w:pPr>
              <w:pStyle w:val="ProductList-OfferingBody"/>
              <w:jc w:val="center"/>
            </w:pPr>
            <w:r>
              <w:t>25%</w:t>
            </w:r>
          </w:p>
        </w:tc>
      </w:tr>
    </w:tbl>
    <w:bookmarkStart w:id="391" w:name="_Toc52348987"/>
    <w:p w14:paraId="2C79D364"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11E3AFFC" w14:textId="568364E6" w:rsidR="003D733D" w:rsidRPr="00EF7CF9" w:rsidRDefault="003D733D" w:rsidP="00F01ED6">
      <w:pPr>
        <w:pStyle w:val="ProductList-Offering2Heading"/>
        <w:tabs>
          <w:tab w:val="clear" w:pos="360"/>
          <w:tab w:val="clear" w:pos="720"/>
          <w:tab w:val="clear" w:pos="1080"/>
        </w:tabs>
        <w:outlineLvl w:val="2"/>
      </w:pPr>
      <w:bookmarkStart w:id="392" w:name="_Toc239176530"/>
      <w:r>
        <w:t>Base de Dados SQL do Azure</w:t>
      </w:r>
      <w:bookmarkEnd w:id="392"/>
      <w:r>
        <w:t xml:space="preserve"> </w:t>
      </w:r>
      <w:bookmarkEnd w:id="391"/>
    </w:p>
    <w:p w14:paraId="66E30F7E" w14:textId="77777777" w:rsidR="003D733D" w:rsidRPr="00EF7CF9" w:rsidRDefault="003D733D" w:rsidP="00F01ED6">
      <w:pPr>
        <w:pStyle w:val="ProductList-Body"/>
      </w:pPr>
      <w:r>
        <w:rPr>
          <w:b/>
          <w:color w:val="00188F"/>
        </w:rPr>
        <w:t>Definições Adicionais</w:t>
      </w:r>
      <w:r w:rsidRPr="00473DD3">
        <w:rPr>
          <w:b/>
          <w:color w:val="00188F"/>
        </w:rPr>
        <w:t>:</w:t>
      </w:r>
    </w:p>
    <w:p w14:paraId="2FD63069" w14:textId="721D552E" w:rsidR="003D733D" w:rsidRPr="00ED4527" w:rsidRDefault="00380305" w:rsidP="00F01ED6">
      <w:pPr>
        <w:pStyle w:val="ProductList-Body"/>
        <w:jc w:val="both"/>
        <w:rPr>
          <w:color w:val="000000" w:themeColor="text1"/>
        </w:rPr>
      </w:pPr>
      <w:r>
        <w:rPr>
          <w:color w:val="000000" w:themeColor="text1"/>
        </w:rPr>
        <w:t>“</w:t>
      </w:r>
      <w:r w:rsidR="003D733D">
        <w:rPr>
          <w:b/>
          <w:bCs/>
          <w:color w:val="00188F"/>
        </w:rPr>
        <w:t>Zona de Disponibilidade</w:t>
      </w:r>
      <w:r>
        <w:rPr>
          <w:color w:val="000000" w:themeColor="text1"/>
        </w:rPr>
        <w:t>”</w:t>
      </w:r>
      <w:r w:rsidR="003D733D">
        <w:rPr>
          <w:color w:val="000000" w:themeColor="text1"/>
        </w:rPr>
        <w:t xml:space="preserve"> designa uma área isolada de falhas numa região do Azure que providencia alimentação, refrigeração e rede redundantes.</w:t>
      </w:r>
    </w:p>
    <w:p w14:paraId="470C0B9A" w14:textId="3543563B" w:rsidR="003D733D" w:rsidRPr="00ED4527" w:rsidRDefault="00380305" w:rsidP="00F01ED6">
      <w:pPr>
        <w:pStyle w:val="ProductList-Body"/>
        <w:rPr>
          <w:color w:val="000000" w:themeColor="text1"/>
        </w:rPr>
      </w:pPr>
      <w:r>
        <w:rPr>
          <w:color w:val="000000" w:themeColor="text1"/>
        </w:rPr>
        <w:t>“</w:t>
      </w:r>
      <w:r w:rsidR="003D733D">
        <w:rPr>
          <w:b/>
          <w:bCs/>
          <w:color w:val="00188F"/>
        </w:rPr>
        <w:t>Base de dados</w:t>
      </w:r>
      <w:r>
        <w:rPr>
          <w:color w:val="000000" w:themeColor="text1"/>
        </w:rPr>
        <w:t>”</w:t>
      </w:r>
      <w:r w:rsidR="003D733D">
        <w:rPr>
          <w:color w:val="000000" w:themeColor="text1"/>
        </w:rPr>
        <w:t xml:space="preserve"> designa qualquer Base de Dados SQL do Microsoft Azure criada em qualquer um dos níveis de Serviço e implementada quer como uma base de dados individual ou num Conjunto Elástico.</w:t>
      </w:r>
    </w:p>
    <w:p w14:paraId="3425FC85" w14:textId="3B199AB2" w:rsidR="003D733D" w:rsidRPr="00ED4527" w:rsidRDefault="00380305" w:rsidP="00F01ED6">
      <w:pPr>
        <w:pStyle w:val="ProductList-Body"/>
        <w:rPr>
          <w:color w:val="000000" w:themeColor="text1"/>
        </w:rPr>
      </w:pPr>
      <w:r>
        <w:rPr>
          <w:color w:val="000000" w:themeColor="text1"/>
        </w:rPr>
        <w:t>“</w:t>
      </w:r>
      <w:r w:rsidR="003D733D">
        <w:rPr>
          <w:b/>
          <w:bCs/>
          <w:color w:val="00188F"/>
        </w:rPr>
        <w:t>Implementação Redundante por Zona</w:t>
      </w:r>
      <w:r>
        <w:rPr>
          <w:color w:val="000000" w:themeColor="text1"/>
        </w:rPr>
        <w:t>”</w:t>
      </w:r>
      <w:r w:rsidR="003D733D">
        <w:rPr>
          <w:color w:val="000000" w:themeColor="text1"/>
        </w:rPr>
        <w:t xml:space="preserve"> designa uma Base de Dados implementada em várias Zonas de Disponibilidade.</w:t>
      </w:r>
    </w:p>
    <w:p w14:paraId="30555189" w14:textId="21085EA7" w:rsidR="003D733D" w:rsidRPr="00ED4527" w:rsidRDefault="00380305" w:rsidP="00F01ED6">
      <w:pPr>
        <w:pStyle w:val="ProductList-Body"/>
        <w:rPr>
          <w:color w:val="000000" w:themeColor="text1"/>
        </w:rPr>
      </w:pPr>
      <w:r>
        <w:rPr>
          <w:color w:val="000000" w:themeColor="text1"/>
        </w:rPr>
        <w:t>“</w:t>
      </w:r>
      <w:r w:rsidR="003D733D">
        <w:rPr>
          <w:b/>
          <w:bCs/>
          <w:color w:val="00188F"/>
        </w:rPr>
        <w:t>Principal</w:t>
      </w:r>
      <w:r>
        <w:rPr>
          <w:color w:val="000000" w:themeColor="text1"/>
        </w:rPr>
        <w:t>”</w:t>
      </w:r>
      <w:r w:rsidR="003D733D">
        <w:rPr>
          <w:color w:val="000000" w:themeColor="text1"/>
        </w:rPr>
        <w:t xml:space="preserve"> designa qualquer Base de Dados que tenha uma relação de georreplicação ativa com uma Base de Dados noutras regiões Azure. A</w:t>
      </w:r>
      <w:r w:rsidR="00870B51">
        <w:rPr>
          <w:color w:val="000000" w:themeColor="text1"/>
        </w:rPr>
        <w:t> </w:t>
      </w:r>
      <w:r w:rsidR="003D733D">
        <w:rPr>
          <w:color w:val="000000" w:themeColor="text1"/>
        </w:rPr>
        <w:t>Principal pode processar pedidos de leitura e escrita da aplicação.</w:t>
      </w:r>
    </w:p>
    <w:p w14:paraId="5425B8BB" w14:textId="080748CD" w:rsidR="003D733D" w:rsidRPr="00ED4527" w:rsidRDefault="00380305" w:rsidP="00F01ED6">
      <w:pPr>
        <w:pStyle w:val="ProductList-Body"/>
        <w:rPr>
          <w:color w:val="000000" w:themeColor="text1"/>
        </w:rPr>
      </w:pPr>
      <w:r>
        <w:rPr>
          <w:color w:val="000000" w:themeColor="text1"/>
        </w:rPr>
        <w:t>“</w:t>
      </w:r>
      <w:r w:rsidR="003D733D">
        <w:rPr>
          <w:b/>
          <w:bCs/>
          <w:color w:val="00188F"/>
        </w:rPr>
        <w:t>Secundária</w:t>
      </w:r>
      <w:r>
        <w:rPr>
          <w:color w:val="000000" w:themeColor="text1"/>
        </w:rPr>
        <w:t>”</w:t>
      </w:r>
      <w:r w:rsidR="003D733D">
        <w:rPr>
          <w:color w:val="000000" w:themeColor="text1"/>
        </w:rPr>
        <w:t xml:space="preserve"> designa qualquer Base de Dados que mantém uma relação de georreplicação assíncrona com um Principal noutra região do Azure e</w:t>
      </w:r>
      <w:r w:rsidR="000401F7">
        <w:rPr>
          <w:color w:val="000000" w:themeColor="text1"/>
        </w:rPr>
        <w:t> </w:t>
      </w:r>
      <w:r w:rsidR="003D733D">
        <w:rPr>
          <w:color w:val="000000" w:themeColor="text1"/>
        </w:rPr>
        <w:t>pode ser utilizada como alvo de ativação pós-falha. A Secundária pode processar pedidos de só de leitura das aplicações.</w:t>
      </w:r>
    </w:p>
    <w:p w14:paraId="462CAE1B" w14:textId="659EF992" w:rsidR="003D733D" w:rsidRPr="003B474A" w:rsidRDefault="00380305" w:rsidP="00F01ED6">
      <w:pPr>
        <w:pStyle w:val="ProductList-Body"/>
        <w:rPr>
          <w:color w:val="000000" w:themeColor="text1"/>
          <w:spacing w:val="-2"/>
        </w:rPr>
      </w:pPr>
      <w:r>
        <w:rPr>
          <w:color w:val="000000" w:themeColor="text1"/>
          <w:spacing w:val="-2"/>
        </w:rPr>
        <w:t>“</w:t>
      </w:r>
      <w:r w:rsidR="003D733D" w:rsidRPr="003B474A">
        <w:rPr>
          <w:b/>
          <w:bCs/>
          <w:color w:val="00188F"/>
          <w:spacing w:val="-2"/>
        </w:rPr>
        <w:t>Secundária Compatível</w:t>
      </w:r>
      <w:r>
        <w:rPr>
          <w:color w:val="000000" w:themeColor="text1"/>
          <w:spacing w:val="-2"/>
        </w:rPr>
        <w:t>”</w:t>
      </w:r>
      <w:r w:rsidR="003D733D" w:rsidRPr="003B474A">
        <w:rPr>
          <w:color w:val="000000" w:themeColor="text1"/>
          <w:spacing w:val="-2"/>
        </w:rPr>
        <w:t xml:space="preserve"> designa qualquer Secundária que seja criada com a mesma configuração e no mesmo nível de serviço que a Principal. Se a Secundária for criada num conjunto elástico, considera-se como Em Conformidade se ambas as Principais e as Secundárias forem criadas em conjuntos elásticos com configurações correspondentes e com densidade que não exceda 250 bases de dados para uma configuração em conformidade.</w:t>
      </w:r>
    </w:p>
    <w:p w14:paraId="3B202949" w14:textId="0F92E510" w:rsidR="003D733D" w:rsidRPr="00ED4527" w:rsidRDefault="00EE6E3C" w:rsidP="00F01ED6">
      <w:pPr>
        <w:pStyle w:val="ProductList-Body"/>
        <w:spacing w:before="120"/>
        <w:rPr>
          <w:b/>
          <w:bCs/>
          <w:color w:val="00188F"/>
        </w:rPr>
      </w:pPr>
      <w:r>
        <w:rPr>
          <w:b/>
          <w:bCs/>
          <w:color w:val="00188F"/>
        </w:rPr>
        <w:t>Cálculo do Período de Disponibilidade e Níveis de Serviço para o Serviço de Base de Dados SQL do Azure</w:t>
      </w:r>
    </w:p>
    <w:p w14:paraId="5BDCA970" w14:textId="16D601A2" w:rsidR="003D733D" w:rsidRDefault="00380305" w:rsidP="00F01ED6">
      <w:pPr>
        <w:pStyle w:val="ProductList-Body"/>
      </w:pPr>
      <w:r>
        <w:t>“</w:t>
      </w:r>
      <w:r w:rsidR="003D733D">
        <w:rPr>
          <w:b/>
          <w:bCs/>
          <w:color w:val="00188F"/>
        </w:rPr>
        <w:t>Minutos de Implementação</w:t>
      </w:r>
      <w:r>
        <w:t>”</w:t>
      </w:r>
      <w:r w:rsidR="003D733D">
        <w:t xml:space="preserve"> designa o número total de minutos durante os quais uma determinada Base de Dados esteve operacional no Microsoft Azure durante um Período Aplicável.</w:t>
      </w:r>
    </w:p>
    <w:p w14:paraId="3B5D1850" w14:textId="511CE62D" w:rsidR="003D733D" w:rsidRPr="00EF7CF9" w:rsidRDefault="00380305" w:rsidP="00F01ED6">
      <w:pPr>
        <w:pStyle w:val="ProductList-Body"/>
      </w:pPr>
      <w:r>
        <w:t>“</w:t>
      </w:r>
      <w:r w:rsidR="003D733D">
        <w:rPr>
          <w:b/>
          <w:color w:val="00188F"/>
        </w:rPr>
        <w:t>Máximo de Minutos Disponíveis</w:t>
      </w:r>
      <w:r>
        <w:t>”</w:t>
      </w:r>
      <w:r w:rsidR="003D733D">
        <w:t xml:space="preserve"> designa a soma de todos os Minutos de Implementação numa determinada subscrição do Microsoft Azure durante um Período Aplicável.</w:t>
      </w:r>
    </w:p>
    <w:p w14:paraId="7D7A7ABE" w14:textId="5C774C3D" w:rsidR="003D733D" w:rsidRPr="00EF7CF9" w:rsidRDefault="003D733D" w:rsidP="00F01ED6">
      <w:pPr>
        <w:pStyle w:val="ProductList-Body"/>
      </w:pPr>
      <w:r>
        <w:rPr>
          <w:b/>
          <w:color w:val="00188F"/>
        </w:rPr>
        <w:t>Período de Indisponibilidade</w:t>
      </w:r>
      <w:r w:rsidRPr="00473DD3">
        <w:rPr>
          <w:b/>
          <w:color w:val="00188F"/>
        </w:rPr>
        <w:t>:</w:t>
      </w:r>
      <w:r>
        <w:t xml:space="preserve"> é o total de Minutos de Implementação acumulados em todas as Bases de Dados numa determinada subscrição do</w:t>
      </w:r>
      <w:r w:rsidR="00D72A39">
        <w:t> </w:t>
      </w:r>
      <w:r>
        <w:t>Microsoft Azure durante os quais a Base de Dados está indisponível.</w:t>
      </w:r>
      <w:r w:rsidR="000514F4">
        <w:t xml:space="preserve"> </w:t>
      </w:r>
      <w:r>
        <w:t>Um minuto é considerado indisponível para uma determinada Base de Dados se falharem todas as tentativas contínuas por parte do Cliente para estabelecer uma ligação com a Base de Dados nesse minuto falharem.</w:t>
      </w:r>
    </w:p>
    <w:p w14:paraId="5EC3C860" w14:textId="33D64972" w:rsidR="003D733D" w:rsidRPr="003B474A" w:rsidRDefault="00AC48A7" w:rsidP="00F01ED6">
      <w:pPr>
        <w:pStyle w:val="ProductList-Body"/>
        <w:rPr>
          <w:spacing w:val="-3"/>
        </w:rPr>
      </w:pPr>
      <w:r w:rsidRPr="003B474A">
        <w:rPr>
          <w:b/>
          <w:color w:val="00188F"/>
          <w:spacing w:val="-3"/>
        </w:rPr>
        <w:t>Percentagem de Período de Disponibilidade</w:t>
      </w:r>
      <w:r w:rsidRPr="00473DD3">
        <w:rPr>
          <w:b/>
          <w:color w:val="00188F"/>
          <w:spacing w:val="-3"/>
        </w:rPr>
        <w:t>:</w:t>
      </w:r>
      <w:r w:rsidRPr="003B474A">
        <w:rPr>
          <w:spacing w:val="-3"/>
        </w:rPr>
        <w:t xml:space="preserve"> para uma determinada Base de Dados é calculada como o Máximo de Minutos Disponíveis menos o Período de Indisponibilidade a dividir pelo Máximo de Minutos Disponíveis num Período Aplicável para uma determinada subscrição do Microsoft Azure. </w:t>
      </w:r>
    </w:p>
    <w:p w14:paraId="17EB06BC" w14:textId="3ECC64E5" w:rsidR="003D733D" w:rsidRPr="00EF7CF9" w:rsidRDefault="003D733D" w:rsidP="00F01ED6">
      <w:pPr>
        <w:pStyle w:val="ProductList-Body"/>
      </w:pPr>
      <w:r>
        <w:t>A Percentagem de Período de Disponibilidade é calculada através da seguinte fórmula:</w:t>
      </w:r>
    </w:p>
    <w:bookmarkStart w:id="393" w:name="_Hlk119330778"/>
    <w:p w14:paraId="508605EB" w14:textId="2908009E" w:rsidR="003D733D" w:rsidRPr="00EF7CF9" w:rsidRDefault="00000000" w:rsidP="00D3580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bookmarkEnd w:id="393"/>
    <w:p w14:paraId="6F38870D" w14:textId="77777777" w:rsidR="003512B3" w:rsidRPr="001D33C6" w:rsidRDefault="003512B3" w:rsidP="003512B3">
      <w:pPr>
        <w:pStyle w:val="ProductList-Body"/>
        <w:rPr>
          <w:rFonts w:ascii="Calibri" w:hAnsi="Calibri" w:cs="Calibri"/>
        </w:rPr>
      </w:pPr>
      <w:r>
        <w:rPr>
          <w:rFonts w:ascii="Calibri" w:hAnsi="Calibri" w:cs="Calibri"/>
          <w:b/>
          <w:color w:val="00188F"/>
        </w:rPr>
        <w:t>Aplicam-se os seguintes Níveis de Serviço e Créditos de Serviço à utilização por parte do Cliente das camadas Fins Gerais, Crítico para a Empresa, Premium ou Hyperscale do Serviço de Base de Dados SQL configurado para as Implementações Redundantes por Zona</w:t>
      </w:r>
      <w:r w:rsidRPr="00D9200D">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854588">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284BDF2" w14:textId="77777777" w:rsidR="003D733D" w:rsidRPr="00EF7CF9" w:rsidRDefault="003D733D" w:rsidP="00AC2365">
            <w:pPr>
              <w:pStyle w:val="ProductList-OfferingBody"/>
              <w:keepNext/>
              <w:keepLines/>
              <w:jc w:val="center"/>
              <w:rPr>
                <w:color w:val="FFFFFF" w:themeColor="background1"/>
              </w:rPr>
            </w:pPr>
            <w:r>
              <w:rPr>
                <w:color w:val="FFFFFF" w:themeColor="background1"/>
              </w:rPr>
              <w:t>Crédito de Serviço</w:t>
            </w:r>
          </w:p>
        </w:tc>
      </w:tr>
      <w:tr w:rsidR="003D733D" w:rsidRPr="00B44CF9" w14:paraId="078649DF" w14:textId="77777777" w:rsidTr="00277097">
        <w:tc>
          <w:tcPr>
            <w:tcW w:w="5400" w:type="dxa"/>
          </w:tcPr>
          <w:p w14:paraId="15161482" w14:textId="77777777" w:rsidR="003D733D" w:rsidRPr="00EF7CF9" w:rsidRDefault="003D733D" w:rsidP="00854588">
            <w:pPr>
              <w:pStyle w:val="ProductList-OfferingBody"/>
              <w:jc w:val="center"/>
            </w:pPr>
            <w:r>
              <w:t>&lt; 99,995%</w:t>
            </w:r>
          </w:p>
        </w:tc>
        <w:tc>
          <w:tcPr>
            <w:tcW w:w="5400" w:type="dxa"/>
          </w:tcPr>
          <w:p w14:paraId="0B1D8BBB" w14:textId="77777777" w:rsidR="003D733D" w:rsidRPr="00EF7CF9" w:rsidRDefault="003D733D" w:rsidP="00AC2365">
            <w:pPr>
              <w:pStyle w:val="ProductList-OfferingBody"/>
              <w:keepNext/>
              <w:keepLines/>
              <w:jc w:val="center"/>
            </w:pPr>
            <w:r>
              <w:t>10%</w:t>
            </w:r>
          </w:p>
        </w:tc>
      </w:tr>
      <w:tr w:rsidR="003D733D" w:rsidRPr="00B44CF9" w14:paraId="42DE5CE5" w14:textId="77777777" w:rsidTr="00277097">
        <w:tc>
          <w:tcPr>
            <w:tcW w:w="5400" w:type="dxa"/>
          </w:tcPr>
          <w:p w14:paraId="45CCA7AF" w14:textId="77777777" w:rsidR="003D733D" w:rsidRPr="00EF7CF9" w:rsidRDefault="003D733D" w:rsidP="00854588">
            <w:pPr>
              <w:pStyle w:val="ProductList-OfferingBody"/>
              <w:jc w:val="center"/>
            </w:pPr>
            <w:r>
              <w:t>&lt; 99%</w:t>
            </w:r>
          </w:p>
        </w:tc>
        <w:tc>
          <w:tcPr>
            <w:tcW w:w="5400" w:type="dxa"/>
          </w:tcPr>
          <w:p w14:paraId="5749BCD7" w14:textId="77777777" w:rsidR="003D733D" w:rsidRPr="00EF7CF9" w:rsidRDefault="003D733D" w:rsidP="00AC2365">
            <w:pPr>
              <w:pStyle w:val="ProductList-OfferingBody"/>
              <w:keepNext/>
              <w:keepLines/>
              <w:jc w:val="center"/>
            </w:pPr>
            <w:r>
              <w:t>25%</w:t>
            </w:r>
          </w:p>
        </w:tc>
      </w:tr>
      <w:tr w:rsidR="003D733D" w:rsidRPr="00B44CF9" w14:paraId="7633BE7C" w14:textId="77777777" w:rsidTr="00277097">
        <w:tc>
          <w:tcPr>
            <w:tcW w:w="5400" w:type="dxa"/>
          </w:tcPr>
          <w:p w14:paraId="679EA065" w14:textId="77777777" w:rsidR="003D733D" w:rsidRPr="00EF7CF9" w:rsidRDefault="003D733D" w:rsidP="00854588">
            <w:pPr>
              <w:pStyle w:val="ProductList-OfferingBody"/>
              <w:jc w:val="center"/>
            </w:pPr>
            <w:r>
              <w:t>&lt; 95%</w:t>
            </w:r>
          </w:p>
        </w:tc>
        <w:tc>
          <w:tcPr>
            <w:tcW w:w="5400" w:type="dxa"/>
          </w:tcPr>
          <w:p w14:paraId="4B7C2F69" w14:textId="77777777" w:rsidR="003D733D" w:rsidRPr="00EF7CF9" w:rsidRDefault="003D733D" w:rsidP="00AC2365">
            <w:pPr>
              <w:pStyle w:val="ProductList-OfferingBody"/>
              <w:keepNext/>
              <w:keepLines/>
              <w:jc w:val="center"/>
            </w:pPr>
            <w:r>
              <w:t>100%</w:t>
            </w:r>
          </w:p>
        </w:tc>
      </w:tr>
    </w:tbl>
    <w:p w14:paraId="3A1F981A" w14:textId="77777777" w:rsidR="003D733D" w:rsidRPr="00EF7CF9" w:rsidRDefault="003D733D" w:rsidP="00F01ED6">
      <w:pPr>
        <w:pStyle w:val="ProductList-Body"/>
        <w:spacing w:before="120"/>
      </w:pPr>
      <w:bookmarkStart w:id="394" w:name="_Toc457821579"/>
      <w:r>
        <w:rPr>
          <w:b/>
          <w:color w:val="00188F"/>
        </w:rPr>
        <w:t>Aplicam-se os seguintes Níveis de Serviço e Créditos de Serviço à utilização, por parte do Cliente, das camadas Hyperscale, Crítico para a Empresa, Premium ou Fins Gerais do Serviço de Base de Dados SQL não configurado para Implementações Redundantes por Zona</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B793296" w14:textId="77777777" w:rsidR="003D733D" w:rsidRPr="00EF7CF9" w:rsidRDefault="003D733D" w:rsidP="00F01ED6">
            <w:pPr>
              <w:pStyle w:val="ProductList-OfferingBody"/>
              <w:jc w:val="center"/>
              <w:rPr>
                <w:color w:val="FFFFFF" w:themeColor="background1"/>
              </w:rPr>
            </w:pPr>
            <w:r>
              <w:rPr>
                <w:color w:val="FFFFFF" w:themeColor="background1"/>
              </w:rPr>
              <w:t>Crédito de Serviço</w:t>
            </w:r>
          </w:p>
        </w:tc>
      </w:tr>
      <w:tr w:rsidR="003D733D" w:rsidRPr="00B44CF9" w14:paraId="464BEDEA" w14:textId="77777777" w:rsidTr="00277097">
        <w:tc>
          <w:tcPr>
            <w:tcW w:w="5400" w:type="dxa"/>
          </w:tcPr>
          <w:p w14:paraId="4081C8A7" w14:textId="77777777" w:rsidR="003D733D" w:rsidRPr="00EF7CF9" w:rsidRDefault="003D733D" w:rsidP="00F01ED6">
            <w:pPr>
              <w:pStyle w:val="ProductList-OfferingBody"/>
              <w:jc w:val="center"/>
            </w:pPr>
            <w:r>
              <w:t>&lt; 99,99%</w:t>
            </w:r>
          </w:p>
        </w:tc>
        <w:tc>
          <w:tcPr>
            <w:tcW w:w="5400" w:type="dxa"/>
          </w:tcPr>
          <w:p w14:paraId="4DFB8C8D" w14:textId="77777777" w:rsidR="003D733D" w:rsidRPr="00EF7CF9" w:rsidRDefault="003D733D" w:rsidP="00F01ED6">
            <w:pPr>
              <w:pStyle w:val="ProductList-OfferingBody"/>
              <w:jc w:val="center"/>
            </w:pPr>
            <w:r>
              <w:t>10%</w:t>
            </w:r>
          </w:p>
        </w:tc>
      </w:tr>
      <w:tr w:rsidR="003D733D" w:rsidRPr="00B44CF9" w14:paraId="65C87CC1" w14:textId="77777777" w:rsidTr="00277097">
        <w:tc>
          <w:tcPr>
            <w:tcW w:w="5400" w:type="dxa"/>
          </w:tcPr>
          <w:p w14:paraId="69F30B0A" w14:textId="77777777" w:rsidR="003D733D" w:rsidRPr="00EF7CF9" w:rsidRDefault="003D733D" w:rsidP="00F01ED6">
            <w:pPr>
              <w:pStyle w:val="ProductList-OfferingBody"/>
              <w:jc w:val="center"/>
            </w:pPr>
            <w:r>
              <w:t>&lt; 99%</w:t>
            </w:r>
          </w:p>
        </w:tc>
        <w:tc>
          <w:tcPr>
            <w:tcW w:w="5400" w:type="dxa"/>
          </w:tcPr>
          <w:p w14:paraId="2BFB6117" w14:textId="77777777" w:rsidR="003D733D" w:rsidRPr="00EF7CF9" w:rsidRDefault="003D733D" w:rsidP="00F01ED6">
            <w:pPr>
              <w:pStyle w:val="ProductList-OfferingBody"/>
              <w:jc w:val="center"/>
            </w:pPr>
            <w:r>
              <w:t>25%</w:t>
            </w:r>
          </w:p>
        </w:tc>
      </w:tr>
      <w:tr w:rsidR="003D733D" w:rsidRPr="00B44CF9" w14:paraId="4700F7EB" w14:textId="77777777" w:rsidTr="00277097">
        <w:tc>
          <w:tcPr>
            <w:tcW w:w="5400" w:type="dxa"/>
          </w:tcPr>
          <w:p w14:paraId="5766EA4E" w14:textId="77777777" w:rsidR="003D733D" w:rsidRPr="00EF7CF9" w:rsidRDefault="003D733D" w:rsidP="00F01ED6">
            <w:pPr>
              <w:pStyle w:val="ProductList-OfferingBody"/>
              <w:jc w:val="center"/>
            </w:pPr>
            <w:r>
              <w:t>&lt; 95%</w:t>
            </w:r>
          </w:p>
        </w:tc>
        <w:tc>
          <w:tcPr>
            <w:tcW w:w="5400" w:type="dxa"/>
          </w:tcPr>
          <w:p w14:paraId="22378549" w14:textId="77777777" w:rsidR="003D733D" w:rsidRPr="00EF7CF9" w:rsidRDefault="003D733D" w:rsidP="00F01ED6">
            <w:pPr>
              <w:pStyle w:val="ProductList-OfferingBody"/>
              <w:jc w:val="center"/>
            </w:pPr>
            <w:r>
              <w:t>100%</w:t>
            </w:r>
          </w:p>
        </w:tc>
      </w:tr>
    </w:tbl>
    <w:p w14:paraId="0B33C745" w14:textId="77777777" w:rsidR="003D733D" w:rsidRPr="00EF7CF9" w:rsidRDefault="003D733D" w:rsidP="00F01ED6">
      <w:pPr>
        <w:pStyle w:val="ProductList-Body"/>
        <w:spacing w:before="120"/>
      </w:pPr>
      <w:r>
        <w:rPr>
          <w:b/>
          <w:color w:val="00188F"/>
        </w:rPr>
        <w:lastRenderedPageBreak/>
        <w:t>Os seguintes Níveis de Serviço e Créditos de Serviço são aplicáveis à utilização que o Cliente faz das camadas Basic ou Standard do Serviço de Base de Dados SQL</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B66747D" w14:textId="77777777" w:rsidR="003D733D" w:rsidRPr="00EF7CF9" w:rsidRDefault="003D733D" w:rsidP="00F01ED6">
            <w:pPr>
              <w:pStyle w:val="ProductList-OfferingBody"/>
              <w:jc w:val="center"/>
              <w:rPr>
                <w:color w:val="FFFFFF" w:themeColor="background1"/>
              </w:rPr>
            </w:pPr>
            <w:r>
              <w:rPr>
                <w:color w:val="FFFFFF" w:themeColor="background1"/>
              </w:rPr>
              <w:t>Crédito de Serviço</w:t>
            </w:r>
          </w:p>
        </w:tc>
      </w:tr>
      <w:tr w:rsidR="003D733D" w:rsidRPr="00B44CF9" w14:paraId="3E824F53" w14:textId="77777777" w:rsidTr="00277097">
        <w:tc>
          <w:tcPr>
            <w:tcW w:w="5400" w:type="dxa"/>
          </w:tcPr>
          <w:p w14:paraId="19103A6F" w14:textId="77777777" w:rsidR="003D733D" w:rsidRPr="00EF7CF9" w:rsidRDefault="003D733D" w:rsidP="00F01ED6">
            <w:pPr>
              <w:pStyle w:val="ProductList-OfferingBody"/>
              <w:jc w:val="center"/>
            </w:pPr>
            <w:r>
              <w:t>&lt; 99,99%</w:t>
            </w:r>
          </w:p>
        </w:tc>
        <w:tc>
          <w:tcPr>
            <w:tcW w:w="5400" w:type="dxa"/>
          </w:tcPr>
          <w:p w14:paraId="1E9E6B2D" w14:textId="77777777" w:rsidR="003D733D" w:rsidRPr="00EF7CF9" w:rsidRDefault="003D733D" w:rsidP="00F01ED6">
            <w:pPr>
              <w:pStyle w:val="ProductList-OfferingBody"/>
              <w:jc w:val="center"/>
            </w:pPr>
            <w:r>
              <w:t>10%</w:t>
            </w:r>
          </w:p>
        </w:tc>
      </w:tr>
      <w:tr w:rsidR="003D733D" w:rsidRPr="00B44CF9" w14:paraId="1DD063AB" w14:textId="77777777" w:rsidTr="00277097">
        <w:tc>
          <w:tcPr>
            <w:tcW w:w="5400" w:type="dxa"/>
          </w:tcPr>
          <w:p w14:paraId="282A02EA" w14:textId="77777777" w:rsidR="003D733D" w:rsidRPr="00EF7CF9" w:rsidRDefault="003D733D" w:rsidP="00F01ED6">
            <w:pPr>
              <w:pStyle w:val="ProductList-OfferingBody"/>
              <w:jc w:val="center"/>
            </w:pPr>
            <w:r>
              <w:t>&lt; 99%</w:t>
            </w:r>
          </w:p>
        </w:tc>
        <w:tc>
          <w:tcPr>
            <w:tcW w:w="5400" w:type="dxa"/>
          </w:tcPr>
          <w:p w14:paraId="6EBE83BA" w14:textId="77777777" w:rsidR="003D733D" w:rsidRPr="00EF7CF9" w:rsidRDefault="003D733D" w:rsidP="00F01ED6">
            <w:pPr>
              <w:pStyle w:val="ProductList-OfferingBody"/>
              <w:jc w:val="center"/>
            </w:pPr>
            <w:r>
              <w:t>25%</w:t>
            </w:r>
          </w:p>
        </w:tc>
      </w:tr>
      <w:tr w:rsidR="003D733D" w:rsidRPr="00B44CF9" w14:paraId="2C3859C3" w14:textId="77777777" w:rsidTr="00277097">
        <w:tc>
          <w:tcPr>
            <w:tcW w:w="5400" w:type="dxa"/>
          </w:tcPr>
          <w:p w14:paraId="5E8C5C94" w14:textId="77777777" w:rsidR="003D733D" w:rsidRPr="00EF7CF9" w:rsidRDefault="003D733D" w:rsidP="00F01ED6">
            <w:pPr>
              <w:pStyle w:val="ProductList-OfferingBody"/>
              <w:jc w:val="center"/>
            </w:pPr>
            <w:r>
              <w:t>&lt; 95%</w:t>
            </w:r>
          </w:p>
        </w:tc>
        <w:tc>
          <w:tcPr>
            <w:tcW w:w="5400" w:type="dxa"/>
          </w:tcPr>
          <w:p w14:paraId="49C88237" w14:textId="77777777" w:rsidR="003D733D" w:rsidRPr="00EF7CF9" w:rsidRDefault="003D733D" w:rsidP="00F01ED6">
            <w:pPr>
              <w:pStyle w:val="ProductList-OfferingBody"/>
              <w:jc w:val="center"/>
            </w:pPr>
            <w:r>
              <w:t>100%</w:t>
            </w:r>
          </w:p>
        </w:tc>
      </w:tr>
    </w:tbl>
    <w:p w14:paraId="08D86942" w14:textId="77777777" w:rsidR="003D733D" w:rsidRPr="00ED4527" w:rsidRDefault="003D733D" w:rsidP="00D3580E">
      <w:pPr>
        <w:pStyle w:val="ProductList-Body"/>
        <w:spacing w:before="120"/>
        <w:rPr>
          <w:b/>
          <w:bCs/>
          <w:color w:val="00188F"/>
        </w:rPr>
      </w:pPr>
      <w:r>
        <w:rPr>
          <w:b/>
          <w:bCs/>
          <w:color w:val="00188F"/>
        </w:rPr>
        <w:t>Objetivo do ponto de recuperação (Recovery Point Objective, RPO)</w:t>
      </w:r>
    </w:p>
    <w:p w14:paraId="714AAD2A" w14:textId="5FF0F0EA" w:rsidR="003D733D" w:rsidRPr="008D4EC5" w:rsidRDefault="00380305" w:rsidP="00F01ED6">
      <w:pPr>
        <w:pStyle w:val="ProductList-Body"/>
        <w:rPr>
          <w:color w:val="000000" w:themeColor="text1"/>
        </w:rPr>
      </w:pPr>
      <w:r>
        <w:rPr>
          <w:color w:val="000000" w:themeColor="text1"/>
        </w:rPr>
        <w:t>“</w:t>
      </w:r>
      <w:r w:rsidR="003D733D">
        <w:rPr>
          <w:b/>
          <w:bCs/>
          <w:color w:val="00188F"/>
        </w:rPr>
        <w:t>Ligação de Georreplicação</w:t>
      </w:r>
      <w:r>
        <w:rPr>
          <w:color w:val="000000" w:themeColor="text1"/>
        </w:rPr>
        <w:t>”</w:t>
      </w:r>
      <w:r w:rsidR="003D733D">
        <w:rPr>
          <w:color w:val="000000" w:themeColor="text1"/>
        </w:rPr>
        <w:t xml:space="preserve"> é um objeto programático que representa uma ligação entre uma Principal específica e a Secundária.</w:t>
      </w:r>
    </w:p>
    <w:p w14:paraId="58E21A32" w14:textId="45D62B70" w:rsidR="003D733D" w:rsidRPr="008D4EC5" w:rsidRDefault="00380305" w:rsidP="00F01ED6">
      <w:pPr>
        <w:pStyle w:val="ProductList-Body"/>
        <w:rPr>
          <w:color w:val="000000" w:themeColor="text1"/>
        </w:rPr>
      </w:pPr>
      <w:r>
        <w:rPr>
          <w:color w:val="000000" w:themeColor="text1"/>
        </w:rPr>
        <w:t>“</w:t>
      </w:r>
      <w:r w:rsidR="003D733D">
        <w:rPr>
          <w:b/>
          <w:bCs/>
          <w:color w:val="00188F"/>
        </w:rPr>
        <w:t>Intervalo de Georreplicação</w:t>
      </w:r>
      <w:r>
        <w:rPr>
          <w:color w:val="000000" w:themeColor="text1"/>
        </w:rPr>
        <w:t>”</w:t>
      </w:r>
      <w:r w:rsidR="003D733D">
        <w:rPr>
          <w:color w:val="000000" w:themeColor="text1"/>
        </w:rPr>
        <w:t xml:space="preserve"> é um lapso de tempo decorrente desde que o ponto de transação é cometido na Principal e o reconhecimento, pela</w:t>
      </w:r>
      <w:r w:rsidR="00D73C82">
        <w:rPr>
          <w:color w:val="000000" w:themeColor="text1"/>
        </w:rPr>
        <w:t> </w:t>
      </w:r>
      <w:r w:rsidR="003D733D">
        <w:rPr>
          <w:color w:val="000000" w:themeColor="text1"/>
        </w:rPr>
        <w:t>Secundária, de que a atualização do registo de transações foi mantida.</w:t>
      </w:r>
    </w:p>
    <w:p w14:paraId="7513C667" w14:textId="38573EFD" w:rsidR="003D733D" w:rsidRPr="008D4EC5" w:rsidRDefault="00380305" w:rsidP="00F01ED6">
      <w:pPr>
        <w:pStyle w:val="ProductList-Body"/>
        <w:rPr>
          <w:color w:val="000000" w:themeColor="text1"/>
        </w:rPr>
      </w:pPr>
      <w:r>
        <w:rPr>
          <w:color w:val="000000" w:themeColor="text1"/>
        </w:rPr>
        <w:t>“</w:t>
      </w:r>
      <w:r w:rsidR="003D733D">
        <w:rPr>
          <w:b/>
          <w:bCs/>
          <w:color w:val="00188F"/>
        </w:rPr>
        <w:t>Verificação do Intervalo de Replicação</w:t>
      </w:r>
      <w:r>
        <w:rPr>
          <w:color w:val="000000" w:themeColor="text1"/>
        </w:rPr>
        <w:t>”</w:t>
      </w:r>
      <w:r w:rsidR="003D733D">
        <w:rPr>
          <w:color w:val="000000" w:themeColor="text1"/>
        </w:rPr>
        <w:t xml:space="preserve"> é um método programático utilizado para obter o valor do Intervalo de Georreplicação para uma Ligação de Georreplicação específica.</w:t>
      </w:r>
    </w:p>
    <w:p w14:paraId="12AF603F" w14:textId="10E79328" w:rsidR="003D733D" w:rsidRPr="008D4EC5" w:rsidRDefault="00380305" w:rsidP="00F01ED6">
      <w:pPr>
        <w:pStyle w:val="ProductList-Body"/>
        <w:rPr>
          <w:color w:val="000000" w:themeColor="text1"/>
        </w:rPr>
      </w:pPr>
      <w:r>
        <w:rPr>
          <w:color w:val="000000" w:themeColor="text1"/>
        </w:rPr>
        <w:t>“</w:t>
      </w:r>
      <w:r w:rsidR="003D733D">
        <w:rPr>
          <w:b/>
          <w:bCs/>
          <w:color w:val="00188F"/>
        </w:rPr>
        <w:t>Objetivo do Ponto de Recuperação (Recovery Point Objective, RPO)</w:t>
      </w:r>
      <w:r>
        <w:rPr>
          <w:color w:val="000000" w:themeColor="text1"/>
        </w:rPr>
        <w:t>”</w:t>
      </w:r>
      <w:r w:rsidR="003D733D">
        <w:rPr>
          <w:color w:val="000000" w:themeColor="text1"/>
        </w:rPr>
        <w:t xml:space="preserve"> designa um Intervalo de Georreplicação que não exceda 5 segundos.</w:t>
      </w:r>
    </w:p>
    <w:p w14:paraId="6D0C0A0E" w14:textId="1F95A0EB" w:rsidR="003D733D" w:rsidRPr="008D4EC5" w:rsidRDefault="00380305" w:rsidP="00F01ED6">
      <w:pPr>
        <w:pStyle w:val="ProductList-Body"/>
        <w:rPr>
          <w:color w:val="000000" w:themeColor="text1"/>
        </w:rPr>
      </w:pPr>
      <w:r>
        <w:rPr>
          <w:color w:val="000000" w:themeColor="text1"/>
        </w:rPr>
        <w:t>“</w:t>
      </w:r>
      <w:r w:rsidR="003D733D">
        <w:rPr>
          <w:b/>
          <w:bCs/>
          <w:color w:val="00188F"/>
        </w:rPr>
        <w:t>N</w:t>
      </w:r>
      <w:r>
        <w:rPr>
          <w:color w:val="000000" w:themeColor="text1"/>
        </w:rPr>
        <w:t>”</w:t>
      </w:r>
      <w:r w:rsidR="003D733D">
        <w:rPr>
          <w:color w:val="000000" w:themeColor="text1"/>
        </w:rPr>
        <w:t xml:space="preserve"> é o número de Verificações do Intervalo de Replicação para uma determinada Ligação de Georreplicação numa determinada hora.</w:t>
      </w:r>
    </w:p>
    <w:p w14:paraId="01EAABA2" w14:textId="7CE8D090" w:rsidR="003D733D" w:rsidRPr="008D4EC5" w:rsidRDefault="00380305" w:rsidP="00F01ED6">
      <w:pPr>
        <w:pStyle w:val="ProductList-Body"/>
        <w:rPr>
          <w:color w:val="000000" w:themeColor="text1"/>
        </w:rPr>
      </w:pPr>
      <w:r>
        <w:rPr>
          <w:color w:val="000000" w:themeColor="text1"/>
        </w:rPr>
        <w:t>“</w:t>
      </w:r>
      <w:r w:rsidR="003D733D">
        <w:rPr>
          <w:b/>
          <w:bCs/>
          <w:color w:val="00188F"/>
        </w:rPr>
        <w:t>S</w:t>
      </w:r>
      <w:r>
        <w:rPr>
          <w:color w:val="000000" w:themeColor="text1"/>
        </w:rPr>
        <w:t>”</w:t>
      </w:r>
      <w:r w:rsidR="003D733D">
        <w:rPr>
          <w:color w:val="000000" w:themeColor="text1"/>
        </w:rPr>
        <w:t xml:space="preserve"> é o conjunto dos resultados da Verificação de Intervalo de Replicação, classificados por intervalos e em ordem ascendente, para uma determinada Ligação de Georreplicação numa determinada hora.</w:t>
      </w:r>
    </w:p>
    <w:p w14:paraId="22C712BC" w14:textId="252FE04D" w:rsidR="003D733D" w:rsidRDefault="00380305" w:rsidP="00F01ED6">
      <w:pPr>
        <w:pStyle w:val="ProductList-Body"/>
        <w:rPr>
          <w:color w:val="000000" w:themeColor="text1"/>
        </w:rPr>
      </w:pPr>
      <w:r>
        <w:rPr>
          <w:color w:val="000000" w:themeColor="text1"/>
        </w:rPr>
        <w:t>“</w:t>
      </w:r>
      <w:r w:rsidR="003D733D">
        <w:rPr>
          <w:b/>
          <w:bCs/>
          <w:color w:val="00188F"/>
        </w:rPr>
        <w:t>Classificação Ordinal</w:t>
      </w:r>
      <w:r>
        <w:rPr>
          <w:color w:val="000000" w:themeColor="text1"/>
        </w:rPr>
        <w:t>”</w:t>
      </w:r>
      <w:r w:rsidR="003D733D">
        <w:rPr>
          <w:color w:val="000000" w:themeColor="text1"/>
        </w:rPr>
        <w:t xml:space="preserve"> é o 99º percentil que utiliza o método de classificação mais próximo representado pela seguinte fórmula:</w:t>
      </w:r>
    </w:p>
    <w:p w14:paraId="43522474" w14:textId="77777777" w:rsidR="003D733D" w:rsidRPr="00EF7CF9" w:rsidRDefault="00000000" w:rsidP="00D3580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5DCEDB9F" w:rsidR="003D733D" w:rsidRPr="008D4EC5" w:rsidRDefault="00380305" w:rsidP="00F01ED6">
      <w:pPr>
        <w:pStyle w:val="ProductList-Body"/>
        <w:rPr>
          <w:color w:val="000000" w:themeColor="text1"/>
        </w:rPr>
      </w:pPr>
      <w:r>
        <w:rPr>
          <w:color w:val="000000" w:themeColor="text1"/>
        </w:rPr>
        <w:t>“</w:t>
      </w:r>
      <w:r w:rsidR="003D733D">
        <w:rPr>
          <w:b/>
          <w:bCs/>
          <w:color w:val="00188F"/>
        </w:rPr>
        <w:t>Intervalo de Replicação P99</w:t>
      </w:r>
      <w:r>
        <w:rPr>
          <w:color w:val="000000" w:themeColor="text1"/>
        </w:rPr>
        <w:t>”</w:t>
      </w:r>
      <w:r w:rsidR="003D733D">
        <w:rPr>
          <w:color w:val="000000" w:themeColor="text1"/>
        </w:rPr>
        <w:t xml:space="preserve"> é o valor da Classificação Ordinal de S.</w:t>
      </w:r>
    </w:p>
    <w:p w14:paraId="4BB7BC3D" w14:textId="173A9BD4" w:rsidR="003D733D" w:rsidRPr="008D4EC5" w:rsidRDefault="00380305" w:rsidP="00F01ED6">
      <w:pPr>
        <w:pStyle w:val="ProductList-Body"/>
        <w:rPr>
          <w:color w:val="000000" w:themeColor="text1"/>
        </w:rPr>
      </w:pPr>
      <w:r>
        <w:rPr>
          <w:color w:val="000000" w:themeColor="text1"/>
        </w:rPr>
        <w:t>“</w:t>
      </w:r>
      <w:r w:rsidR="003D733D">
        <w:rPr>
          <w:b/>
          <w:bCs/>
          <w:color w:val="00188F"/>
        </w:rPr>
        <w:t>Horas de implementação</w:t>
      </w:r>
      <w:r>
        <w:rPr>
          <w:color w:val="000000" w:themeColor="text1"/>
        </w:rPr>
        <w:t>”</w:t>
      </w:r>
      <w:r w:rsidR="003D733D">
        <w:rPr>
          <w:color w:val="000000" w:themeColor="text1"/>
        </w:rPr>
        <w:t xml:space="preserve"> é o número total de horas em que uma determinada Secundária Compatível esteve operacional para uma determinada subscrição do Microsoft Azure durante um Período Aplicável.</w:t>
      </w:r>
    </w:p>
    <w:p w14:paraId="62BD4640" w14:textId="171D3778" w:rsidR="003D733D" w:rsidRPr="008D4EC5" w:rsidRDefault="00380305" w:rsidP="00F01ED6">
      <w:pPr>
        <w:pStyle w:val="ProductList-Body"/>
        <w:rPr>
          <w:color w:val="000000" w:themeColor="text1"/>
        </w:rPr>
      </w:pPr>
      <w:r>
        <w:rPr>
          <w:color w:val="000000" w:themeColor="text1"/>
        </w:rPr>
        <w:t>“</w:t>
      </w:r>
      <w:r w:rsidR="003D733D">
        <w:rPr>
          <w:b/>
          <w:bCs/>
          <w:color w:val="00188F"/>
        </w:rPr>
        <w:t>Horas de Intervalo Excessivo</w:t>
      </w:r>
      <w:r>
        <w:rPr>
          <w:color w:val="000000" w:themeColor="text1"/>
        </w:rPr>
        <w:t>”</w:t>
      </w:r>
      <w:r w:rsidR="003D733D">
        <w:rPr>
          <w:color w:val="000000" w:themeColor="text1"/>
        </w:rPr>
        <w:t xml:space="preserve"> é o número total de intervalos de uma hora durante o qual a Verificação do Intervalo de Replicação resultou num</w:t>
      </w:r>
      <w:r w:rsidR="002315DB">
        <w:rPr>
          <w:color w:val="000000" w:themeColor="text1"/>
        </w:rPr>
        <w:t> </w:t>
      </w:r>
      <w:r w:rsidR="003D733D">
        <w:rPr>
          <w:color w:val="000000" w:themeColor="text1"/>
        </w:rPr>
        <w:t>Intervalo de Replicação P99 igual ou superior ao RPO para uma determinada subscrição do Microsoft Azure durante um Período Aplicável. Se</w:t>
      </w:r>
      <w:r w:rsidR="002315DB">
        <w:rPr>
          <w:color w:val="000000" w:themeColor="text1"/>
        </w:rPr>
        <w:t> </w:t>
      </w:r>
      <w:r w:rsidR="003D733D">
        <w:rPr>
          <w:color w:val="000000" w:themeColor="text1"/>
        </w:rPr>
        <w:t>o</w:t>
      </w:r>
      <w:r w:rsidR="00DC1476">
        <w:rPr>
          <w:color w:val="000000" w:themeColor="text1"/>
        </w:rPr>
        <w:t> </w:t>
      </w:r>
      <w:r w:rsidR="003D733D">
        <w:rPr>
          <w:color w:val="000000" w:themeColor="text1"/>
        </w:rPr>
        <w:t>número de Verificações do Intervalo de Replicação num determinado intervalo de uma hora for zero, as Horas de Intervalo Excessivo para esse</w:t>
      </w:r>
      <w:r w:rsidR="002315DB">
        <w:rPr>
          <w:color w:val="000000" w:themeColor="text1"/>
        </w:rPr>
        <w:t> </w:t>
      </w:r>
      <w:r w:rsidR="003D733D">
        <w:rPr>
          <w:color w:val="000000" w:themeColor="text1"/>
        </w:rPr>
        <w:t>intervalo serão de 0.</w:t>
      </w:r>
    </w:p>
    <w:p w14:paraId="123CFA24" w14:textId="30490B43" w:rsidR="003D733D" w:rsidRPr="00ED4527" w:rsidRDefault="003D733D" w:rsidP="00F01ED6">
      <w:pPr>
        <w:pStyle w:val="ProductList-Body"/>
        <w:tabs>
          <w:tab w:val="clear" w:pos="360"/>
          <w:tab w:val="clear" w:pos="720"/>
          <w:tab w:val="clear" w:pos="1080"/>
        </w:tabs>
        <w:rPr>
          <w:color w:val="000000" w:themeColor="text1"/>
        </w:rPr>
      </w:pPr>
      <w:r>
        <w:t xml:space="preserve">A </w:t>
      </w:r>
      <w:r w:rsidR="00380305">
        <w:rPr>
          <w:color w:val="000000" w:themeColor="text1"/>
        </w:rPr>
        <w:t>“</w:t>
      </w:r>
      <w:r>
        <w:rPr>
          <w:b/>
          <w:bCs/>
          <w:color w:val="00188F"/>
        </w:rPr>
        <w:t>Percentagem de realização de RPO</w:t>
      </w:r>
      <w:r w:rsidR="00380305">
        <w:rPr>
          <w:color w:val="000000" w:themeColor="text1"/>
        </w:rPr>
        <w:t>”</w:t>
      </w:r>
      <w:r>
        <w:rPr>
          <w:color w:val="000000" w:themeColor="text1"/>
        </w:rPr>
        <w:t xml:space="preserve"> para uma determinada implementação da Base de Dados num Período Aplicável é calculada utilizando a</w:t>
      </w:r>
      <w:r w:rsidR="00DC1476">
        <w:rPr>
          <w:color w:val="000000" w:themeColor="text1"/>
        </w:rPr>
        <w:t> </w:t>
      </w:r>
      <w:r>
        <w:rPr>
          <w:color w:val="000000" w:themeColor="text1"/>
        </w:rPr>
        <w:t>seguinte fórmula:</w:t>
      </w:r>
    </w:p>
    <w:p w14:paraId="7EC80375" w14:textId="6873FDC3" w:rsidR="003D733D" w:rsidRPr="00EF7CF9" w:rsidRDefault="003D733D" w:rsidP="00DC1476">
      <w:pPr>
        <w:pStyle w:val="ListParagraph"/>
        <w:spacing w:line="240" w:lineRule="auto"/>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Horas de Atraso Excessivo</m:t>
              </m:r>
            </m:num>
            <m:den>
              <m:r>
                <m:rPr>
                  <m:nor/>
                </m:rPr>
                <w:rPr>
                  <w:rFonts w:ascii="Cambria Math" w:hAnsi="Cambria Math" w:cs="Tahoma"/>
                  <w:i/>
                  <w:sz w:val="18"/>
                  <w:szCs w:val="18"/>
                </w:rPr>
                <m:t>Horas de Implementação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F01ED6">
      <w:pPr>
        <w:pStyle w:val="ProductList-Body"/>
        <w:spacing w:before="120"/>
      </w:pPr>
      <w:r>
        <w:rPr>
          <w:b/>
          <w:color w:val="00188F"/>
        </w:rPr>
        <w:t>Os seguintes Níveis de Serviço e Créditos de Serviço são aplicáveis à utilização, por parte do Cliente, da funcionalidade de georreplicação ativa com a camada Crítico para a Empresa do serviço Base de Dados SQL do Azure com um Secundária Compatível</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240"/>
        <w:gridCol w:w="4500"/>
      </w:tblGrid>
      <w:tr w:rsidR="003D733D" w:rsidRPr="00B44CF9" w14:paraId="7C2E5E45" w14:textId="77777777" w:rsidTr="003B474A">
        <w:trPr>
          <w:tblHeader/>
        </w:trPr>
        <w:tc>
          <w:tcPr>
            <w:tcW w:w="1613" w:type="dxa"/>
            <w:shd w:val="clear" w:color="auto" w:fill="0072C6"/>
          </w:tcPr>
          <w:p w14:paraId="70F865C1" w14:textId="77777777" w:rsidR="003D733D" w:rsidRPr="00EF7CF9" w:rsidRDefault="003D733D" w:rsidP="00F01ED6">
            <w:pPr>
              <w:pStyle w:val="ProductList-OfferingBody"/>
              <w:jc w:val="center"/>
              <w:rPr>
                <w:color w:val="FFFFFF" w:themeColor="background1"/>
              </w:rPr>
            </w:pPr>
            <w:r>
              <w:rPr>
                <w:color w:val="FFFFFF" w:themeColor="background1"/>
              </w:rPr>
              <w:t>Operação</w:t>
            </w:r>
          </w:p>
        </w:tc>
        <w:tc>
          <w:tcPr>
            <w:tcW w:w="1447" w:type="dxa"/>
            <w:shd w:val="clear" w:color="auto" w:fill="0072C6"/>
          </w:tcPr>
          <w:p w14:paraId="04649A66" w14:textId="77777777" w:rsidR="003D733D" w:rsidRPr="00EF7CF9" w:rsidRDefault="003D733D" w:rsidP="00F01ED6">
            <w:pPr>
              <w:pStyle w:val="ProductList-OfferingBody"/>
              <w:jc w:val="center"/>
              <w:rPr>
                <w:color w:val="FFFFFF" w:themeColor="background1"/>
              </w:rPr>
            </w:pPr>
            <w:r>
              <w:rPr>
                <w:color w:val="FFFFFF" w:themeColor="background1"/>
              </w:rPr>
              <w:t>RPO</w:t>
            </w:r>
          </w:p>
        </w:tc>
        <w:tc>
          <w:tcPr>
            <w:tcW w:w="3240" w:type="dxa"/>
            <w:shd w:val="clear" w:color="auto" w:fill="0072C6"/>
          </w:tcPr>
          <w:p w14:paraId="2283E325" w14:textId="06884C81" w:rsidR="003D733D" w:rsidRPr="00EF7CF9" w:rsidRDefault="003D733D" w:rsidP="00F01ED6">
            <w:pPr>
              <w:pStyle w:val="ProductList-OfferingBody"/>
              <w:jc w:val="center"/>
              <w:rPr>
                <w:color w:val="FFFFFF" w:themeColor="background1"/>
              </w:rPr>
            </w:pPr>
            <w:r>
              <w:rPr>
                <w:color w:val="FFFFFF" w:themeColor="background1"/>
              </w:rPr>
              <w:t>Percentagem de Realização de RPO</w:t>
            </w:r>
          </w:p>
        </w:tc>
        <w:tc>
          <w:tcPr>
            <w:tcW w:w="4500" w:type="dxa"/>
            <w:shd w:val="clear" w:color="auto" w:fill="0072C6"/>
          </w:tcPr>
          <w:p w14:paraId="38ADBCBD" w14:textId="77777777" w:rsidR="003D733D" w:rsidRPr="00EF7CF9" w:rsidRDefault="003D733D" w:rsidP="00F01ED6">
            <w:pPr>
              <w:pStyle w:val="ProductList-OfferingBody"/>
              <w:jc w:val="center"/>
              <w:rPr>
                <w:color w:val="FFFFFF" w:themeColor="background1"/>
              </w:rPr>
            </w:pPr>
            <w:r>
              <w:rPr>
                <w:color w:val="FFFFFF" w:themeColor="background1"/>
              </w:rPr>
              <w:t>Crédito de Serviço</w:t>
            </w:r>
          </w:p>
        </w:tc>
      </w:tr>
      <w:tr w:rsidR="003D733D" w:rsidRPr="00B44CF9" w14:paraId="60100A40" w14:textId="77777777" w:rsidTr="003B474A">
        <w:tc>
          <w:tcPr>
            <w:tcW w:w="1613" w:type="dxa"/>
            <w:vAlign w:val="center"/>
          </w:tcPr>
          <w:p w14:paraId="19E38570" w14:textId="77777777" w:rsidR="003D733D" w:rsidRPr="00EF7CF9" w:rsidRDefault="003D733D" w:rsidP="00F01ED6">
            <w:pPr>
              <w:pStyle w:val="ProductList-OfferingBody"/>
              <w:jc w:val="center"/>
            </w:pPr>
            <w:r>
              <w:t>Georreplicação</w:t>
            </w:r>
          </w:p>
        </w:tc>
        <w:tc>
          <w:tcPr>
            <w:tcW w:w="1447" w:type="dxa"/>
            <w:vAlign w:val="center"/>
          </w:tcPr>
          <w:p w14:paraId="4882E3A4" w14:textId="77777777" w:rsidR="003D733D" w:rsidRPr="00EF7CF9" w:rsidRDefault="003D733D" w:rsidP="00F01ED6">
            <w:pPr>
              <w:pStyle w:val="ProductList-OfferingBody"/>
              <w:jc w:val="center"/>
            </w:pPr>
            <w:r>
              <w:t>5 segundos</w:t>
            </w:r>
          </w:p>
        </w:tc>
        <w:tc>
          <w:tcPr>
            <w:tcW w:w="3240" w:type="dxa"/>
            <w:vAlign w:val="center"/>
          </w:tcPr>
          <w:p w14:paraId="6063EF21" w14:textId="77777777" w:rsidR="003D733D" w:rsidRPr="00EF7CF9" w:rsidRDefault="003D733D" w:rsidP="00F01ED6">
            <w:pPr>
              <w:pStyle w:val="ProductList-OfferingBody"/>
              <w:jc w:val="center"/>
            </w:pPr>
            <w:r>
              <w:t>&lt; 100%</w:t>
            </w:r>
          </w:p>
        </w:tc>
        <w:tc>
          <w:tcPr>
            <w:tcW w:w="4500" w:type="dxa"/>
            <w:vAlign w:val="center"/>
          </w:tcPr>
          <w:p w14:paraId="74D9BC0C" w14:textId="35EBB4C0" w:rsidR="003D733D" w:rsidRPr="00EF7CF9" w:rsidRDefault="003D733D" w:rsidP="00F01ED6">
            <w:pPr>
              <w:pStyle w:val="ProductList-OfferingBody"/>
              <w:jc w:val="center"/>
            </w:pPr>
            <w:r>
              <w:t>10% do custo total do Período Aplicável da Secundária Compatível</w:t>
            </w:r>
          </w:p>
        </w:tc>
      </w:tr>
    </w:tbl>
    <w:p w14:paraId="626616AF" w14:textId="77777777" w:rsidR="003D733D" w:rsidRPr="00ED4527" w:rsidRDefault="003D733D" w:rsidP="00A72CAC">
      <w:pPr>
        <w:pStyle w:val="ProductList-Body"/>
        <w:spacing w:before="120"/>
        <w:rPr>
          <w:b/>
          <w:bCs/>
          <w:color w:val="00188F"/>
        </w:rPr>
      </w:pPr>
      <w:r>
        <w:rPr>
          <w:b/>
          <w:bCs/>
          <w:color w:val="00188F"/>
        </w:rPr>
        <w:t>Objetivo de Tempo de Recuperação (RTO)</w:t>
      </w:r>
    </w:p>
    <w:p w14:paraId="018124D3" w14:textId="5E026EFA" w:rsidR="003D733D" w:rsidRPr="003B474A" w:rsidRDefault="00380305" w:rsidP="00F01ED6">
      <w:pPr>
        <w:pStyle w:val="ProductList-Body"/>
        <w:jc w:val="both"/>
        <w:rPr>
          <w:color w:val="000000" w:themeColor="text1"/>
          <w:spacing w:val="-3"/>
        </w:rPr>
      </w:pPr>
      <w:r>
        <w:rPr>
          <w:color w:val="000000" w:themeColor="text1"/>
          <w:spacing w:val="-3"/>
        </w:rPr>
        <w:t>“</w:t>
      </w:r>
      <w:r w:rsidR="003D733D" w:rsidRPr="003B474A">
        <w:rPr>
          <w:b/>
          <w:bCs/>
          <w:color w:val="00188F"/>
          <w:spacing w:val="-3"/>
        </w:rPr>
        <w:t>Ativação Pós-Falha Não Planeada</w:t>
      </w:r>
      <w:r>
        <w:rPr>
          <w:color w:val="000000" w:themeColor="text1"/>
          <w:spacing w:val="-3"/>
        </w:rPr>
        <w:t>”</w:t>
      </w:r>
      <w:r w:rsidR="003D733D" w:rsidRPr="003B474A">
        <w:rPr>
          <w:color w:val="000000" w:themeColor="text1"/>
          <w:spacing w:val="-3"/>
        </w:rPr>
        <w:t xml:space="preserve"> é uma ação iniciada pelo Cliente quando a Principal está offline para ativar uma Secundária Compatível como Principal.</w:t>
      </w:r>
    </w:p>
    <w:p w14:paraId="526E5FAF" w14:textId="68D75187" w:rsidR="003D733D" w:rsidRPr="009A2713" w:rsidRDefault="00380305" w:rsidP="00F01ED6">
      <w:pPr>
        <w:pStyle w:val="ProductList-Body"/>
        <w:rPr>
          <w:color w:val="000000" w:themeColor="text1"/>
        </w:rPr>
      </w:pPr>
      <w:r>
        <w:rPr>
          <w:color w:val="000000" w:themeColor="text1"/>
        </w:rPr>
        <w:t>“</w:t>
      </w:r>
      <w:r w:rsidR="003D733D">
        <w:rPr>
          <w:b/>
          <w:bCs/>
          <w:color w:val="00188F"/>
        </w:rPr>
        <w:t>Tempo de Recuperação</w:t>
      </w:r>
      <w:r>
        <w:rPr>
          <w:color w:val="000000" w:themeColor="text1"/>
        </w:rPr>
        <w:t>”</w:t>
      </w:r>
      <w:r w:rsidR="003D733D">
        <w:rPr>
          <w:color w:val="000000" w:themeColor="text1"/>
        </w:rPr>
        <w:t xml:space="preserve"> é o tempo decorrido desde a Ativação Pós-Falha Não Planeada até que a Secundária esteja a agir como Principal.</w:t>
      </w:r>
    </w:p>
    <w:p w14:paraId="6F599CC8" w14:textId="558C14B6" w:rsidR="003D733D" w:rsidRPr="003B474A" w:rsidRDefault="00380305" w:rsidP="00F01ED6">
      <w:pPr>
        <w:pStyle w:val="ProductList-Body"/>
        <w:jc w:val="both"/>
        <w:rPr>
          <w:color w:val="000000" w:themeColor="text1"/>
          <w:spacing w:val="-3"/>
        </w:rPr>
      </w:pPr>
      <w:r>
        <w:rPr>
          <w:color w:val="000000" w:themeColor="text1"/>
          <w:spacing w:val="-3"/>
        </w:rPr>
        <w:t>“</w:t>
      </w:r>
      <w:r w:rsidR="003D733D" w:rsidRPr="003B474A">
        <w:rPr>
          <w:b/>
          <w:bCs/>
          <w:color w:val="00188F"/>
          <w:spacing w:val="-3"/>
        </w:rPr>
        <w:t>Objetivo do Tempo de Recuperação (Recovery Time Objective, RTO)</w:t>
      </w:r>
      <w:r>
        <w:rPr>
          <w:color w:val="000000" w:themeColor="text1"/>
          <w:spacing w:val="-3"/>
        </w:rPr>
        <w:t>”</w:t>
      </w:r>
      <w:r w:rsidR="003D733D" w:rsidRPr="003B474A">
        <w:rPr>
          <w:color w:val="000000" w:themeColor="text1"/>
          <w:spacing w:val="-3"/>
        </w:rPr>
        <w:t xml:space="preserve"> designa o Tempo de Recuperação máximo permitido que não exceda 30 segundos.</w:t>
      </w:r>
    </w:p>
    <w:p w14:paraId="5BE092A6" w14:textId="258E2E23" w:rsidR="003D733D" w:rsidRPr="009A2713" w:rsidRDefault="00380305" w:rsidP="00F01ED6">
      <w:pPr>
        <w:pStyle w:val="ProductList-Body"/>
        <w:rPr>
          <w:color w:val="000000" w:themeColor="text1"/>
        </w:rPr>
      </w:pPr>
      <w:r>
        <w:rPr>
          <w:color w:val="000000" w:themeColor="text1"/>
        </w:rPr>
        <w:t>“</w:t>
      </w:r>
      <w:r w:rsidR="003D733D">
        <w:rPr>
          <w:b/>
          <w:bCs/>
          <w:color w:val="00188F"/>
        </w:rPr>
        <w:t>Ativação Pós-Falha Não Planeada Não Conforme</w:t>
      </w:r>
      <w:r>
        <w:rPr>
          <w:color w:val="000000" w:themeColor="text1"/>
        </w:rPr>
        <w:t>”</w:t>
      </w:r>
      <w:r w:rsidR="003D733D">
        <w:rPr>
          <w:color w:val="000000" w:themeColor="text1"/>
        </w:rPr>
        <w:t xml:space="preserve"> é uma Ativação Pós-Falha Não Planeada que não foi possível concluir no RTO.</w:t>
      </w:r>
    </w:p>
    <w:p w14:paraId="5166DD05" w14:textId="295FC069" w:rsidR="003D733D" w:rsidRPr="009A2713" w:rsidRDefault="00380305" w:rsidP="00DC1476">
      <w:pPr>
        <w:pStyle w:val="ProductList-Body"/>
        <w:keepNext/>
        <w:keepLines/>
        <w:tabs>
          <w:tab w:val="clear" w:pos="360"/>
          <w:tab w:val="clear" w:pos="720"/>
          <w:tab w:val="clear" w:pos="1080"/>
        </w:tabs>
        <w:rPr>
          <w:color w:val="000000" w:themeColor="text1"/>
        </w:rPr>
      </w:pPr>
      <w:r>
        <w:rPr>
          <w:color w:val="000000" w:themeColor="text1"/>
        </w:rPr>
        <w:t>“</w:t>
      </w:r>
      <w:r w:rsidR="003D733D">
        <w:rPr>
          <w:b/>
          <w:bCs/>
          <w:color w:val="00188F"/>
        </w:rPr>
        <w:t>Percentagem de Realização de RTO</w:t>
      </w:r>
      <w:r>
        <w:rPr>
          <w:color w:val="000000" w:themeColor="text1"/>
        </w:rPr>
        <w:t>”</w:t>
      </w:r>
      <w:r w:rsidR="003D733D">
        <w:rPr>
          <w:color w:val="000000" w:themeColor="text1"/>
        </w:rPr>
        <w:t xml:space="preserve"> para uma determinada implementação da Base de Dados, num Período Aplicável para uma determinada subscrição é representado pela seguinte fórmula:</w:t>
      </w:r>
    </w:p>
    <w:p w14:paraId="324032A0" w14:textId="704F822E" w:rsidR="003D733D" w:rsidRPr="00EF7CF9" w:rsidRDefault="00000000" w:rsidP="003E36B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Número Total de Ativações Pós-falha Não Planeadas - Número Total de Ativações Pós-falha Não Planeadas Não Conformes</m:t>
              </m:r>
            </m:num>
            <m:den>
              <m:r>
                <m:rPr>
                  <m:nor/>
                </m:rPr>
                <w:rPr>
                  <w:rFonts w:ascii="Cambria Math" w:hAnsi="Cambria Math" w:cs="Tahoma"/>
                  <w:i/>
                  <w:sz w:val="18"/>
                  <w:szCs w:val="18"/>
                </w:rPr>
                <m:t>Número Total de Ativações Pós-falha Não Planeadas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F01ED6">
      <w:pPr>
        <w:pStyle w:val="ProductList-Body"/>
        <w:spacing w:before="120"/>
      </w:pPr>
      <w:r>
        <w:rPr>
          <w:b/>
          <w:color w:val="00188F"/>
        </w:rPr>
        <w:t>Os seguintes Níveis de Serviço e Créditos de Serviço são aplicáveis à utilização, por parte do Cliente, da funcionalidade de georreplicação ativa com a camada de serviço Crítico para a Empresa do serviço Base de Dados SQL do Azure com um Secundária Compatível</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F01ED6">
            <w:pPr>
              <w:pStyle w:val="ProductList-OfferingBody"/>
              <w:jc w:val="center"/>
              <w:rPr>
                <w:color w:val="FFFFFF" w:themeColor="background1"/>
              </w:rPr>
            </w:pPr>
            <w:r>
              <w:rPr>
                <w:color w:val="FFFFFF" w:themeColor="background1"/>
              </w:rPr>
              <w:t>Operação</w:t>
            </w:r>
          </w:p>
        </w:tc>
        <w:tc>
          <w:tcPr>
            <w:tcW w:w="1440" w:type="dxa"/>
            <w:shd w:val="clear" w:color="auto" w:fill="0072C6"/>
          </w:tcPr>
          <w:p w14:paraId="3A95E617" w14:textId="77777777" w:rsidR="003D733D" w:rsidRPr="00EF7CF9" w:rsidRDefault="003D733D" w:rsidP="00F01ED6">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F01ED6">
            <w:pPr>
              <w:pStyle w:val="ProductList-OfferingBody"/>
              <w:jc w:val="center"/>
              <w:rPr>
                <w:color w:val="FFFFFF" w:themeColor="background1"/>
              </w:rPr>
            </w:pPr>
            <w:r>
              <w:rPr>
                <w:color w:val="FFFFFF" w:themeColor="background1"/>
              </w:rPr>
              <w:t>Percentagem de Realização de RTO</w:t>
            </w:r>
          </w:p>
        </w:tc>
        <w:tc>
          <w:tcPr>
            <w:tcW w:w="3600" w:type="dxa"/>
            <w:shd w:val="clear" w:color="auto" w:fill="0072C6"/>
          </w:tcPr>
          <w:p w14:paraId="1C5AC948" w14:textId="77777777" w:rsidR="003D733D" w:rsidRPr="00EF7CF9" w:rsidRDefault="003D733D" w:rsidP="00F01ED6">
            <w:pPr>
              <w:pStyle w:val="ProductList-OfferingBody"/>
              <w:jc w:val="center"/>
              <w:rPr>
                <w:color w:val="FFFFFF" w:themeColor="background1"/>
              </w:rPr>
            </w:pPr>
            <w:r>
              <w:rPr>
                <w:color w:val="FFFFFF" w:themeColor="background1"/>
              </w:rPr>
              <w:t>Crédito de Serviço</w:t>
            </w:r>
          </w:p>
        </w:tc>
      </w:tr>
      <w:tr w:rsidR="003D733D" w:rsidRPr="00B44CF9" w14:paraId="0F727BF7" w14:textId="77777777" w:rsidTr="00277097">
        <w:tc>
          <w:tcPr>
            <w:tcW w:w="2880" w:type="dxa"/>
            <w:vAlign w:val="center"/>
          </w:tcPr>
          <w:p w14:paraId="343B00BC" w14:textId="13F64B98" w:rsidR="003D733D" w:rsidRPr="00EF7CF9" w:rsidRDefault="003D733D" w:rsidP="00F01ED6">
            <w:pPr>
              <w:pStyle w:val="ProductList-OfferingBody"/>
              <w:jc w:val="center"/>
            </w:pPr>
            <w:r>
              <w:t>Ativação Pós-Falha Não Planeada de</w:t>
            </w:r>
            <w:r w:rsidR="00383A94">
              <w:t> </w:t>
            </w:r>
            <w:r>
              <w:t>Uma</w:t>
            </w:r>
            <w:r w:rsidR="00383A94">
              <w:t> </w:t>
            </w:r>
            <w:r>
              <w:t>Base de Dados Individual</w:t>
            </w:r>
          </w:p>
        </w:tc>
        <w:tc>
          <w:tcPr>
            <w:tcW w:w="1440" w:type="dxa"/>
            <w:vAlign w:val="center"/>
          </w:tcPr>
          <w:p w14:paraId="5697F7F9" w14:textId="77777777" w:rsidR="003D733D" w:rsidRPr="00EF7CF9" w:rsidRDefault="003D733D" w:rsidP="00F01ED6">
            <w:pPr>
              <w:pStyle w:val="ProductList-OfferingBody"/>
              <w:jc w:val="center"/>
            </w:pPr>
            <w:r>
              <w:t>30 segundos</w:t>
            </w:r>
          </w:p>
        </w:tc>
        <w:tc>
          <w:tcPr>
            <w:tcW w:w="2880" w:type="dxa"/>
            <w:vAlign w:val="center"/>
          </w:tcPr>
          <w:p w14:paraId="1F10F6D5" w14:textId="77777777" w:rsidR="003D733D" w:rsidRPr="00EF7CF9" w:rsidRDefault="003D733D" w:rsidP="00F01ED6">
            <w:pPr>
              <w:pStyle w:val="ProductList-OfferingBody"/>
              <w:jc w:val="center"/>
            </w:pPr>
            <w:r>
              <w:t>&lt; 100%</w:t>
            </w:r>
          </w:p>
        </w:tc>
        <w:tc>
          <w:tcPr>
            <w:tcW w:w="3600" w:type="dxa"/>
            <w:vAlign w:val="center"/>
          </w:tcPr>
          <w:p w14:paraId="68DA0804" w14:textId="2EF7D757" w:rsidR="003D733D" w:rsidRPr="00EF7CF9" w:rsidRDefault="003D733D" w:rsidP="00F01ED6">
            <w:pPr>
              <w:pStyle w:val="ProductList-OfferingBody"/>
              <w:jc w:val="center"/>
            </w:pPr>
            <w:r>
              <w:t>100% do custo total do Período Aplicável da</w:t>
            </w:r>
            <w:r w:rsidR="001079F6">
              <w:t> </w:t>
            </w:r>
            <w:r>
              <w:t>Secundária Compatível</w:t>
            </w:r>
          </w:p>
        </w:tc>
      </w:tr>
    </w:tbl>
    <w:bookmarkEnd w:id="394"/>
    <w:p w14:paraId="1DFDE322"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D682C45" w14:textId="4F8533DF" w:rsidR="00C24853" w:rsidRPr="00C24853" w:rsidRDefault="00C24853" w:rsidP="001C2DA1">
      <w:pPr>
        <w:pStyle w:val="ProductList-Offering2Heading"/>
        <w:keepNext/>
        <w:pageBreakBefore/>
        <w:tabs>
          <w:tab w:val="clear" w:pos="360"/>
          <w:tab w:val="clear" w:pos="720"/>
          <w:tab w:val="clear" w:pos="1080"/>
        </w:tabs>
        <w:outlineLvl w:val="2"/>
      </w:pPr>
      <w:bookmarkStart w:id="395" w:name="_Toc239176531"/>
      <w:r>
        <w:lastRenderedPageBreak/>
        <w:t>Azure SQL Managed Instance</w:t>
      </w:r>
      <w:bookmarkEnd w:id="395"/>
    </w:p>
    <w:p w14:paraId="207753A5" w14:textId="77777777" w:rsidR="00C24853" w:rsidRPr="007F34A9" w:rsidRDefault="00C24853" w:rsidP="00F01ED6">
      <w:pPr>
        <w:pStyle w:val="ProductList-Body"/>
        <w:rPr>
          <w:b/>
          <w:bCs/>
          <w:color w:val="00188F"/>
        </w:rPr>
      </w:pPr>
      <w:r>
        <w:rPr>
          <w:b/>
          <w:bCs/>
          <w:color w:val="00188F"/>
        </w:rPr>
        <w:t>Definições Adicionais</w:t>
      </w:r>
    </w:p>
    <w:p w14:paraId="1CD0AF18" w14:textId="330AEDF7" w:rsidR="00C24853" w:rsidRDefault="00380305" w:rsidP="00F01ED6">
      <w:pPr>
        <w:pStyle w:val="ProductList-Body"/>
      </w:pPr>
      <w:r>
        <w:t>“</w:t>
      </w:r>
      <w:r w:rsidR="00C24853">
        <w:rPr>
          <w:b/>
          <w:bCs/>
          <w:color w:val="00188F"/>
        </w:rPr>
        <w:t>Instância</w:t>
      </w:r>
      <w:r>
        <w:t>”</w:t>
      </w:r>
      <w:r w:rsidR="00C24853">
        <w:t xml:space="preserve"> designa qualquer Instância Gerida do Microsoft Azure SQL criada em qualquer uma das camadas de Serviço e implementada como uma instância única.</w:t>
      </w:r>
    </w:p>
    <w:p w14:paraId="1FEC54F7" w14:textId="3E7AD59C" w:rsidR="00C24853" w:rsidRDefault="00380305" w:rsidP="00F01ED6">
      <w:pPr>
        <w:pStyle w:val="ProductList-Body"/>
      </w:pPr>
      <w:r>
        <w:t>“</w:t>
      </w:r>
      <w:r w:rsidR="00C24853">
        <w:rPr>
          <w:b/>
          <w:bCs/>
          <w:color w:val="00188F"/>
        </w:rPr>
        <w:t>Configuração de Rede Compatível</w:t>
      </w:r>
      <w:r>
        <w:t>”</w:t>
      </w:r>
      <w:r w:rsidR="00C24853">
        <w:t xml:space="preserve"> designa um conjunto completo de configurações necessárias da Instância de alojamento da Rede Virtual do</w:t>
      </w:r>
      <w:r w:rsidR="00695F61">
        <w:t> </w:t>
      </w:r>
      <w:r w:rsidR="00C24853">
        <w:t>Microsoft Azure, incluindo as regras de segurança de entrada do Grupo de Segurança de Rede do Microsoft Azure e as Redes Definidas pelo Utilizador obrigatórias do Microsoft Azure da Instância de alojamento da Sub-rede da Rede Virtual do Microsoft Azure, o que permite um fluxo ininterrupto do trânsito de gestão e o tráfego de dados para o gateway dedicado colocado na instância de alojamento da Sub-rede da Rede Virtual</w:t>
      </w:r>
      <w:r w:rsidR="00695F61">
        <w:t> </w:t>
      </w:r>
      <w:r w:rsidR="00C24853">
        <w:t>do Microsoft Azure Virtual.</w:t>
      </w:r>
    </w:p>
    <w:p w14:paraId="3599372B" w14:textId="77777777" w:rsidR="00830ED6" w:rsidRPr="00D2551C" w:rsidRDefault="00830ED6" w:rsidP="00830ED6">
      <w:pPr>
        <w:pStyle w:val="ProductList-Body"/>
        <w:rPr>
          <w:rFonts w:ascii="Calibri" w:hAnsi="Calibri" w:cs="Calibri"/>
        </w:rPr>
      </w:pPr>
      <w:r w:rsidRPr="00E340F4">
        <w:rPr>
          <w:rFonts w:ascii="Calibri" w:hAnsi="Calibri" w:cs="Calibri"/>
        </w:rPr>
        <w:t>“</w:t>
      </w:r>
      <w:r>
        <w:rPr>
          <w:rFonts w:ascii="Calibri" w:hAnsi="Calibri" w:cs="Calibri"/>
          <w:b/>
          <w:bCs/>
          <w:color w:val="00188F"/>
        </w:rPr>
        <w:t>Zona de Disponibilidade</w:t>
      </w:r>
      <w:r>
        <w:rPr>
          <w:rFonts w:ascii="Calibri" w:hAnsi="Calibri" w:cs="Calibri"/>
        </w:rPr>
        <w:t>” designa uma área isolada de falhas numa região do Azure que providencia alimentação, refrigeração e rede redundantes.</w:t>
      </w:r>
    </w:p>
    <w:p w14:paraId="2D6C7A36" w14:textId="75E9C2E2" w:rsidR="00830ED6" w:rsidRPr="00830ED6" w:rsidRDefault="00830ED6" w:rsidP="00F01ED6">
      <w:pPr>
        <w:pStyle w:val="ProductList-Body"/>
        <w:rPr>
          <w:rFonts w:ascii="Calibri" w:hAnsi="Calibri" w:cs="Calibri"/>
        </w:rPr>
      </w:pPr>
      <w:r>
        <w:rPr>
          <w:rFonts w:ascii="Calibri" w:hAnsi="Calibri" w:cs="Calibri"/>
        </w:rPr>
        <w:t>“</w:t>
      </w:r>
      <w:r>
        <w:rPr>
          <w:rFonts w:ascii="Calibri" w:hAnsi="Calibri" w:cs="Calibri"/>
          <w:b/>
          <w:bCs/>
          <w:color w:val="00188F"/>
        </w:rPr>
        <w:t>Implementação Redundante por Zona</w:t>
      </w:r>
      <w:r>
        <w:rPr>
          <w:rFonts w:ascii="Calibri" w:hAnsi="Calibri" w:cs="Calibri"/>
        </w:rPr>
        <w:t>” designa uma instância implementada em várias Zonas de Disponibilidade.</w:t>
      </w:r>
    </w:p>
    <w:p w14:paraId="14E0066B" w14:textId="5572BA93" w:rsidR="00C24853" w:rsidRPr="007F34A9" w:rsidRDefault="00EE6E3C" w:rsidP="00F01ED6">
      <w:pPr>
        <w:pStyle w:val="ProductList-Body"/>
        <w:rPr>
          <w:b/>
          <w:bCs/>
          <w:color w:val="00188F"/>
        </w:rPr>
      </w:pPr>
      <w:r>
        <w:rPr>
          <w:b/>
          <w:bCs/>
          <w:color w:val="00188F"/>
        </w:rPr>
        <w:t>Cálculo do Período de Disponibilidade e Níveis de Serviço para o Serviço de Instância Gerida do SQL do Azure</w:t>
      </w:r>
    </w:p>
    <w:p w14:paraId="7162FAC1" w14:textId="1F04D9B1" w:rsidR="00C24853" w:rsidRDefault="00380305" w:rsidP="00F01ED6">
      <w:pPr>
        <w:pStyle w:val="ProductList-Body"/>
      </w:pPr>
      <w:r>
        <w:t>“</w:t>
      </w:r>
      <w:r w:rsidR="00C24853">
        <w:rPr>
          <w:b/>
          <w:bCs/>
          <w:color w:val="00188F"/>
        </w:rPr>
        <w:t>Minutos de Implementação</w:t>
      </w:r>
      <w:r>
        <w:t>”</w:t>
      </w:r>
      <w:r w:rsidR="00C24853">
        <w:t xml:space="preserve"> designa o número total de minutos durante os quais uma determinada Instância esteve operacional no Microsoft Azure durante um Período Aplicável.</w:t>
      </w:r>
    </w:p>
    <w:p w14:paraId="4F25D7E2" w14:textId="22E10190" w:rsidR="00C24853" w:rsidRDefault="00380305" w:rsidP="00F01ED6">
      <w:pPr>
        <w:pStyle w:val="ProductList-Body"/>
      </w:pPr>
      <w:r>
        <w:t>“</w:t>
      </w:r>
      <w:r w:rsidR="00C24853">
        <w:rPr>
          <w:b/>
          <w:bCs/>
          <w:color w:val="00188F"/>
        </w:rPr>
        <w:t>Máximo de Minutos Disponíveis</w:t>
      </w:r>
      <w:r>
        <w:t>”</w:t>
      </w:r>
      <w:r w:rsidR="00C24853">
        <w:t xml:space="preserve"> designa a soma de todos os Minutos de Implementação numa determinada subscrição do Microsoft Azure durante um Período Aplicável.</w:t>
      </w:r>
    </w:p>
    <w:p w14:paraId="67E0F7ED" w14:textId="490FB445" w:rsidR="00C24853" w:rsidRDefault="00380305" w:rsidP="00F01ED6">
      <w:pPr>
        <w:pStyle w:val="ProductList-Body"/>
      </w:pPr>
      <w:r>
        <w:t>“</w:t>
      </w:r>
      <w:r w:rsidR="00C24853">
        <w:rPr>
          <w:b/>
          <w:bCs/>
          <w:color w:val="00188F"/>
        </w:rPr>
        <w:t>Período de Indisponibilidade</w:t>
      </w:r>
      <w:r>
        <w:t>”</w:t>
      </w:r>
      <w:r w:rsidR="00C24853">
        <w:t xml:space="preserve"> designa o total de Minutos de Implementação acumulados em todas as Instâncias numa determinada subscrição do</w:t>
      </w:r>
      <w:r w:rsidR="003523CE">
        <w:t> </w:t>
      </w:r>
      <w:r w:rsidR="00C24853">
        <w:t>Microsoft Azure durante os quais a Instância está indisponível. Um minuto é considerado indisponível para uma determinada Instância se falharem todas as tentativas contínuas por parte do Cliente para estabelecer uma ligação com a Instância nesse minuto falharem.</w:t>
      </w:r>
    </w:p>
    <w:p w14:paraId="1DCEC456" w14:textId="2F526C48" w:rsidR="00C24853" w:rsidRDefault="00C24853" w:rsidP="00F01ED6">
      <w:pPr>
        <w:pStyle w:val="ProductList-Body"/>
      </w:pPr>
      <w:r>
        <w:t xml:space="preserve">A </w:t>
      </w:r>
      <w:r w:rsidR="00380305">
        <w:t>“</w:t>
      </w:r>
      <w:r>
        <w:rPr>
          <w:b/>
          <w:bCs/>
          <w:color w:val="00188F"/>
        </w:rPr>
        <w:t>Percentagem de Período de Disponibilidade</w:t>
      </w:r>
      <w:r w:rsidR="00380305">
        <w:t>”</w:t>
      </w:r>
      <w:r>
        <w:t xml:space="preserve"> para uma determinada Instância é calculada como o Máximo de Minutos Disponíveis menos o</w:t>
      </w:r>
      <w:r w:rsidR="003523CE">
        <w:t> </w:t>
      </w:r>
      <w:r>
        <w:t>Período de Indisponibilidade a dividir pelo Máximo de Minutos Disponíveis num Período Aplicável para uma determinada subscrição do Microsoft</w:t>
      </w:r>
      <w:r w:rsidR="003523CE">
        <w:t> </w:t>
      </w:r>
      <w:r>
        <w:t>Azure. A Percentagem de Período de Disponibilidade é representada pela seguinte fórmula:</w:t>
      </w:r>
    </w:p>
    <w:p w14:paraId="0DCFCAC9" w14:textId="559D5342" w:rsidR="007F34A9" w:rsidRPr="00EF7CF9" w:rsidRDefault="00000000" w:rsidP="003E36B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5CBDC74" w14:textId="77777777" w:rsidR="00D80379" w:rsidRPr="00802AB3" w:rsidRDefault="00D80379" w:rsidP="00D80379">
      <w:pPr>
        <w:spacing w:after="0" w:line="240" w:lineRule="auto"/>
        <w:textAlignment w:val="baseline"/>
        <w:rPr>
          <w:rFonts w:ascii="Calibri" w:hAnsi="Calibri" w:cs="Calibri"/>
          <w:b/>
          <w:bCs/>
          <w:color w:val="00188F"/>
          <w:sz w:val="18"/>
        </w:rPr>
      </w:pPr>
      <w:bookmarkStart w:id="396" w:name="_Toc457821580"/>
      <w:bookmarkStart w:id="397" w:name="_Toc52348989"/>
      <w:bookmarkStart w:id="398" w:name="_Hlk119928622"/>
      <w:r>
        <w:rPr>
          <w:rFonts w:ascii="Calibri" w:hAnsi="Calibri" w:cs="Calibri"/>
          <w:b/>
          <w:bCs/>
          <w:color w:val="00188F"/>
          <w:sz w:val="18"/>
        </w:rPr>
        <w:t>Os seguintes Níveis de Serviço e Créditos de Serviço são aplicáveis à utilização, por parte do Cliente, da camada Crítico para a Empresa do Serviço de Instância Gerida do SQL configurada para Implementações Redundantes por Zona com Configuração de Rede Compatível: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80379" w:rsidRPr="00B44CF9" w14:paraId="0A49F20D" w14:textId="77777777" w:rsidTr="008C29E3">
        <w:trPr>
          <w:tblHeader/>
        </w:trPr>
        <w:tc>
          <w:tcPr>
            <w:tcW w:w="5400" w:type="dxa"/>
            <w:shd w:val="clear" w:color="auto" w:fill="0072C6"/>
          </w:tcPr>
          <w:p w14:paraId="68D514B9" w14:textId="77777777" w:rsidR="00D80379" w:rsidRPr="005C5594" w:rsidRDefault="00D80379"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5188DB17" w14:textId="77777777" w:rsidR="00D80379" w:rsidRPr="005C5594" w:rsidRDefault="00D80379"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80379" w:rsidRPr="00B44CF9" w14:paraId="2CFF216C" w14:textId="77777777" w:rsidTr="008C29E3">
        <w:tc>
          <w:tcPr>
            <w:tcW w:w="5400" w:type="dxa"/>
          </w:tcPr>
          <w:p w14:paraId="51D79764"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99,995%</w:t>
            </w:r>
          </w:p>
        </w:tc>
        <w:tc>
          <w:tcPr>
            <w:tcW w:w="5400" w:type="dxa"/>
          </w:tcPr>
          <w:p w14:paraId="56D7B9C8"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10%</w:t>
            </w:r>
          </w:p>
        </w:tc>
      </w:tr>
      <w:tr w:rsidR="00D80379" w:rsidRPr="00B44CF9" w14:paraId="0BD4FF3E" w14:textId="77777777" w:rsidTr="008C29E3">
        <w:tc>
          <w:tcPr>
            <w:tcW w:w="5400" w:type="dxa"/>
          </w:tcPr>
          <w:p w14:paraId="52B1F810"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99%</w:t>
            </w:r>
          </w:p>
        </w:tc>
        <w:tc>
          <w:tcPr>
            <w:tcW w:w="5400" w:type="dxa"/>
          </w:tcPr>
          <w:p w14:paraId="108650C3"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25%</w:t>
            </w:r>
          </w:p>
        </w:tc>
      </w:tr>
      <w:tr w:rsidR="00D80379" w:rsidRPr="00B44CF9" w14:paraId="39D8A917" w14:textId="77777777" w:rsidTr="008C29E3">
        <w:tc>
          <w:tcPr>
            <w:tcW w:w="5400" w:type="dxa"/>
          </w:tcPr>
          <w:p w14:paraId="05509C0F"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95%</w:t>
            </w:r>
          </w:p>
        </w:tc>
        <w:tc>
          <w:tcPr>
            <w:tcW w:w="5400" w:type="dxa"/>
          </w:tcPr>
          <w:p w14:paraId="007F9736"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100%</w:t>
            </w:r>
          </w:p>
        </w:tc>
      </w:tr>
    </w:tbl>
    <w:p w14:paraId="47DBB338" w14:textId="77777777" w:rsidR="00D80379" w:rsidRPr="00802AB3" w:rsidRDefault="00D80379" w:rsidP="00D80379">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Os seguintes Níveis de Serviço e Créditos de Serviço são aplicáveis à utilização, por parte do Cliente, da camada Crítico para a Empresa do Serviço de Instância Gerida do SQL não configurada para Implementações Redundantes por Zona com Configuração de Rede Compatível: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80379" w:rsidRPr="00EF7CF9" w14:paraId="053E8054" w14:textId="77777777" w:rsidTr="008C29E3">
        <w:trPr>
          <w:tblHeader/>
        </w:trPr>
        <w:tc>
          <w:tcPr>
            <w:tcW w:w="5400" w:type="dxa"/>
            <w:shd w:val="clear" w:color="auto" w:fill="0072C6"/>
          </w:tcPr>
          <w:p w14:paraId="527744CF" w14:textId="77777777" w:rsidR="00D80379" w:rsidRPr="005C5594" w:rsidRDefault="00D80379"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44978E65" w14:textId="77777777" w:rsidR="00D80379" w:rsidRPr="005C5594" w:rsidRDefault="00D80379"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80379" w:rsidRPr="00EF7CF9" w14:paraId="578836FC" w14:textId="77777777" w:rsidTr="008C29E3">
        <w:tc>
          <w:tcPr>
            <w:tcW w:w="5400" w:type="dxa"/>
          </w:tcPr>
          <w:p w14:paraId="49CDBC81"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99,99%</w:t>
            </w:r>
          </w:p>
        </w:tc>
        <w:tc>
          <w:tcPr>
            <w:tcW w:w="5400" w:type="dxa"/>
          </w:tcPr>
          <w:p w14:paraId="74C57E39"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10%</w:t>
            </w:r>
          </w:p>
        </w:tc>
      </w:tr>
      <w:tr w:rsidR="00D80379" w:rsidRPr="00EF7CF9" w14:paraId="2039DBE3" w14:textId="77777777" w:rsidTr="008C29E3">
        <w:tc>
          <w:tcPr>
            <w:tcW w:w="5400" w:type="dxa"/>
          </w:tcPr>
          <w:p w14:paraId="1FB23924"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99%</w:t>
            </w:r>
          </w:p>
        </w:tc>
        <w:tc>
          <w:tcPr>
            <w:tcW w:w="5400" w:type="dxa"/>
          </w:tcPr>
          <w:p w14:paraId="1346DA85"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25%</w:t>
            </w:r>
          </w:p>
        </w:tc>
      </w:tr>
      <w:tr w:rsidR="00D80379" w:rsidRPr="00EF7CF9" w14:paraId="1D47CC77" w14:textId="77777777" w:rsidTr="008C29E3">
        <w:tc>
          <w:tcPr>
            <w:tcW w:w="5400" w:type="dxa"/>
          </w:tcPr>
          <w:p w14:paraId="66B55673"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95%</w:t>
            </w:r>
          </w:p>
        </w:tc>
        <w:tc>
          <w:tcPr>
            <w:tcW w:w="5400" w:type="dxa"/>
          </w:tcPr>
          <w:p w14:paraId="55C26273"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100%</w:t>
            </w:r>
          </w:p>
        </w:tc>
      </w:tr>
    </w:tbl>
    <w:p w14:paraId="667BC047" w14:textId="77777777" w:rsidR="00D80379" w:rsidRPr="00802AB3" w:rsidRDefault="00D80379" w:rsidP="00D80379">
      <w:pPr>
        <w:pStyle w:val="ProductList-Body"/>
        <w:spacing w:before="120"/>
        <w:rPr>
          <w:rFonts w:ascii="Calibri" w:hAnsi="Calibri" w:cs="Calibri"/>
          <w:b/>
          <w:bCs/>
          <w:color w:val="00188F"/>
        </w:rPr>
      </w:pPr>
      <w:r>
        <w:rPr>
          <w:rFonts w:ascii="Calibri" w:hAnsi="Calibri" w:cs="Calibri"/>
          <w:b/>
          <w:bCs/>
          <w:color w:val="00188F"/>
        </w:rPr>
        <w:t xml:space="preserve">Os seguintes Níveis de Serviço e Créditos de Serviço são aplicáveis à utilização, por parte do Cliente, da camada Fins Gerais do Serviço de Instância Gerida do SQL </w:t>
      </w:r>
      <w:r>
        <w:rPr>
          <w:rFonts w:ascii="Calibri" w:eastAsia="Times New Roman" w:hAnsi="Calibri" w:cs="Calibri"/>
          <w:b/>
          <w:bCs/>
          <w:color w:val="00188F"/>
          <w:szCs w:val="18"/>
        </w:rPr>
        <w:t>configurada para Implementações Redundantes por Zona com Configuração de Rede Compatível:</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80379" w:rsidRPr="00B44CF9" w14:paraId="6A2725C0" w14:textId="77777777" w:rsidTr="008C29E3">
        <w:trPr>
          <w:tblHeader/>
        </w:trPr>
        <w:tc>
          <w:tcPr>
            <w:tcW w:w="5400" w:type="dxa"/>
            <w:shd w:val="clear" w:color="auto" w:fill="0072C6"/>
          </w:tcPr>
          <w:p w14:paraId="348C55D6" w14:textId="77777777" w:rsidR="00D80379" w:rsidRPr="005C5594" w:rsidRDefault="00D80379"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06C5B7C1" w14:textId="77777777" w:rsidR="00D80379" w:rsidRPr="005C5594" w:rsidRDefault="00D80379"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80379" w:rsidRPr="00B44CF9" w14:paraId="5F9666E9" w14:textId="77777777" w:rsidTr="008C29E3">
        <w:tc>
          <w:tcPr>
            <w:tcW w:w="5400" w:type="dxa"/>
          </w:tcPr>
          <w:p w14:paraId="7AE03141"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99,995%</w:t>
            </w:r>
          </w:p>
        </w:tc>
        <w:tc>
          <w:tcPr>
            <w:tcW w:w="5400" w:type="dxa"/>
          </w:tcPr>
          <w:p w14:paraId="05CE8A25"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10%</w:t>
            </w:r>
          </w:p>
        </w:tc>
      </w:tr>
      <w:tr w:rsidR="00D80379" w:rsidRPr="00B44CF9" w14:paraId="1D5EC86A" w14:textId="77777777" w:rsidTr="008C29E3">
        <w:tc>
          <w:tcPr>
            <w:tcW w:w="5400" w:type="dxa"/>
          </w:tcPr>
          <w:p w14:paraId="27F6DEB3"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99%</w:t>
            </w:r>
          </w:p>
        </w:tc>
        <w:tc>
          <w:tcPr>
            <w:tcW w:w="5400" w:type="dxa"/>
          </w:tcPr>
          <w:p w14:paraId="44CA3BA3"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25%</w:t>
            </w:r>
          </w:p>
        </w:tc>
      </w:tr>
      <w:tr w:rsidR="00D80379" w:rsidRPr="00B44CF9" w14:paraId="44D47B8D" w14:textId="77777777" w:rsidTr="008C29E3">
        <w:tc>
          <w:tcPr>
            <w:tcW w:w="5400" w:type="dxa"/>
          </w:tcPr>
          <w:p w14:paraId="583B4912"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95%</w:t>
            </w:r>
          </w:p>
        </w:tc>
        <w:tc>
          <w:tcPr>
            <w:tcW w:w="5400" w:type="dxa"/>
          </w:tcPr>
          <w:p w14:paraId="756F2B13"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100%</w:t>
            </w:r>
          </w:p>
        </w:tc>
      </w:tr>
    </w:tbl>
    <w:p w14:paraId="2694AF9C" w14:textId="77777777" w:rsidR="00D80379" w:rsidRDefault="00D80379" w:rsidP="00D80379">
      <w:pPr>
        <w:pStyle w:val="ProductList-Body"/>
        <w:spacing w:before="120"/>
        <w:rPr>
          <w:rFonts w:ascii="Calibri" w:eastAsia="Times New Roman" w:hAnsi="Calibri" w:cs="Calibri"/>
          <w:color w:val="00188F"/>
          <w:szCs w:val="18"/>
        </w:rPr>
      </w:pPr>
      <w:r>
        <w:rPr>
          <w:rFonts w:ascii="Calibri" w:hAnsi="Calibri" w:cs="Calibri"/>
          <w:b/>
          <w:bCs/>
          <w:color w:val="00188F"/>
        </w:rPr>
        <w:t xml:space="preserve">Os seguintes Níveis de Serviço e Créditos de Serviço são aplicáveis à utilização, por parte do Cliente, da camada Fins Gerais do Serviço de Instância Gerida do SQL não </w:t>
      </w:r>
      <w:r>
        <w:rPr>
          <w:rFonts w:ascii="Calibri" w:eastAsia="Times New Roman" w:hAnsi="Calibri" w:cs="Calibri"/>
          <w:b/>
          <w:bCs/>
          <w:color w:val="00188F"/>
          <w:szCs w:val="18"/>
        </w:rPr>
        <w:t>configurada para Implementações Redundantes por Zona com Configuração de Rede Compatível:</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80379" w:rsidRPr="00B44CF9" w14:paraId="1B303CEC" w14:textId="77777777" w:rsidTr="008C29E3">
        <w:trPr>
          <w:tblHeader/>
        </w:trPr>
        <w:tc>
          <w:tcPr>
            <w:tcW w:w="5400" w:type="dxa"/>
            <w:shd w:val="clear" w:color="auto" w:fill="0072C6"/>
          </w:tcPr>
          <w:p w14:paraId="3121AFEA" w14:textId="77777777" w:rsidR="00D80379" w:rsidRPr="005C5594" w:rsidRDefault="00D80379"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74667F58" w14:textId="77777777" w:rsidR="00D80379" w:rsidRPr="005C5594" w:rsidRDefault="00D80379"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80379" w:rsidRPr="00B44CF9" w14:paraId="45610305" w14:textId="77777777" w:rsidTr="008C29E3">
        <w:tc>
          <w:tcPr>
            <w:tcW w:w="5400" w:type="dxa"/>
          </w:tcPr>
          <w:p w14:paraId="249DD738"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99,99%</w:t>
            </w:r>
          </w:p>
        </w:tc>
        <w:tc>
          <w:tcPr>
            <w:tcW w:w="5400" w:type="dxa"/>
          </w:tcPr>
          <w:p w14:paraId="56563CA2"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10%</w:t>
            </w:r>
          </w:p>
        </w:tc>
      </w:tr>
      <w:tr w:rsidR="00D80379" w:rsidRPr="00B44CF9" w14:paraId="22B47F7C" w14:textId="77777777" w:rsidTr="008C29E3">
        <w:tc>
          <w:tcPr>
            <w:tcW w:w="5400" w:type="dxa"/>
          </w:tcPr>
          <w:p w14:paraId="35BDAD6F"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99%</w:t>
            </w:r>
          </w:p>
        </w:tc>
        <w:tc>
          <w:tcPr>
            <w:tcW w:w="5400" w:type="dxa"/>
          </w:tcPr>
          <w:p w14:paraId="48B35444"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25%</w:t>
            </w:r>
          </w:p>
        </w:tc>
      </w:tr>
      <w:tr w:rsidR="00D80379" w:rsidRPr="00B44CF9" w14:paraId="7CB6A38F" w14:textId="77777777" w:rsidTr="008C29E3">
        <w:tc>
          <w:tcPr>
            <w:tcW w:w="5400" w:type="dxa"/>
          </w:tcPr>
          <w:p w14:paraId="018B762B"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&lt; 95%</w:t>
            </w:r>
          </w:p>
        </w:tc>
        <w:tc>
          <w:tcPr>
            <w:tcW w:w="5400" w:type="dxa"/>
          </w:tcPr>
          <w:p w14:paraId="5E40F2FC" w14:textId="77777777" w:rsidR="00D80379" w:rsidRPr="005C5594" w:rsidRDefault="00D80379" w:rsidP="008C29E3">
            <w:pPr>
              <w:pStyle w:val="ProductList-OfferingBody"/>
              <w:jc w:val="center"/>
              <w:rPr>
                <w:rFonts w:ascii="Calibri" w:hAnsi="Calibri" w:cs="Calibri"/>
                <w:szCs w:val="16"/>
              </w:rPr>
            </w:pPr>
            <w:r>
              <w:rPr>
                <w:rFonts w:ascii="Calibri" w:hAnsi="Calibri" w:cs="Calibri"/>
                <w:szCs w:val="16"/>
              </w:rPr>
              <w:t>100%</w:t>
            </w:r>
          </w:p>
        </w:tc>
      </w:tr>
    </w:tbl>
    <w:p w14:paraId="4D5A6491"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D234023" w14:textId="25288698" w:rsidR="0017060C" w:rsidRPr="00EF7CF9" w:rsidRDefault="0017060C" w:rsidP="00DC1476">
      <w:pPr>
        <w:pStyle w:val="ProductList-Offering2Heading"/>
        <w:keepNext/>
        <w:keepLines/>
        <w:tabs>
          <w:tab w:val="clear" w:pos="360"/>
          <w:tab w:val="clear" w:pos="720"/>
          <w:tab w:val="clear" w:pos="1080"/>
        </w:tabs>
        <w:outlineLvl w:val="2"/>
      </w:pPr>
      <w:bookmarkStart w:id="399" w:name="_Toc239176532"/>
      <w:r>
        <w:lastRenderedPageBreak/>
        <w:t>SQL Server Stretch Database</w:t>
      </w:r>
      <w:bookmarkEnd w:id="396"/>
      <w:bookmarkEnd w:id="397"/>
      <w:bookmarkEnd w:id="399"/>
    </w:p>
    <w:bookmarkEnd w:id="398"/>
    <w:p w14:paraId="7C606DFB" w14:textId="77777777" w:rsidR="0017060C" w:rsidRPr="00EF7CF9" w:rsidRDefault="0017060C" w:rsidP="00DC1476">
      <w:pPr>
        <w:pStyle w:val="ProductList-Body"/>
        <w:keepNext/>
        <w:keepLines/>
      </w:pPr>
      <w:r>
        <w:rPr>
          <w:b/>
          <w:color w:val="00188F"/>
        </w:rPr>
        <w:t>Definições Adicionais</w:t>
      </w:r>
      <w:r w:rsidRPr="00473DD3">
        <w:rPr>
          <w:b/>
          <w:color w:val="00188F"/>
        </w:rPr>
        <w:t>:</w:t>
      </w:r>
    </w:p>
    <w:p w14:paraId="1A682C59" w14:textId="4D488D59" w:rsidR="0017060C" w:rsidRPr="00EF7CF9" w:rsidRDefault="00380305" w:rsidP="00F01ED6">
      <w:pPr>
        <w:pStyle w:val="ProductList-Body"/>
      </w:pPr>
      <w:r>
        <w:t>“</w:t>
      </w:r>
      <w:r w:rsidR="0017060C">
        <w:rPr>
          <w:b/>
          <w:color w:val="00188F"/>
        </w:rPr>
        <w:t>Base de Dados</w:t>
      </w:r>
      <w:r>
        <w:t>”</w:t>
      </w:r>
      <w:r w:rsidR="0017060C">
        <w:t xml:space="preserve"> designa uma instância de SQL Server Stretch Database.</w:t>
      </w:r>
    </w:p>
    <w:p w14:paraId="297A170B" w14:textId="40E5D781" w:rsidR="0017060C" w:rsidRPr="00EF7CF9" w:rsidRDefault="00380305" w:rsidP="00F01ED6">
      <w:pPr>
        <w:pStyle w:val="ProductList-Body"/>
      </w:pPr>
      <w:r>
        <w:t>“</w:t>
      </w:r>
      <w:r w:rsidR="0017060C">
        <w:rPr>
          <w:b/>
          <w:color w:val="00188F"/>
        </w:rPr>
        <w:t>Máximo de Minutos Disponíveis</w:t>
      </w:r>
      <w:r>
        <w:t>”</w:t>
      </w:r>
      <w:r w:rsidR="0017060C">
        <w:t xml:space="preserve"> designa o número total de minutos durante os quais uma determinada Base de Dados foi implementada numa determinada subscrição do Microsoft Azure durante um Período Aplicável.</w:t>
      </w:r>
    </w:p>
    <w:p w14:paraId="4BD2CA20" w14:textId="3CC6DAFB" w:rsidR="0017060C" w:rsidRPr="003B474A" w:rsidRDefault="0017060C" w:rsidP="00F01ED6">
      <w:pPr>
        <w:pStyle w:val="ProductList-Body"/>
        <w:rPr>
          <w:spacing w:val="-3"/>
        </w:rPr>
      </w:pPr>
      <w:r w:rsidRPr="003B474A">
        <w:rPr>
          <w:b/>
          <w:color w:val="00188F"/>
          <w:spacing w:val="-3"/>
        </w:rPr>
        <w:t>Período de Indisponibilidade</w:t>
      </w:r>
      <w:r w:rsidRPr="00473DD3">
        <w:rPr>
          <w:b/>
          <w:color w:val="00188F"/>
          <w:spacing w:val="-3"/>
        </w:rPr>
        <w:t>:</w:t>
      </w:r>
      <w:r w:rsidRPr="003B474A">
        <w:rPr>
          <w:spacing w:val="-3"/>
        </w:rPr>
        <w:t xml:space="preserve"> designa o total de minutos acumulados em todas as Bases de Dados implementadas pelo Cliente numa determinada subscrição do Microsoft Azure durante os quais a Base de Dados está indisponível. Um minuto é considerado indisponível para uma determinada Base de</w:t>
      </w:r>
      <w:r w:rsidR="003B474A">
        <w:rPr>
          <w:spacing w:val="-3"/>
        </w:rPr>
        <w:t> </w:t>
      </w:r>
      <w:r w:rsidRPr="003B474A">
        <w:rPr>
          <w:spacing w:val="-3"/>
        </w:rPr>
        <w:t>Dados se falharem todas as tentativas contínuas por parte do Cliente para estabelecer uma ligação com a Base de Dados nesse minuto falharem.</w:t>
      </w:r>
    </w:p>
    <w:p w14:paraId="6E461F47" w14:textId="41F0DD57" w:rsidR="0017060C" w:rsidRDefault="00AC48A7" w:rsidP="007442E8">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132AD4B7" w14:textId="18681B6F" w:rsidR="0017060C" w:rsidRPr="00EF7CF9" w:rsidRDefault="00000000" w:rsidP="003E36B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D2F35F0" w14:textId="77777777" w:rsidR="0017060C" w:rsidRPr="00EF7CF9" w:rsidRDefault="0017060C"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C31EF25" w14:textId="77777777" w:rsidR="0017060C" w:rsidRPr="00EF7CF9" w:rsidRDefault="0017060C" w:rsidP="00F01ED6">
            <w:pPr>
              <w:pStyle w:val="ProductList-OfferingBody"/>
              <w:jc w:val="center"/>
              <w:rPr>
                <w:color w:val="FFFFFF" w:themeColor="background1"/>
              </w:rPr>
            </w:pPr>
            <w:r>
              <w:rPr>
                <w:color w:val="FFFFFF" w:themeColor="background1"/>
              </w:rPr>
              <w:t>Crédito de Serviço</w:t>
            </w:r>
          </w:p>
        </w:tc>
      </w:tr>
      <w:tr w:rsidR="0017060C" w:rsidRPr="00B44CF9" w14:paraId="7DA385FB" w14:textId="77777777" w:rsidTr="00277097">
        <w:tc>
          <w:tcPr>
            <w:tcW w:w="5400" w:type="dxa"/>
          </w:tcPr>
          <w:p w14:paraId="3FBEF90F" w14:textId="77777777" w:rsidR="0017060C" w:rsidRPr="00EF7CF9" w:rsidRDefault="0017060C" w:rsidP="00F01ED6">
            <w:pPr>
              <w:pStyle w:val="ProductList-OfferingBody"/>
              <w:jc w:val="center"/>
            </w:pPr>
            <w:r>
              <w:t>&lt; 99,9%</w:t>
            </w:r>
          </w:p>
        </w:tc>
        <w:tc>
          <w:tcPr>
            <w:tcW w:w="5400" w:type="dxa"/>
          </w:tcPr>
          <w:p w14:paraId="1C6584C7" w14:textId="77777777" w:rsidR="0017060C" w:rsidRPr="00EF7CF9" w:rsidRDefault="0017060C" w:rsidP="00F01ED6">
            <w:pPr>
              <w:pStyle w:val="ProductList-OfferingBody"/>
              <w:jc w:val="center"/>
            </w:pPr>
            <w:r>
              <w:t>10%</w:t>
            </w:r>
          </w:p>
        </w:tc>
      </w:tr>
      <w:tr w:rsidR="0017060C" w:rsidRPr="00B44CF9" w14:paraId="3479755F" w14:textId="77777777" w:rsidTr="00277097">
        <w:tc>
          <w:tcPr>
            <w:tcW w:w="5400" w:type="dxa"/>
          </w:tcPr>
          <w:p w14:paraId="0557D729" w14:textId="77777777" w:rsidR="0017060C" w:rsidRPr="00EF7CF9" w:rsidRDefault="0017060C" w:rsidP="00F01ED6">
            <w:pPr>
              <w:pStyle w:val="ProductList-OfferingBody"/>
              <w:jc w:val="center"/>
            </w:pPr>
            <w:r>
              <w:t>&lt; 99%</w:t>
            </w:r>
          </w:p>
        </w:tc>
        <w:tc>
          <w:tcPr>
            <w:tcW w:w="5400" w:type="dxa"/>
          </w:tcPr>
          <w:p w14:paraId="15E605CE" w14:textId="77777777" w:rsidR="0017060C" w:rsidRPr="00EF7CF9" w:rsidRDefault="0017060C" w:rsidP="00F01ED6">
            <w:pPr>
              <w:pStyle w:val="ProductList-OfferingBody"/>
              <w:jc w:val="center"/>
            </w:pPr>
            <w:r>
              <w:t>25%</w:t>
            </w:r>
          </w:p>
        </w:tc>
      </w:tr>
    </w:tbl>
    <w:p w14:paraId="12286004"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AABEE67" w14:textId="77777777" w:rsidR="0017060C" w:rsidRPr="0017060C" w:rsidRDefault="0017060C" w:rsidP="00F01ED6">
      <w:pPr>
        <w:pStyle w:val="ProductList-Offering2Heading"/>
        <w:keepNext/>
        <w:tabs>
          <w:tab w:val="clear" w:pos="360"/>
          <w:tab w:val="clear" w:pos="720"/>
          <w:tab w:val="clear" w:pos="1080"/>
        </w:tabs>
        <w:outlineLvl w:val="2"/>
      </w:pPr>
      <w:bookmarkStart w:id="400" w:name="_Toc239176533"/>
      <w:r>
        <w:t>Aplicações Web Estáticas</w:t>
      </w:r>
      <w:bookmarkEnd w:id="400"/>
    </w:p>
    <w:p w14:paraId="30E5D55D" w14:textId="77777777" w:rsidR="0017060C" w:rsidRPr="0017060C" w:rsidRDefault="0017060C" w:rsidP="00F01ED6">
      <w:pPr>
        <w:pStyle w:val="ProductList-Body"/>
        <w:rPr>
          <w:b/>
          <w:bCs/>
          <w:color w:val="00188F"/>
        </w:rPr>
      </w:pPr>
      <w:r>
        <w:rPr>
          <w:b/>
          <w:bCs/>
          <w:color w:val="00188F"/>
        </w:rPr>
        <w:t>Definições Adicionais</w:t>
      </w:r>
    </w:p>
    <w:p w14:paraId="7C3712A5" w14:textId="6E09EFE1" w:rsidR="0017060C" w:rsidRDefault="00380305" w:rsidP="00F01ED6">
      <w:pPr>
        <w:pStyle w:val="ProductList-Body"/>
      </w:pPr>
      <w:r>
        <w:t>“</w:t>
      </w:r>
      <w:r w:rsidR="0017060C">
        <w:rPr>
          <w:b/>
          <w:bCs/>
          <w:color w:val="00188F"/>
        </w:rPr>
        <w:t>Minutos de Implementação</w:t>
      </w:r>
      <w:r>
        <w:t>”</w:t>
      </w:r>
      <w:r w:rsidR="0017060C">
        <w:t xml:space="preserve"> designa o número total de minutos durante os quais uma determinada Aplicação foi definida para ser executada no Microsoft Azure durante um Período Aplicável. Os Minutos de Implementação são calculados a partir do momento em que a Aplicação foi criada ou</w:t>
      </w:r>
      <w:r w:rsidR="007674D1">
        <w:t> </w:t>
      </w:r>
      <w:r w:rsidR="0017060C">
        <w:t>o Cliente iniciou uma ação que resultaria na execução da Aplicação até ao momento em que o Cliente iniciou uma ação que resultaria na interrupção ou eliminação da Aplicação.</w:t>
      </w:r>
    </w:p>
    <w:p w14:paraId="2CF8C7A3" w14:textId="16C3989D" w:rsidR="0017060C" w:rsidRDefault="00380305" w:rsidP="00F01ED6">
      <w:pPr>
        <w:pStyle w:val="ProductList-Body"/>
      </w:pPr>
      <w:r>
        <w:t>“</w:t>
      </w:r>
      <w:r w:rsidR="0017060C">
        <w:rPr>
          <w:b/>
          <w:bCs/>
          <w:color w:val="00188F"/>
        </w:rPr>
        <w:t>Máximo de Minutos Disponíveis</w:t>
      </w:r>
      <w:r>
        <w:t>”</w:t>
      </w:r>
      <w:r w:rsidR="0017060C">
        <w:t xml:space="preserve"> designa a soma de todos os Minutos de Implementação em todas as Aplicações implementadas pelo Cliente numa determinada subscrição do Microsoft Azure durante um Período Aplicável.</w:t>
      </w:r>
    </w:p>
    <w:p w14:paraId="73041906" w14:textId="3D9EEEF1" w:rsidR="0017060C" w:rsidRDefault="00380305" w:rsidP="00F01ED6">
      <w:pPr>
        <w:pStyle w:val="ProductList-Body"/>
      </w:pPr>
      <w:r>
        <w:t>“</w:t>
      </w:r>
      <w:r w:rsidR="0017060C">
        <w:rPr>
          <w:b/>
          <w:bCs/>
          <w:color w:val="00188F"/>
        </w:rPr>
        <w:t>Aplicação</w:t>
      </w:r>
      <w:r>
        <w:t>”</w:t>
      </w:r>
      <w:r w:rsidR="0017060C">
        <w:t xml:space="preserve"> é uma aplicação Web implementada pelo Cliente nas aplicações Web Estáticas.</w:t>
      </w:r>
    </w:p>
    <w:p w14:paraId="7849AF2E" w14:textId="77777777" w:rsidR="0017060C" w:rsidRDefault="0017060C" w:rsidP="00F01ED6">
      <w:pPr>
        <w:pStyle w:val="ProductList-Body"/>
      </w:pPr>
      <w:r>
        <w:rPr>
          <w:b/>
          <w:bCs/>
          <w:color w:val="00188F"/>
        </w:rPr>
        <w:t>Período de Indisponibilidade:</w:t>
      </w:r>
      <w:r>
        <w:t xml:space="preserve"> O total de Minutos de Implementação acumulados, em todas as Aplicações implementadas pelo Cliente numa determinada subscrição do Microsoft Azure, na qual a Aplicação está indisponível. Um minuto é considerado indisponível para uma determinada Aplicação quando não existe nenhuma conectividade entre a Aplicação e o gateway de Internet da Microsoft.</w:t>
      </w:r>
    </w:p>
    <w:p w14:paraId="4C60B400" w14:textId="6CE15D80" w:rsidR="0017060C" w:rsidRDefault="00AC48A7" w:rsidP="00F01ED6">
      <w:pPr>
        <w:pStyle w:val="ProductList-Body"/>
      </w:pPr>
      <w:r>
        <w:rPr>
          <w:b/>
          <w:bCs/>
          <w:color w:val="00188F"/>
        </w:rPr>
        <w:t>Percentagem de Período de Disponibilidade:</w:t>
      </w:r>
      <w:r>
        <w:t xml:space="preserve"> A Percentagem de Período de Disponibilidade é calculada através da seguinte fórmula:</w:t>
      </w:r>
    </w:p>
    <w:p w14:paraId="147DC32C" w14:textId="56DCC064" w:rsidR="0017060C" w:rsidRPr="00EF7CF9" w:rsidRDefault="00000000" w:rsidP="003E36B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763CB418" w14:textId="2A3C4401" w:rsidR="0017060C" w:rsidRPr="00B00BE0" w:rsidRDefault="0017060C" w:rsidP="00F01ED6">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8BB82AA" w14:textId="77777777" w:rsidR="00B00BE0" w:rsidRPr="00EF7CF9" w:rsidRDefault="00B00BE0" w:rsidP="00F01ED6">
            <w:pPr>
              <w:pStyle w:val="ProductList-OfferingBody"/>
              <w:jc w:val="center"/>
              <w:rPr>
                <w:color w:val="FFFFFF" w:themeColor="background1"/>
              </w:rPr>
            </w:pPr>
            <w:r>
              <w:rPr>
                <w:color w:val="FFFFFF" w:themeColor="background1"/>
              </w:rPr>
              <w:t>Crédito de Serviço</w:t>
            </w:r>
          </w:p>
        </w:tc>
      </w:tr>
      <w:tr w:rsidR="00B00BE0" w:rsidRPr="00B44CF9" w14:paraId="6B1B2870" w14:textId="77777777" w:rsidTr="00277097">
        <w:tc>
          <w:tcPr>
            <w:tcW w:w="5400" w:type="dxa"/>
          </w:tcPr>
          <w:p w14:paraId="65BC5D0B" w14:textId="16428DF9" w:rsidR="00B00BE0" w:rsidRPr="00EF7CF9" w:rsidRDefault="00B00BE0" w:rsidP="00F01ED6">
            <w:pPr>
              <w:pStyle w:val="ProductList-OfferingBody"/>
              <w:jc w:val="center"/>
            </w:pPr>
            <w:r>
              <w:t>&lt; 99,95%</w:t>
            </w:r>
          </w:p>
        </w:tc>
        <w:tc>
          <w:tcPr>
            <w:tcW w:w="5400" w:type="dxa"/>
          </w:tcPr>
          <w:p w14:paraId="064A4A90" w14:textId="77777777" w:rsidR="00B00BE0" w:rsidRPr="00EF7CF9" w:rsidRDefault="00B00BE0" w:rsidP="00F01ED6">
            <w:pPr>
              <w:pStyle w:val="ProductList-OfferingBody"/>
              <w:jc w:val="center"/>
            </w:pPr>
            <w:r>
              <w:t>10%</w:t>
            </w:r>
          </w:p>
        </w:tc>
      </w:tr>
      <w:tr w:rsidR="00B00BE0" w:rsidRPr="00B44CF9" w14:paraId="547B38E5" w14:textId="77777777" w:rsidTr="00277097">
        <w:tc>
          <w:tcPr>
            <w:tcW w:w="5400" w:type="dxa"/>
          </w:tcPr>
          <w:p w14:paraId="0BEB3E63" w14:textId="77777777" w:rsidR="00B00BE0" w:rsidRPr="00EF7CF9" w:rsidRDefault="00B00BE0" w:rsidP="00F01ED6">
            <w:pPr>
              <w:pStyle w:val="ProductList-OfferingBody"/>
              <w:jc w:val="center"/>
            </w:pPr>
            <w:r>
              <w:t>&lt; 99%</w:t>
            </w:r>
          </w:p>
        </w:tc>
        <w:tc>
          <w:tcPr>
            <w:tcW w:w="5400" w:type="dxa"/>
          </w:tcPr>
          <w:p w14:paraId="5AC50C71" w14:textId="77777777" w:rsidR="00B00BE0" w:rsidRPr="00EF7CF9" w:rsidRDefault="00B00BE0" w:rsidP="00F01ED6">
            <w:pPr>
              <w:pStyle w:val="ProductList-OfferingBody"/>
              <w:jc w:val="center"/>
            </w:pPr>
            <w:r>
              <w:t>25%</w:t>
            </w:r>
          </w:p>
        </w:tc>
      </w:tr>
    </w:tbl>
    <w:p w14:paraId="62E029BE" w14:textId="77777777" w:rsidR="0017060C" w:rsidRDefault="0017060C" w:rsidP="007442E8">
      <w:pPr>
        <w:pStyle w:val="ProductList-Body"/>
        <w:spacing w:before="120"/>
      </w:pPr>
      <w:r>
        <w:rPr>
          <w:b/>
          <w:bCs/>
          <w:color w:val="00188F"/>
        </w:rPr>
        <w:t>Termos Adicionais:</w:t>
      </w:r>
      <w:r>
        <w:t xml:space="preserve"> Os Créditos de Serviço só são aplicáveis a taxas passíveis de serem atribuídas à utilização que o Cliente faz das aplicações Web estáticas e não a taxas passíveis de serem atribuídas a outros tipos de aplicações disponíveis.</w:t>
      </w:r>
    </w:p>
    <w:p w14:paraId="67E45F57" w14:textId="77777777" w:rsidR="00A72CAC" w:rsidRPr="00EF7CF9" w:rsidRDefault="00A72CAC" w:rsidP="00A72CA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5E1738F" w14:textId="0D569D00" w:rsidR="00E96EE7" w:rsidRPr="00EF7CF9" w:rsidRDefault="00E96EE7" w:rsidP="007442E8">
      <w:pPr>
        <w:pStyle w:val="ProductList-Offering2Heading"/>
        <w:tabs>
          <w:tab w:val="clear" w:pos="360"/>
          <w:tab w:val="clear" w:pos="720"/>
          <w:tab w:val="clear" w:pos="1080"/>
        </w:tabs>
        <w:spacing w:before="200"/>
        <w:outlineLvl w:val="2"/>
      </w:pPr>
      <w:bookmarkStart w:id="401" w:name="_Toc457821581"/>
      <w:bookmarkStart w:id="402" w:name="_Toc52348990"/>
      <w:bookmarkStart w:id="403" w:name="_Toc239176534"/>
      <w:bookmarkStart w:id="404" w:name="StorageService"/>
      <w:r>
        <w:t xml:space="preserve">Contas de </w:t>
      </w:r>
      <w:bookmarkEnd w:id="401"/>
      <w:bookmarkEnd w:id="402"/>
      <w:r>
        <w:t>Armazenamento</w:t>
      </w:r>
      <w:bookmarkEnd w:id="403"/>
    </w:p>
    <w:p w14:paraId="23EED279" w14:textId="77777777" w:rsidR="00D25E5E" w:rsidRPr="00851B3D" w:rsidRDefault="00D25E5E" w:rsidP="00D25E5E">
      <w:pPr>
        <w:pStyle w:val="ProductList-Body"/>
        <w:rPr>
          <w:rFonts w:ascii="Calibri" w:hAnsi="Calibri" w:cs="Calibri"/>
        </w:rPr>
      </w:pPr>
      <w:bookmarkStart w:id="405" w:name="StorSimple"/>
      <w:bookmarkStart w:id="406" w:name="_Toc52349011"/>
      <w:bookmarkEnd w:id="404"/>
      <w:r>
        <w:rPr>
          <w:rFonts w:ascii="Calibri" w:hAnsi="Calibri" w:cs="Calibri"/>
          <w:b/>
          <w:color w:val="00188F"/>
        </w:rPr>
        <w:t>Definições Adicionais</w:t>
      </w:r>
      <w:r>
        <w:rPr>
          <w:rFonts w:ascii="Calibri" w:hAnsi="Calibri" w:cs="Calibri"/>
        </w:rPr>
        <w:t>:</w:t>
      </w:r>
    </w:p>
    <w:p w14:paraId="1C0D39E3" w14:textId="77777777" w:rsidR="00D25E5E" w:rsidRPr="00851B3D"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Camada de Acesso de Arquivo</w:t>
      </w:r>
      <w:r>
        <w:rPr>
          <w:rFonts w:ascii="Calibri" w:hAnsi="Calibri" w:cs="Calibri"/>
        </w:rPr>
        <w:t>”</w:t>
      </w:r>
      <w:r>
        <w:rPr>
          <w:rFonts w:ascii="Calibri" w:hAnsi="Calibri" w:cs="Calibri"/>
          <w:b/>
          <w:color w:val="00188F"/>
        </w:rPr>
        <w:t xml:space="preserve"> </w:t>
      </w:r>
      <w:r>
        <w:rPr>
          <w:rFonts w:ascii="Calibri" w:hAnsi="Calibri" w:cs="Calibri"/>
        </w:rPr>
        <w:t xml:space="preserve">designa uma camada otimizada para armazenar os dados que raramente são acedidos e que têm requisitos de latência flexíveis, na ordem das horas. </w:t>
      </w:r>
    </w:p>
    <w:p w14:paraId="42726958" w14:textId="77777777" w:rsidR="00D25E5E" w:rsidRPr="00851B3D" w:rsidRDefault="00D25E5E" w:rsidP="00D25E5E">
      <w:pPr>
        <w:pStyle w:val="ProductList-Body"/>
        <w:rPr>
          <w:rFonts w:ascii="Calibri" w:hAnsi="Calibri" w:cs="Calibri"/>
        </w:rPr>
      </w:pPr>
      <w:r w:rsidRPr="00FD0218">
        <w:rPr>
          <w:rFonts w:ascii="Calibri" w:hAnsi="Calibri" w:cs="Calibri"/>
        </w:rPr>
        <w:t xml:space="preserve">A </w:t>
      </w:r>
      <w:r>
        <w:rPr>
          <w:rFonts w:ascii="Calibri" w:hAnsi="Calibri" w:cs="Calibri"/>
        </w:rPr>
        <w:t>“</w:t>
      </w:r>
      <w:r>
        <w:rPr>
          <w:rFonts w:ascii="Calibri" w:hAnsi="Calibri" w:cs="Calibri"/>
          <w:b/>
          <w:color w:val="00188F"/>
        </w:rPr>
        <w:t>Taxa Média de Erros</w:t>
      </w:r>
      <w:r>
        <w:rPr>
          <w:rFonts w:ascii="Calibri" w:hAnsi="Calibri" w:cs="Calibri"/>
        </w:rPr>
        <w:t>”</w:t>
      </w:r>
      <w:r>
        <w:rPr>
          <w:rFonts w:ascii="Calibri" w:hAnsi="Calibri" w:cs="Calibri"/>
          <w:b/>
          <w:color w:val="00188F"/>
        </w:rPr>
        <w:t xml:space="preserve"> </w:t>
      </w:r>
      <w:r>
        <w:rPr>
          <w:rFonts w:ascii="Calibri" w:hAnsi="Calibri" w:cs="Calibri"/>
        </w:rPr>
        <w:t>para</w:t>
      </w:r>
      <w:r>
        <w:rPr>
          <w:rFonts w:ascii="Calibri" w:hAnsi="Calibri" w:cs="Calibri"/>
          <w:b/>
          <w:color w:val="00188F"/>
        </w:rPr>
        <w:t xml:space="preserve"> </w:t>
      </w:r>
      <w:r>
        <w:rPr>
          <w:rFonts w:ascii="Calibri" w:hAnsi="Calibri" w:cs="Calibri"/>
        </w:rPr>
        <w:t xml:space="preserve">um Período Aplicável designa a soma das Taxas de Erros para cada hora no Período Aplicável a dividir pelo número total de horas no Período Aplicável. </w:t>
      </w:r>
    </w:p>
    <w:p w14:paraId="3A40316E" w14:textId="77777777" w:rsidR="00D25E5E" w:rsidRPr="00851B3D" w:rsidRDefault="00D25E5E" w:rsidP="00D25E5E">
      <w:pPr>
        <w:pStyle w:val="ProductList-Body"/>
        <w:rPr>
          <w:rFonts w:ascii="Calibri" w:hAnsi="Calibri" w:cs="Calibri"/>
        </w:rPr>
      </w:pPr>
      <w:r>
        <w:rPr>
          <w:rFonts w:ascii="Calibri" w:hAnsi="Calibri" w:cs="Calibri"/>
          <w:bCs/>
        </w:rPr>
        <w:t>“</w:t>
      </w:r>
      <w:r>
        <w:rPr>
          <w:rFonts w:ascii="Calibri" w:hAnsi="Calibri" w:cs="Calibri"/>
          <w:b/>
          <w:bCs/>
          <w:color w:val="00188F"/>
        </w:rPr>
        <w:t>Conta de Armazenamento de Blob</w:t>
      </w:r>
      <w:r>
        <w:rPr>
          <w:rFonts w:ascii="Calibri" w:hAnsi="Calibri" w:cs="Calibri"/>
          <w:bCs/>
        </w:rPr>
        <w:t>”</w:t>
      </w:r>
      <w:r>
        <w:rPr>
          <w:rFonts w:ascii="Calibri" w:hAnsi="Calibri" w:cs="Calibri"/>
        </w:rPr>
        <w:t xml:space="preserve"> designa uma conta de armazenamento especializada no armazenamento de dados como blobs e permite especificar uma camada de acesso que indica a frequência com que os dados nessa conta são acedidos.</w:t>
      </w:r>
    </w:p>
    <w:p w14:paraId="4BB52858" w14:textId="77777777" w:rsidR="00D25E5E" w:rsidRPr="00851B3D" w:rsidRDefault="00D25E5E" w:rsidP="00D25E5E">
      <w:pPr>
        <w:pStyle w:val="ProductList-Body"/>
        <w:rPr>
          <w:rFonts w:ascii="Calibri" w:hAnsi="Calibri" w:cs="Calibri"/>
        </w:rPr>
      </w:pPr>
      <w:r>
        <w:rPr>
          <w:rFonts w:ascii="Calibri" w:hAnsi="Calibri" w:cs="Calibri"/>
          <w:bCs/>
        </w:rPr>
        <w:t>“</w:t>
      </w:r>
      <w:r>
        <w:rPr>
          <w:rFonts w:ascii="Calibri" w:hAnsi="Calibri" w:cs="Calibri"/>
          <w:b/>
          <w:bCs/>
          <w:color w:val="00188F"/>
        </w:rPr>
        <w:t>Conta de Armazenamento de Blobs de Blocos</w:t>
      </w:r>
      <w:r>
        <w:rPr>
          <w:rFonts w:ascii="Calibri" w:hAnsi="Calibri" w:cs="Calibri"/>
          <w:bCs/>
        </w:rPr>
        <w:t>”</w:t>
      </w:r>
      <w:r>
        <w:rPr>
          <w:rFonts w:ascii="Calibri" w:hAnsi="Calibri" w:cs="Calibri"/>
        </w:rPr>
        <w:t xml:space="preserve"> designa uma conta de armazenamento especializada no armazenamento de dados como blobs de blocos ou de acréscimo em unidades de estado sólido.</w:t>
      </w:r>
    </w:p>
    <w:p w14:paraId="7FD99A92" w14:textId="77777777" w:rsidR="00D25E5E" w:rsidRPr="00851B3D" w:rsidRDefault="00D25E5E" w:rsidP="00D25E5E">
      <w:pPr>
        <w:pStyle w:val="ProductList-Body"/>
        <w:rPr>
          <w:rFonts w:ascii="Calibri" w:hAnsi="Calibri" w:cs="Calibri"/>
        </w:rPr>
      </w:pPr>
      <w:r>
        <w:rPr>
          <w:rFonts w:ascii="Calibri" w:hAnsi="Calibri" w:cs="Calibri"/>
          <w:bCs/>
        </w:rPr>
        <w:t>“</w:t>
      </w:r>
      <w:r>
        <w:rPr>
          <w:rFonts w:ascii="Calibri" w:hAnsi="Calibri" w:cs="Calibri"/>
          <w:b/>
          <w:bCs/>
          <w:color w:val="00188F"/>
        </w:rPr>
        <w:t>Camada de Acesso Infrequente</w:t>
      </w:r>
      <w:r>
        <w:rPr>
          <w:rFonts w:ascii="Calibri" w:hAnsi="Calibri" w:cs="Calibri"/>
          <w:bCs/>
        </w:rPr>
        <w:t>”</w:t>
      </w:r>
      <w:r>
        <w:rPr>
          <w:rFonts w:ascii="Calibri" w:hAnsi="Calibri" w:cs="Calibri"/>
        </w:rPr>
        <w:t xml:space="preserve"> designa um atributo de um blob ou conta que indica que estes são acedidos raramente e tem um nível de serviço de disponibilidade inferior aos blobs na Camada de Acesso Frequente.</w:t>
      </w:r>
    </w:p>
    <w:p w14:paraId="5A0BD4BD" w14:textId="77777777" w:rsidR="00D25E5E" w:rsidRPr="00851B3D" w:rsidRDefault="00D25E5E" w:rsidP="00D25E5E">
      <w:pPr>
        <w:pStyle w:val="ProductList-Body"/>
        <w:rPr>
          <w:rFonts w:ascii="Calibri" w:hAnsi="Calibri" w:cs="Calibri"/>
        </w:rPr>
      </w:pPr>
      <w:r>
        <w:rPr>
          <w:rFonts w:ascii="Calibri" w:hAnsi="Calibri" w:cs="Calibri"/>
          <w:bCs/>
        </w:rPr>
        <w:lastRenderedPageBreak/>
        <w:t>“</w:t>
      </w:r>
      <w:r>
        <w:rPr>
          <w:rFonts w:ascii="Calibri" w:hAnsi="Calibri" w:cs="Calibri"/>
          <w:b/>
          <w:bCs/>
          <w:color w:val="00188F"/>
        </w:rPr>
        <w:t>Camada de Acesso Esporádico</w:t>
      </w:r>
      <w:r>
        <w:rPr>
          <w:rFonts w:ascii="Calibri" w:hAnsi="Calibri" w:cs="Calibri"/>
          <w:bCs/>
        </w:rPr>
        <w:t>”</w:t>
      </w:r>
      <w:r>
        <w:rPr>
          <w:rFonts w:ascii="Calibri" w:hAnsi="Calibri" w:cs="Calibri"/>
        </w:rPr>
        <w:t xml:space="preserve"> designa um atributo de um blob ou de uma conta que indica que o acesso é pouco frequente e tem um nível de serviço de disponibilidade mais baixo do que os blobs na Camada de Acesso Frequente.</w:t>
      </w:r>
    </w:p>
    <w:p w14:paraId="12ED40B0" w14:textId="77777777" w:rsidR="00D25E5E" w:rsidRPr="00851B3D"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Camada de Acesso Frequente</w:t>
      </w:r>
      <w:r>
        <w:rPr>
          <w:rFonts w:ascii="Calibri" w:hAnsi="Calibri" w:cs="Calibri"/>
        </w:rPr>
        <w:t>” designa um atributo de um blob, partilha de ficheiros ou conta que indica que é frequentemente acedida.</w:t>
      </w:r>
    </w:p>
    <w:p w14:paraId="32D7543D" w14:textId="77777777" w:rsidR="00D25E5E" w:rsidRPr="00851B3D"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Transações Excluídas</w:t>
      </w:r>
      <w:r>
        <w:rPr>
          <w:rFonts w:ascii="Calibri" w:hAnsi="Calibri" w:cs="Calibri"/>
        </w:rPr>
        <w:t>” designa as transações de armazenamento que não são consideradas como Total de Transações de Armazenamento ou Transações de Armazenamento com Falhas. As Transações Excluídas incluem falhas de pré-autenticação, falhas de autenticação, transações tentadas para as contas de armazenamento nas respetivas quotas indicadas, criação ou eliminação de contentores, partilhas de ficheiros, tabelas ou filas, limpeza de filas e cópia de blobs ou ficheiros entre contas de armazenamento.</w:t>
      </w:r>
    </w:p>
    <w:p w14:paraId="09C779C3" w14:textId="77777777" w:rsidR="00D25E5E" w:rsidRPr="00851B3D"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Taxa de Erros</w:t>
      </w:r>
      <w:r>
        <w:rPr>
          <w:rFonts w:ascii="Calibri" w:hAnsi="Calibri" w:cs="Calibri"/>
        </w:rPr>
        <w:t>” designa o número total de Transações de Armazenamento com Falhas a dividir pelo Total de Transações de Armazenamento durante um período de tempo determinado (atualmente uma hora). Se o Total de Transações de Armazenamento num intervalo de uma hora for zero, a taxa de erros para esse intervalo é 0%.</w:t>
      </w:r>
    </w:p>
    <w:p w14:paraId="4496D9E6" w14:textId="77777777" w:rsidR="00D25E5E"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Transações de Armazenamento com Falha</w:t>
      </w:r>
      <w:r>
        <w:rPr>
          <w:rFonts w:ascii="Calibri" w:hAnsi="Calibri" w:cs="Calibri"/>
        </w:rPr>
        <w:t>” designa o conjunto de todas as transações de armazenamento no Total de Transações de Armazenamento que não são concluídas no Tempo Máximo de Processamento associado ao respetivo tipo de transação, tal como especificado na tabela abaixo. O Tempo Máximo de Processamento inclui apenas o tempo despendido no processamento de um pedido de transação no Serviço de Armazenamento e não inclui nenhum tempo despendido na transferência do pedido para ou do Serviço de Armazenamento.</w:t>
      </w:r>
    </w:p>
    <w:p w14:paraId="20ECF28E" w14:textId="77777777" w:rsidR="00D758F0" w:rsidRPr="00851B3D" w:rsidRDefault="00D758F0" w:rsidP="00D25E5E">
      <w:pPr>
        <w:pStyle w:val="ProductList-Body"/>
        <w:rPr>
          <w:rFonts w:ascii="Calibri" w:hAnsi="Calibri" w:cs="Calibri"/>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25E5E" w:rsidRPr="00B44CF9" w14:paraId="2E968F4C" w14:textId="77777777" w:rsidTr="008367CC">
        <w:trPr>
          <w:trHeight w:val="245"/>
          <w:tblHeader/>
        </w:trPr>
        <w:tc>
          <w:tcPr>
            <w:tcW w:w="5400" w:type="dxa"/>
            <w:shd w:val="clear" w:color="auto" w:fill="0072C6"/>
          </w:tcPr>
          <w:p w14:paraId="1FD84F4C" w14:textId="77777777" w:rsidR="00D25E5E" w:rsidRPr="00B01FAB" w:rsidRDefault="00D25E5E"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Tipos de Transação</w:t>
            </w:r>
          </w:p>
        </w:tc>
        <w:tc>
          <w:tcPr>
            <w:tcW w:w="5400" w:type="dxa"/>
            <w:shd w:val="clear" w:color="auto" w:fill="0072C6"/>
          </w:tcPr>
          <w:p w14:paraId="4866E61C" w14:textId="77777777" w:rsidR="00D25E5E" w:rsidRPr="00B01FAB" w:rsidRDefault="00D25E5E"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Tempo Máximo de Processamento</w:t>
            </w:r>
          </w:p>
        </w:tc>
      </w:tr>
      <w:tr w:rsidR="00D25E5E" w:rsidRPr="00B44CF9" w14:paraId="1746F275" w14:textId="77777777" w:rsidTr="008367CC">
        <w:trPr>
          <w:trHeight w:val="446"/>
        </w:trPr>
        <w:tc>
          <w:tcPr>
            <w:tcW w:w="5400" w:type="dxa"/>
          </w:tcPr>
          <w:p w14:paraId="61042941" w14:textId="77777777" w:rsidR="00D25E5E" w:rsidRPr="00B01FAB" w:rsidRDefault="00D25E5E" w:rsidP="008367CC">
            <w:pPr>
              <w:pStyle w:val="ProductList-OfferingBody"/>
              <w:rPr>
                <w:rFonts w:ascii="Calibri" w:hAnsi="Calibri" w:cs="Calibri"/>
                <w:szCs w:val="16"/>
              </w:rPr>
            </w:pPr>
            <w:r>
              <w:rPr>
                <w:rFonts w:ascii="Calibri" w:hAnsi="Calibri" w:cs="Calibri"/>
                <w:szCs w:val="16"/>
              </w:rPr>
              <w:t>PutBlob e GetBlob (inclui blocos e páginas)</w:t>
            </w:r>
          </w:p>
          <w:p w14:paraId="77AF89DD" w14:textId="77777777" w:rsidR="00D25E5E" w:rsidRPr="00B01FAB" w:rsidRDefault="00D25E5E" w:rsidP="008367CC">
            <w:pPr>
              <w:pStyle w:val="ProductList-OfferingBody"/>
              <w:rPr>
                <w:rFonts w:ascii="Calibri" w:hAnsi="Calibri" w:cs="Calibri"/>
                <w:szCs w:val="16"/>
              </w:rPr>
            </w:pPr>
            <w:r>
              <w:rPr>
                <w:rFonts w:ascii="Calibri" w:hAnsi="Calibri" w:cs="Calibri"/>
                <w:szCs w:val="16"/>
              </w:rPr>
              <w:t>Obter Intervalos de Blob de Página Válidos</w:t>
            </w:r>
          </w:p>
        </w:tc>
        <w:tc>
          <w:tcPr>
            <w:tcW w:w="5400" w:type="dxa"/>
          </w:tcPr>
          <w:p w14:paraId="2448C8AA" w14:textId="77777777" w:rsidR="00D25E5E" w:rsidRPr="00B01FAB" w:rsidRDefault="00D25E5E" w:rsidP="008367CC">
            <w:pPr>
              <w:pStyle w:val="ProductList-OfferingBody"/>
              <w:rPr>
                <w:rFonts w:ascii="Calibri" w:hAnsi="Calibri" w:cs="Calibri"/>
                <w:szCs w:val="16"/>
              </w:rPr>
            </w:pPr>
            <w:r>
              <w:rPr>
                <w:rFonts w:ascii="Calibri" w:eastAsia="Times New Roman" w:hAnsi="Calibri" w:cs="Calibri"/>
                <w:szCs w:val="16"/>
              </w:rPr>
              <w:t>Dois (2) segundos multiplicados pelo número de MBs transferidos no decorrer do processamento do pedido</w:t>
            </w:r>
          </w:p>
        </w:tc>
      </w:tr>
      <w:tr w:rsidR="00D25E5E" w:rsidRPr="00B44CF9" w14:paraId="37DC74DA" w14:textId="77777777" w:rsidTr="008367CC">
        <w:trPr>
          <w:trHeight w:val="446"/>
        </w:trPr>
        <w:tc>
          <w:tcPr>
            <w:tcW w:w="5400" w:type="dxa"/>
          </w:tcPr>
          <w:p w14:paraId="17D03E09" w14:textId="77777777" w:rsidR="00D25E5E" w:rsidRPr="00B01FAB" w:rsidRDefault="00D25E5E" w:rsidP="008367CC">
            <w:pPr>
              <w:pStyle w:val="ProductList-OfferingBody"/>
              <w:rPr>
                <w:rFonts w:ascii="Calibri" w:hAnsi="Calibri" w:cs="Calibri"/>
                <w:szCs w:val="16"/>
              </w:rPr>
            </w:pPr>
            <w:r>
              <w:rPr>
                <w:rFonts w:ascii="Calibri" w:hAnsi="Calibri" w:cs="Calibri"/>
                <w:szCs w:val="16"/>
              </w:rPr>
              <w:t xml:space="preserve">PutFile e GetFile </w:t>
            </w:r>
          </w:p>
        </w:tc>
        <w:tc>
          <w:tcPr>
            <w:tcW w:w="5400" w:type="dxa"/>
          </w:tcPr>
          <w:p w14:paraId="2AE89658" w14:textId="77777777" w:rsidR="00D25E5E" w:rsidRPr="00B01FAB" w:rsidRDefault="00D25E5E" w:rsidP="008367CC">
            <w:pPr>
              <w:pStyle w:val="ProductList-OfferingBody"/>
              <w:rPr>
                <w:rFonts w:ascii="Calibri" w:eastAsia="Times New Roman" w:hAnsi="Calibri" w:cs="Calibri"/>
                <w:szCs w:val="16"/>
              </w:rPr>
            </w:pPr>
            <w:r>
              <w:rPr>
                <w:rFonts w:ascii="Calibri" w:hAnsi="Calibri" w:cs="Calibri"/>
                <w:szCs w:val="16"/>
              </w:rPr>
              <w:t>Dois (2) segundos multiplicados pelo número de MBs transferidos no decorrer do processamento do pedido</w:t>
            </w:r>
          </w:p>
        </w:tc>
      </w:tr>
      <w:tr w:rsidR="00D25E5E" w:rsidRPr="00B44CF9" w14:paraId="18C75759" w14:textId="77777777" w:rsidTr="008367CC">
        <w:trPr>
          <w:trHeight w:val="446"/>
        </w:trPr>
        <w:tc>
          <w:tcPr>
            <w:tcW w:w="5400" w:type="dxa"/>
          </w:tcPr>
          <w:p w14:paraId="1F7BA298" w14:textId="77777777" w:rsidR="00D25E5E" w:rsidRPr="00B01FAB" w:rsidRDefault="00D25E5E" w:rsidP="008367CC">
            <w:pPr>
              <w:pStyle w:val="ProductList-OfferingBody"/>
              <w:rPr>
                <w:rFonts w:ascii="Calibri" w:hAnsi="Calibri" w:cs="Calibri"/>
                <w:szCs w:val="16"/>
              </w:rPr>
            </w:pPr>
            <w:r>
              <w:rPr>
                <w:rFonts w:ascii="Calibri" w:hAnsi="Calibri" w:cs="Calibri"/>
                <w:szCs w:val="16"/>
              </w:rPr>
              <w:t>Copiar Blob</w:t>
            </w:r>
          </w:p>
        </w:tc>
        <w:tc>
          <w:tcPr>
            <w:tcW w:w="5400" w:type="dxa"/>
          </w:tcPr>
          <w:p w14:paraId="65195B10" w14:textId="77777777" w:rsidR="00D25E5E" w:rsidRPr="00B01FAB" w:rsidRDefault="00D25E5E" w:rsidP="008367CC">
            <w:pPr>
              <w:pStyle w:val="ProductList-OfferingBody"/>
              <w:rPr>
                <w:rFonts w:ascii="Calibri" w:hAnsi="Calibri" w:cs="Calibri"/>
                <w:szCs w:val="16"/>
              </w:rPr>
            </w:pPr>
            <w:r>
              <w:rPr>
                <w:rFonts w:ascii="Calibri" w:eastAsia="Times New Roman" w:hAnsi="Calibri" w:cs="Calibri"/>
                <w:szCs w:val="16"/>
              </w:rPr>
              <w:t>Noventa (90) segundos (em que os blobs de origem e de destino se encontram na mesma conta de armazenamento)</w:t>
            </w:r>
          </w:p>
        </w:tc>
      </w:tr>
      <w:tr w:rsidR="00D25E5E" w:rsidRPr="00B44CF9" w14:paraId="2DBD9462" w14:textId="77777777" w:rsidTr="008367CC">
        <w:trPr>
          <w:trHeight w:val="446"/>
        </w:trPr>
        <w:tc>
          <w:tcPr>
            <w:tcW w:w="5400" w:type="dxa"/>
          </w:tcPr>
          <w:p w14:paraId="326E9F57" w14:textId="77777777" w:rsidR="00D25E5E" w:rsidRPr="00B01FAB" w:rsidRDefault="00D25E5E" w:rsidP="008367CC">
            <w:pPr>
              <w:pStyle w:val="ProductList-OfferingBody"/>
              <w:rPr>
                <w:rFonts w:ascii="Calibri" w:hAnsi="Calibri" w:cs="Calibri"/>
                <w:szCs w:val="16"/>
              </w:rPr>
            </w:pPr>
            <w:r>
              <w:rPr>
                <w:rFonts w:ascii="Calibri" w:hAnsi="Calibri" w:cs="Calibri"/>
                <w:szCs w:val="16"/>
              </w:rPr>
              <w:t>Copiar Ficheiro</w:t>
            </w:r>
          </w:p>
        </w:tc>
        <w:tc>
          <w:tcPr>
            <w:tcW w:w="5400" w:type="dxa"/>
          </w:tcPr>
          <w:p w14:paraId="58E39450" w14:textId="77777777" w:rsidR="00D25E5E" w:rsidRPr="00B01FAB" w:rsidRDefault="00D25E5E" w:rsidP="008367CC">
            <w:pPr>
              <w:pStyle w:val="ProductList-OfferingBody"/>
              <w:rPr>
                <w:rFonts w:ascii="Calibri" w:eastAsia="Times New Roman" w:hAnsi="Calibri" w:cs="Calibri"/>
                <w:szCs w:val="16"/>
              </w:rPr>
            </w:pPr>
            <w:r>
              <w:rPr>
                <w:rFonts w:ascii="Calibri" w:hAnsi="Calibri" w:cs="Calibri"/>
                <w:szCs w:val="16"/>
              </w:rPr>
              <w:t>Noventa (90) segundos (em que os ficheiros de origem e de destino se encontram na mesma conta de armazenamento)</w:t>
            </w:r>
          </w:p>
        </w:tc>
      </w:tr>
      <w:tr w:rsidR="00D25E5E" w:rsidRPr="00B44CF9" w14:paraId="7929852F" w14:textId="77777777" w:rsidTr="008367CC">
        <w:trPr>
          <w:trHeight w:val="446"/>
        </w:trPr>
        <w:tc>
          <w:tcPr>
            <w:tcW w:w="5400" w:type="dxa"/>
          </w:tcPr>
          <w:p w14:paraId="5CF24CD7" w14:textId="77777777" w:rsidR="00D25E5E" w:rsidRPr="00B01FAB" w:rsidRDefault="00D25E5E" w:rsidP="008367CC">
            <w:pPr>
              <w:pStyle w:val="ProductList-OfferingBody"/>
              <w:rPr>
                <w:rFonts w:ascii="Calibri" w:eastAsia="Calibri" w:hAnsi="Calibri" w:cs="Calibri"/>
                <w:szCs w:val="16"/>
              </w:rPr>
            </w:pPr>
            <w:r>
              <w:rPr>
                <w:rFonts w:ascii="Calibri" w:hAnsi="Calibri" w:cs="Calibri"/>
                <w:szCs w:val="16"/>
              </w:rPr>
              <w:t xml:space="preserve">PutBlockList </w:t>
            </w:r>
          </w:p>
          <w:p w14:paraId="567ABAC2" w14:textId="77777777" w:rsidR="00D25E5E" w:rsidRPr="00B01FAB" w:rsidRDefault="00D25E5E" w:rsidP="008367CC">
            <w:pPr>
              <w:pStyle w:val="ProductList-OfferingBody"/>
              <w:rPr>
                <w:rFonts w:ascii="Calibri" w:hAnsi="Calibri" w:cs="Calibri"/>
                <w:szCs w:val="16"/>
              </w:rPr>
            </w:pPr>
            <w:r>
              <w:rPr>
                <w:rFonts w:ascii="Calibri" w:hAnsi="Calibri" w:cs="Calibri"/>
                <w:szCs w:val="16"/>
              </w:rPr>
              <w:t>GetBlockList</w:t>
            </w:r>
          </w:p>
        </w:tc>
        <w:tc>
          <w:tcPr>
            <w:tcW w:w="5400" w:type="dxa"/>
          </w:tcPr>
          <w:p w14:paraId="3D5B7879" w14:textId="77777777" w:rsidR="00D25E5E" w:rsidRPr="00B01FAB" w:rsidRDefault="00D25E5E" w:rsidP="008367CC">
            <w:pPr>
              <w:pStyle w:val="ProductList-OfferingBody"/>
              <w:rPr>
                <w:rFonts w:ascii="Calibri" w:hAnsi="Calibri" w:cs="Calibri"/>
                <w:szCs w:val="16"/>
              </w:rPr>
            </w:pPr>
            <w:r>
              <w:rPr>
                <w:rFonts w:ascii="Calibri" w:eastAsia="Times New Roman" w:hAnsi="Calibri" w:cs="Calibri"/>
                <w:szCs w:val="16"/>
              </w:rPr>
              <w:t>Sessenta (60) segundos</w:t>
            </w:r>
          </w:p>
        </w:tc>
      </w:tr>
      <w:tr w:rsidR="00D25E5E" w:rsidRPr="00B44CF9" w14:paraId="2F78B20E" w14:textId="77777777" w:rsidTr="008367CC">
        <w:trPr>
          <w:trHeight w:val="446"/>
        </w:trPr>
        <w:tc>
          <w:tcPr>
            <w:tcW w:w="5400" w:type="dxa"/>
          </w:tcPr>
          <w:p w14:paraId="48E74400" w14:textId="77777777" w:rsidR="00D25E5E" w:rsidRPr="00B01FAB" w:rsidRDefault="00D25E5E" w:rsidP="008367CC">
            <w:pPr>
              <w:pStyle w:val="ProductList-OfferingBody"/>
              <w:rPr>
                <w:rFonts w:ascii="Calibri" w:hAnsi="Calibri" w:cs="Calibri"/>
                <w:szCs w:val="16"/>
              </w:rPr>
            </w:pPr>
            <w:r>
              <w:rPr>
                <w:rFonts w:ascii="Calibri" w:hAnsi="Calibri" w:cs="Calibri"/>
                <w:szCs w:val="16"/>
              </w:rPr>
              <w:t>Consulta de Tabela</w:t>
            </w:r>
          </w:p>
          <w:p w14:paraId="6B288B70" w14:textId="77777777" w:rsidR="00D25E5E" w:rsidRPr="00B01FAB" w:rsidRDefault="00D25E5E" w:rsidP="008367CC">
            <w:pPr>
              <w:pStyle w:val="ProductList-OfferingBody"/>
              <w:rPr>
                <w:rFonts w:ascii="Calibri" w:hAnsi="Calibri" w:cs="Calibri"/>
                <w:szCs w:val="16"/>
              </w:rPr>
            </w:pPr>
            <w:r>
              <w:rPr>
                <w:rFonts w:ascii="Calibri" w:hAnsi="Calibri" w:cs="Calibri"/>
                <w:szCs w:val="16"/>
              </w:rPr>
              <w:t>Listar Operações</w:t>
            </w:r>
          </w:p>
          <w:p w14:paraId="0D7A46EB" w14:textId="77777777" w:rsidR="00D25E5E" w:rsidRPr="00B01FAB" w:rsidRDefault="00D25E5E" w:rsidP="008367CC">
            <w:pPr>
              <w:pStyle w:val="ProductList-Body"/>
              <w:rPr>
                <w:rFonts w:ascii="Calibri" w:hAnsi="Calibri" w:cs="Calibri"/>
                <w:sz w:val="16"/>
                <w:szCs w:val="16"/>
              </w:rPr>
            </w:pPr>
            <w:r>
              <w:rPr>
                <w:rFonts w:ascii="Calibri" w:hAnsi="Calibri" w:cs="Calibri"/>
                <w:sz w:val="16"/>
                <w:szCs w:val="16"/>
              </w:rPr>
              <w:t>Operações de Localização</w:t>
            </w:r>
          </w:p>
        </w:tc>
        <w:tc>
          <w:tcPr>
            <w:tcW w:w="5400" w:type="dxa"/>
          </w:tcPr>
          <w:p w14:paraId="26FF6955" w14:textId="77777777" w:rsidR="00D25E5E" w:rsidRPr="00B01FAB" w:rsidRDefault="00D25E5E" w:rsidP="008367CC">
            <w:pPr>
              <w:pStyle w:val="ProductList-OfferingBody"/>
              <w:rPr>
                <w:rFonts w:ascii="Calibri" w:hAnsi="Calibri" w:cs="Calibri"/>
                <w:szCs w:val="16"/>
              </w:rPr>
            </w:pPr>
            <w:r>
              <w:rPr>
                <w:rFonts w:ascii="Calibri" w:eastAsia="Times New Roman" w:hAnsi="Calibri" w:cs="Calibri"/>
                <w:szCs w:val="16"/>
              </w:rPr>
              <w:t>Dez (10) segundos (para concluir o processamento ou devolver uma continuação)</w:t>
            </w:r>
          </w:p>
        </w:tc>
      </w:tr>
      <w:tr w:rsidR="00D25E5E" w:rsidRPr="00B44CF9" w14:paraId="45643C09" w14:textId="77777777" w:rsidTr="008367CC">
        <w:trPr>
          <w:trHeight w:val="446"/>
        </w:trPr>
        <w:tc>
          <w:tcPr>
            <w:tcW w:w="5400" w:type="dxa"/>
          </w:tcPr>
          <w:p w14:paraId="44538433" w14:textId="77777777" w:rsidR="00D25E5E" w:rsidRPr="00B01FAB" w:rsidRDefault="00D25E5E" w:rsidP="008367CC">
            <w:pPr>
              <w:pStyle w:val="ProductList-OfferingBody"/>
              <w:rPr>
                <w:rFonts w:ascii="Calibri" w:hAnsi="Calibri" w:cs="Calibri"/>
                <w:szCs w:val="16"/>
              </w:rPr>
            </w:pPr>
            <w:r>
              <w:rPr>
                <w:rFonts w:ascii="Calibri" w:hAnsi="Calibri" w:cs="Calibri"/>
                <w:szCs w:val="16"/>
              </w:rPr>
              <w:t>Agrupar Operações de Tabela</w:t>
            </w:r>
          </w:p>
        </w:tc>
        <w:tc>
          <w:tcPr>
            <w:tcW w:w="5400" w:type="dxa"/>
          </w:tcPr>
          <w:p w14:paraId="53036C72" w14:textId="77777777" w:rsidR="00D25E5E" w:rsidRPr="00B01FAB" w:rsidRDefault="00D25E5E" w:rsidP="008367CC">
            <w:pPr>
              <w:pStyle w:val="ProductList-OfferingBody"/>
              <w:rPr>
                <w:rFonts w:ascii="Calibri" w:hAnsi="Calibri" w:cs="Calibri"/>
                <w:szCs w:val="16"/>
              </w:rPr>
            </w:pPr>
            <w:r>
              <w:rPr>
                <w:rFonts w:ascii="Calibri" w:eastAsia="Times New Roman" w:hAnsi="Calibri" w:cs="Calibri"/>
                <w:szCs w:val="16"/>
              </w:rPr>
              <w:t>Trinta (30) segundos</w:t>
            </w:r>
          </w:p>
        </w:tc>
      </w:tr>
      <w:tr w:rsidR="00D25E5E" w:rsidRPr="00B44CF9" w14:paraId="01DF386C" w14:textId="77777777" w:rsidTr="008367CC">
        <w:trPr>
          <w:trHeight w:val="446"/>
        </w:trPr>
        <w:tc>
          <w:tcPr>
            <w:tcW w:w="5400" w:type="dxa"/>
          </w:tcPr>
          <w:p w14:paraId="31601151" w14:textId="77777777" w:rsidR="00D25E5E" w:rsidRPr="00B01FAB" w:rsidRDefault="00D25E5E" w:rsidP="008367CC">
            <w:pPr>
              <w:pStyle w:val="ProductList-OfferingBody"/>
              <w:rPr>
                <w:rFonts w:ascii="Calibri" w:hAnsi="Calibri" w:cs="Calibri"/>
                <w:szCs w:val="16"/>
              </w:rPr>
            </w:pPr>
            <w:r>
              <w:rPr>
                <w:rFonts w:ascii="Calibri" w:hAnsi="Calibri" w:cs="Calibri"/>
                <w:szCs w:val="16"/>
              </w:rPr>
              <w:t xml:space="preserve">Todas as Operações de Tabela de Entidade Única </w:t>
            </w:r>
          </w:p>
          <w:p w14:paraId="4D85276B" w14:textId="77777777" w:rsidR="00D25E5E" w:rsidRPr="00B01FAB" w:rsidRDefault="00D25E5E" w:rsidP="008367CC">
            <w:pPr>
              <w:pStyle w:val="ProductList-OfferingBody"/>
              <w:rPr>
                <w:rFonts w:ascii="Calibri" w:hAnsi="Calibri" w:cs="Calibri"/>
                <w:szCs w:val="16"/>
              </w:rPr>
            </w:pPr>
            <w:r>
              <w:rPr>
                <w:rFonts w:ascii="Calibri" w:hAnsi="Calibri" w:cs="Calibri"/>
                <w:szCs w:val="16"/>
              </w:rPr>
              <w:t>Todas as outras Operações de Blob, Ficheiro e Mensagem</w:t>
            </w:r>
          </w:p>
        </w:tc>
        <w:tc>
          <w:tcPr>
            <w:tcW w:w="5400" w:type="dxa"/>
          </w:tcPr>
          <w:p w14:paraId="0846094B" w14:textId="77777777" w:rsidR="00D25E5E" w:rsidRPr="00B01FAB" w:rsidRDefault="00D25E5E" w:rsidP="008367CC">
            <w:pPr>
              <w:pStyle w:val="ProductList-OfferingBody"/>
              <w:rPr>
                <w:rFonts w:ascii="Calibri" w:hAnsi="Calibri" w:cs="Calibri"/>
                <w:szCs w:val="16"/>
              </w:rPr>
            </w:pPr>
            <w:r>
              <w:rPr>
                <w:rFonts w:ascii="Calibri" w:eastAsia="Times New Roman" w:hAnsi="Calibri" w:cs="Calibri"/>
                <w:szCs w:val="16"/>
              </w:rPr>
              <w:t>Dois (2) segundos</w:t>
            </w:r>
          </w:p>
        </w:tc>
      </w:tr>
    </w:tbl>
    <w:p w14:paraId="6B844739" w14:textId="77777777" w:rsidR="00D25E5E" w:rsidRPr="00C7204B" w:rsidRDefault="00D25E5E" w:rsidP="00D25E5E">
      <w:pPr>
        <w:pStyle w:val="ProductList-Body"/>
        <w:spacing w:before="120"/>
        <w:rPr>
          <w:rFonts w:ascii="Calibri" w:hAnsi="Calibri" w:cs="Calibri"/>
        </w:rPr>
      </w:pPr>
      <w:r>
        <w:rPr>
          <w:rFonts w:ascii="Calibri" w:hAnsi="Calibri" w:cs="Calibri"/>
        </w:rPr>
        <w:t>Estes algarismos representam os tempos máximos de processamento. Estima-se que os tempos reais e médios sejam muito mais baixos.</w:t>
      </w:r>
    </w:p>
    <w:p w14:paraId="4CAD3432" w14:textId="77777777" w:rsidR="00D25E5E" w:rsidRPr="00C7204B" w:rsidRDefault="00D25E5E" w:rsidP="00D25E5E">
      <w:pPr>
        <w:pStyle w:val="ProductList-Body"/>
        <w:rPr>
          <w:rFonts w:ascii="Calibri" w:hAnsi="Calibri" w:cs="Calibri"/>
          <w:szCs w:val="18"/>
        </w:rPr>
      </w:pPr>
    </w:p>
    <w:p w14:paraId="2BB82E84" w14:textId="77777777" w:rsidR="00D25E5E" w:rsidRPr="00C7204B" w:rsidRDefault="00D25E5E" w:rsidP="00D25E5E">
      <w:pPr>
        <w:pStyle w:val="ProductList-Body"/>
        <w:rPr>
          <w:rFonts w:ascii="Calibri" w:hAnsi="Calibri" w:cs="Calibri"/>
        </w:rPr>
      </w:pPr>
      <w:r>
        <w:rPr>
          <w:rFonts w:ascii="Calibri" w:hAnsi="Calibri" w:cs="Calibri"/>
        </w:rPr>
        <w:t>As Transações de Armazenamento com Falha não incluem:</w:t>
      </w:r>
    </w:p>
    <w:p w14:paraId="53DD5B50" w14:textId="77777777" w:rsidR="00D25E5E" w:rsidRPr="00C7204B" w:rsidRDefault="00D25E5E" w:rsidP="00D25E5E">
      <w:pPr>
        <w:pStyle w:val="ProductList-Body"/>
        <w:numPr>
          <w:ilvl w:val="0"/>
          <w:numId w:val="4"/>
        </w:numPr>
        <w:rPr>
          <w:rFonts w:ascii="Calibri" w:hAnsi="Calibri" w:cs="Calibri"/>
        </w:rPr>
      </w:pPr>
      <w:r>
        <w:rPr>
          <w:rFonts w:ascii="Calibri" w:hAnsi="Calibri" w:cs="Calibri"/>
        </w:rPr>
        <w:t xml:space="preserve">Pedidos de transação que são limitados pelo Serviço de Armazenamento devido a uma falha em respeitar os princípios de término adequados. </w:t>
      </w:r>
    </w:p>
    <w:p w14:paraId="6E04F256" w14:textId="77777777" w:rsidR="00D25E5E" w:rsidRPr="00C7204B" w:rsidRDefault="00D25E5E" w:rsidP="00D25E5E">
      <w:pPr>
        <w:pStyle w:val="ProductList-Body"/>
        <w:numPr>
          <w:ilvl w:val="0"/>
          <w:numId w:val="4"/>
        </w:numPr>
        <w:rPr>
          <w:rFonts w:ascii="Calibri" w:hAnsi="Calibri" w:cs="Calibri"/>
        </w:rPr>
      </w:pPr>
      <w:r>
        <w:rPr>
          <w:rFonts w:ascii="Calibri" w:hAnsi="Calibri" w:cs="Calibri"/>
        </w:rPr>
        <w:t xml:space="preserve">Pedidos de transação com tempos limite inferiores aos respetivos Tempos Máximos de Processamento especificados acima. </w:t>
      </w:r>
    </w:p>
    <w:p w14:paraId="4ED1CB1F" w14:textId="77777777" w:rsidR="00D25E5E" w:rsidRPr="00C7204B" w:rsidRDefault="00D25E5E" w:rsidP="00D25E5E">
      <w:pPr>
        <w:pStyle w:val="ProductList-Body"/>
        <w:numPr>
          <w:ilvl w:val="0"/>
          <w:numId w:val="4"/>
        </w:numPr>
        <w:rPr>
          <w:rFonts w:ascii="Calibri" w:hAnsi="Calibri" w:cs="Calibri"/>
        </w:rPr>
      </w:pPr>
      <w:r>
        <w:rPr>
          <w:rFonts w:ascii="Calibri" w:hAnsi="Calibri" w:cs="Calibri"/>
        </w:rPr>
        <w:t xml:space="preserve">Pedidos de transações de leitura para Contas RA-GRS e RA-GZRS para as quais o Cliente não tentou executar o pedido na Região Secundária associada à conta de armazenamento se o pedido para a Região Primária não tiver sido bem-sucedido. </w:t>
      </w:r>
    </w:p>
    <w:p w14:paraId="616A4418" w14:textId="77777777" w:rsidR="00D25E5E" w:rsidRPr="00C7204B" w:rsidRDefault="00D25E5E" w:rsidP="00D25E5E">
      <w:pPr>
        <w:pStyle w:val="ProductList-Body"/>
        <w:numPr>
          <w:ilvl w:val="0"/>
          <w:numId w:val="4"/>
        </w:numPr>
        <w:rPr>
          <w:rFonts w:ascii="Calibri" w:hAnsi="Calibri" w:cs="Calibri"/>
        </w:rPr>
      </w:pPr>
      <w:r>
        <w:rPr>
          <w:rFonts w:ascii="Calibri" w:hAnsi="Calibri" w:cs="Calibri"/>
        </w:rPr>
        <w:t>Pedidos de transações de leitura para Contas RA-GRS e RA-GZRS que falharam devido ao Intervalo de Georreplicação.</w:t>
      </w:r>
    </w:p>
    <w:p w14:paraId="44C332C5"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Intervalo de Georreplicação</w:t>
      </w:r>
      <w:r>
        <w:rPr>
          <w:rFonts w:ascii="Calibri" w:hAnsi="Calibri" w:cs="Calibri"/>
        </w:rPr>
        <w:t>” para Contas GRS, GZRS, RA-GRS e RA-GZRS designa o tempo que demora a replicação dos dados armazenados na Região Primária da conta de armazenamento para a Região Secundária da conta de armazenamento. Uma vez que as Contas GRS, GZRS, RA-GRS e RA-GZRS são replicadas de forma assíncrona para a Região Secundária, os dados escritos na Região Primária da conta de armazenamento não estarão imediatamente disponíveis na Região Secundária. O Cliente pode consultar o Intervalo de Georreplicação para uma conta de armazenamento, mas a Microsoft não concede nenhuma garantia para a duração de qualquer Intervalo de Georreplicação ao abrigo deste SLA. “</w:t>
      </w:r>
      <w:r>
        <w:rPr>
          <w:rFonts w:ascii="Calibri" w:hAnsi="Calibri" w:cs="Calibri"/>
          <w:b/>
          <w:color w:val="00188F"/>
        </w:rPr>
        <w:t>Conta de Armazenamento Geograficamente Redundante (GRS)</w:t>
      </w:r>
      <w:r>
        <w:rPr>
          <w:rFonts w:ascii="Calibri" w:hAnsi="Calibri" w:cs="Calibri"/>
        </w:rPr>
        <w:t>” designa uma conta de armazenamento para a qual os dados são replicados de forma síncrona numa Região Primária e, em seguida, replicados de forma assíncrona para uma Região Secundária. O Cliente não pode ler nem escrever dados diretamente na Região Secundária associada às Contas GRS.</w:t>
      </w:r>
    </w:p>
    <w:p w14:paraId="0F7F988B"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Conta de Armazenamento Localmente Redundante (LRS)</w:t>
      </w:r>
      <w:r>
        <w:rPr>
          <w:rFonts w:ascii="Calibri" w:hAnsi="Calibri" w:cs="Calibri"/>
        </w:rPr>
        <w:t>” designa uma conta de armazenamento para a qual os dados são replicados de forma síncrona apenas numa Região Primária.</w:t>
      </w:r>
    </w:p>
    <w:p w14:paraId="2D0BD255"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Região Primária</w:t>
      </w:r>
      <w:r>
        <w:rPr>
          <w:rFonts w:ascii="Calibri" w:hAnsi="Calibri" w:cs="Calibri"/>
        </w:rPr>
        <w:t>” designa uma região geográfica onde os dados numa conta de armazenamento estão localizados, tal como selecionado pelo Cliente durante a criação da conta de armazenamento. O Cliente só pode executar pedidos de escrita em dados armazenados na Região Primária associada às contas de armazenamento.</w:t>
      </w:r>
    </w:p>
    <w:p w14:paraId="3990C572" w14:textId="77777777" w:rsidR="00D25E5E" w:rsidRPr="00C7204B" w:rsidRDefault="00D25E5E" w:rsidP="00D25E5E">
      <w:pPr>
        <w:pStyle w:val="ProductList-Body"/>
        <w:rPr>
          <w:rFonts w:ascii="Calibri" w:hAnsi="Calibri" w:cs="Calibri"/>
        </w:rPr>
      </w:pPr>
      <w:r>
        <w:rPr>
          <w:rFonts w:ascii="Calibri" w:hAnsi="Calibri" w:cs="Calibri"/>
        </w:rPr>
        <w:lastRenderedPageBreak/>
        <w:t>“</w:t>
      </w:r>
      <w:r>
        <w:rPr>
          <w:rFonts w:ascii="Calibri" w:hAnsi="Calibri" w:cs="Calibri"/>
          <w:b/>
          <w:color w:val="00188F"/>
        </w:rPr>
        <w:t>Conta de Acesso de Leitura e Armazenamento Geograficamente Redundante (RA-GRS)</w:t>
      </w:r>
      <w:r>
        <w:rPr>
          <w:rFonts w:ascii="Calibri" w:hAnsi="Calibri" w:cs="Calibri"/>
        </w:rPr>
        <w:t>” designa uma conta de armazenamento para a qual os dados são replicados de forma síncrona numa Região Primária e, em seguida, replicados de forma assíncrona para uma Região Secundária. O Cliente pode ler diretamente dados mas não pode escrever dados na Região Secundária associada às Contas RA-GRS.</w:t>
      </w:r>
    </w:p>
    <w:p w14:paraId="01F37398"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Região Secundária</w:t>
      </w:r>
      <w:r>
        <w:rPr>
          <w:rFonts w:ascii="Calibri" w:hAnsi="Calibri" w:cs="Calibri"/>
        </w:rPr>
        <w:t>” designa uma região geográfica onde os dados numa Conta GRS ou RA-GRS são replicados e armazenados, tal como atribuído pelo Microsoft Azure com base na Região Primária associada à conta de armazenamento. O Cliente não pode especificar a Região Secundária associada às contas de armazenamento.</w:t>
      </w:r>
    </w:p>
    <w:p w14:paraId="73A64523"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Total de Transações de Armazenamento</w:t>
      </w:r>
      <w:r>
        <w:rPr>
          <w:rFonts w:ascii="Calibri" w:hAnsi="Calibri" w:cs="Calibri"/>
        </w:rPr>
        <w:t>” designa o conjunto de todas as transações de armazenamento, que não as Transações Excluídas, tentadas num intervalo de uma hora em todas as contas de armazenamento no Serviço de Armazenamento numa determinada subscrição.</w:t>
      </w:r>
    </w:p>
    <w:p w14:paraId="4CB75564"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Camada de Acesso Otimizado para Transações</w:t>
      </w:r>
      <w:r>
        <w:rPr>
          <w:rFonts w:ascii="Calibri" w:hAnsi="Calibri" w:cs="Calibri"/>
        </w:rPr>
        <w:t>” designa um atributo de uma partilha de ficheiros do Azure que indica que é frequentemente acedida.</w:t>
      </w:r>
    </w:p>
    <w:p w14:paraId="3053A9AE"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Conta de Armazenamento Redundante por Zona (ZRS)</w:t>
      </w:r>
      <w:r>
        <w:rPr>
          <w:rFonts w:ascii="Calibri" w:hAnsi="Calibri" w:cs="Calibri"/>
        </w:rPr>
        <w:t>” designa uma conta de armazenamento para a qual os dados são replicados em múltiplas instalações. Estas instalações podem estar na mesma região geográfica ou em duas regiões geográficas.</w:t>
      </w:r>
    </w:p>
    <w:p w14:paraId="14A15593"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Conta de Armazenamento Redundante por Zona Geográfica (GZRS)</w:t>
      </w:r>
      <w:r>
        <w:rPr>
          <w:rFonts w:ascii="Calibri" w:hAnsi="Calibri" w:cs="Calibri"/>
        </w:rPr>
        <w:t>” designa uma conta de armazenamento para a qual os dados são replicados em múltiplas instalações. Estas instalações podem estar na mesma região geográfica ou em duas regiões geográficas. Os dados também são replicados de forma síncrona numa Região Primária e, em seguida, replicados de forma assíncrona para uma Região Secundária. O Cliente não pode ler nem escrever dados diretamente na Região Secundária associada às Contas GZRS.</w:t>
      </w:r>
    </w:p>
    <w:p w14:paraId="0C5CA852" w14:textId="77777777" w:rsidR="00D25E5E" w:rsidRPr="00C7204B" w:rsidRDefault="00D25E5E" w:rsidP="00D25E5E">
      <w:pPr>
        <w:pStyle w:val="ProductList-Body"/>
        <w:rPr>
          <w:rFonts w:ascii="Calibri" w:hAnsi="Calibri" w:cs="Calibri"/>
        </w:rPr>
      </w:pPr>
      <w:r>
        <w:rPr>
          <w:rFonts w:ascii="Calibri" w:hAnsi="Calibri" w:cs="Calibri"/>
        </w:rPr>
        <w:t>“</w:t>
      </w:r>
      <w:r>
        <w:rPr>
          <w:rFonts w:ascii="Calibri" w:hAnsi="Calibri" w:cs="Calibri"/>
          <w:b/>
          <w:color w:val="00188F"/>
        </w:rPr>
        <w:t>Conta de Armazenamento Redundante por Zona Geográfica de Acesso de Leitura (RA-GZRS)</w:t>
      </w:r>
      <w:r>
        <w:rPr>
          <w:rFonts w:ascii="Calibri" w:hAnsi="Calibri" w:cs="Calibri"/>
        </w:rPr>
        <w:t>” designa uma conta de armazenamento para a qual os dados são replicados em múltiplas instalações. Estas instalações podem estar na mesma região geográfica ou em duas regiões geográficas. Os dados também são replicados de forma síncrona numa Região Primária e, em seguida, replicados de forma assíncrona para uma Região Secundária. O Cliente pode ler diretamente dados mas não pode escrever dados na Região Secundária associada às Contas RA-GZRS.</w:t>
      </w:r>
    </w:p>
    <w:p w14:paraId="59B202F1" w14:textId="77777777" w:rsidR="00D25E5E" w:rsidRPr="00C7204B" w:rsidRDefault="00D25E5E" w:rsidP="00D25E5E">
      <w:pPr>
        <w:pStyle w:val="ProductList-Body"/>
        <w:rPr>
          <w:rFonts w:ascii="Calibri" w:hAnsi="Calibri" w:cs="Calibri"/>
        </w:rPr>
      </w:pPr>
      <w:r>
        <w:rPr>
          <w:rFonts w:ascii="Calibri" w:hAnsi="Calibri" w:cs="Calibri"/>
          <w:b/>
          <w:color w:val="00188F"/>
        </w:rPr>
        <w:t>Percentagem de Período de Disponibilidade</w:t>
      </w:r>
      <w:r>
        <w:rPr>
          <w:rFonts w:ascii="Calibri" w:hAnsi="Calibri" w:cs="Calibri"/>
        </w:rPr>
        <w:t>: a Percentagem de Período de Disponibilidade é calculada através da seguinte fórmula:</w:t>
      </w:r>
    </w:p>
    <w:p w14:paraId="1D27B763" w14:textId="77777777" w:rsidR="00D25E5E" w:rsidRPr="007B45AF" w:rsidRDefault="00D25E5E" w:rsidP="00D25E5E">
      <w:pPr>
        <w:pStyle w:val="ProductList-Body"/>
        <w:rPr>
          <w:szCs w:val="18"/>
        </w:rPr>
      </w:pPr>
    </w:p>
    <w:p w14:paraId="17B310A8" w14:textId="77777777" w:rsidR="00D25E5E" w:rsidRPr="00EF7CF9" w:rsidRDefault="00D25E5E" w:rsidP="00D25E5E">
      <w:pPr>
        <w:pStyle w:val="ListParagraph"/>
        <w:spacing w:after="120" w:line="240" w:lineRule="auto"/>
        <w:rPr>
          <w:rFonts w:ascii="Cambria Math" w:hAnsi="Cambria Math" w:cs="Tahoma"/>
          <w:i/>
          <w:sz w:val="12"/>
          <w:szCs w:val="12"/>
        </w:rPr>
      </w:pPr>
      <m:oMathPara>
        <m:oMath>
          <m:r>
            <w:rPr>
              <w:rFonts w:ascii="Cambria Math" w:hAnsi="Cambria Math" w:cs="Tahoma"/>
              <w:sz w:val="18"/>
              <w:szCs w:val="18"/>
            </w:rPr>
            <m:t>100% - Taxa Média de Erros</m:t>
          </m:r>
        </m:oMath>
      </m:oMathPara>
    </w:p>
    <w:p w14:paraId="4B92BFA4" w14:textId="77777777" w:rsidR="00D25E5E" w:rsidRPr="00FB0D2C" w:rsidRDefault="00D25E5E" w:rsidP="00D25E5E">
      <w:pPr>
        <w:pStyle w:val="ProductList-ClauseHeading"/>
        <w:rPr>
          <w:rFonts w:ascii="Calibri" w:hAnsi="Calibri" w:cs="Calibri"/>
        </w:rPr>
      </w:pPr>
      <w:r>
        <w:rPr>
          <w:rFonts w:ascii="Calibri" w:hAnsi="Calibri" w:cs="Calibri"/>
        </w:rPr>
        <w:t>Camadas de Acesso Otimizado para Transações e Frequente</w:t>
      </w:r>
    </w:p>
    <w:p w14:paraId="57CEE2C6" w14:textId="77777777" w:rsidR="00D25E5E" w:rsidRPr="00FB0D2C" w:rsidRDefault="00D25E5E" w:rsidP="00D25E5E">
      <w:pPr>
        <w:pStyle w:val="ProductList-ClauseHeading"/>
        <w:rPr>
          <w:rFonts w:ascii="Calibri" w:hAnsi="Calibri" w:cs="Calibri"/>
        </w:rPr>
      </w:pPr>
      <w:r>
        <w:rPr>
          <w:rFonts w:ascii="Calibri" w:hAnsi="Calibri" w:cs="Calibri"/>
        </w:rPr>
        <w:t>Crédito de Serviço: LRS, ZRS, GRS, GZRS, RA-GRS e RA-GZRS (pedidos de escrita) para Camadas de Acesso Otimizado para Transações e Frequente</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25E5E" w:rsidRPr="00B44CF9" w14:paraId="1444A75F" w14:textId="77777777" w:rsidTr="008367CC">
        <w:trPr>
          <w:trHeight w:val="245"/>
          <w:tblHeader/>
        </w:trPr>
        <w:tc>
          <w:tcPr>
            <w:tcW w:w="5400" w:type="dxa"/>
            <w:tcBorders>
              <w:bottom w:val="single" w:sz="4" w:space="0" w:color="auto"/>
            </w:tcBorders>
            <w:shd w:val="clear" w:color="auto" w:fill="0072C6"/>
          </w:tcPr>
          <w:p w14:paraId="36DEAADC"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tcBorders>
              <w:bottom w:val="single" w:sz="4" w:space="0" w:color="auto"/>
            </w:tcBorders>
            <w:shd w:val="clear" w:color="auto" w:fill="0072C6"/>
          </w:tcPr>
          <w:p w14:paraId="174D871A"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25E5E" w:rsidRPr="00B44CF9" w14:paraId="1ECF388A"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28D5A075"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26798425"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10%</w:t>
            </w:r>
          </w:p>
        </w:tc>
      </w:tr>
      <w:tr w:rsidR="00D25E5E" w:rsidRPr="00B44CF9" w14:paraId="430D5166"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0EB8C959"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62110C2F"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25%</w:t>
            </w:r>
          </w:p>
        </w:tc>
      </w:tr>
    </w:tbl>
    <w:p w14:paraId="70F8863A" w14:textId="77777777" w:rsidR="00D25E5E" w:rsidRPr="00FB0D2C" w:rsidRDefault="00D25E5E" w:rsidP="00D25E5E">
      <w:pPr>
        <w:pStyle w:val="ProductList-ClauseHeading"/>
        <w:spacing w:before="120"/>
        <w:rPr>
          <w:rFonts w:ascii="Calibri" w:hAnsi="Calibri" w:cs="Calibri"/>
        </w:rPr>
      </w:pPr>
      <w:r>
        <w:rPr>
          <w:rFonts w:ascii="Calibri" w:hAnsi="Calibri" w:cs="Calibri"/>
        </w:rPr>
        <w:t xml:space="preserve">Crédito de Serviço: RA-GRS and RA-GZRS (pedidos de leitura) para Camadas de Acesso Otimizado para Transações e Frequente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25E5E" w:rsidRPr="00B44CF9" w14:paraId="67C068C9" w14:textId="77777777" w:rsidTr="008367CC">
        <w:trPr>
          <w:trHeight w:val="245"/>
          <w:tblHeader/>
        </w:trPr>
        <w:tc>
          <w:tcPr>
            <w:tcW w:w="5400" w:type="dxa"/>
            <w:shd w:val="clear" w:color="auto" w:fill="0072C6"/>
          </w:tcPr>
          <w:p w14:paraId="0942468D"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4E993CDA"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25E5E" w:rsidRPr="00B44CF9" w14:paraId="6828290D" w14:textId="77777777" w:rsidTr="008367CC">
        <w:trPr>
          <w:trHeight w:val="245"/>
        </w:trPr>
        <w:tc>
          <w:tcPr>
            <w:tcW w:w="5400" w:type="dxa"/>
          </w:tcPr>
          <w:p w14:paraId="5B80CEF2"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778FF147"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10%</w:t>
            </w:r>
          </w:p>
        </w:tc>
      </w:tr>
      <w:tr w:rsidR="00D25E5E" w:rsidRPr="00B44CF9" w14:paraId="2C179CFB" w14:textId="77777777" w:rsidTr="008367CC">
        <w:trPr>
          <w:trHeight w:val="245"/>
        </w:trPr>
        <w:tc>
          <w:tcPr>
            <w:tcW w:w="5400" w:type="dxa"/>
          </w:tcPr>
          <w:p w14:paraId="67BBC617"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29AB4F8D"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25%</w:t>
            </w:r>
          </w:p>
        </w:tc>
      </w:tr>
    </w:tbl>
    <w:p w14:paraId="20EE0AF9" w14:textId="18D7AED0" w:rsidR="00D25E5E" w:rsidRPr="00FB0D2C" w:rsidRDefault="00D25E5E" w:rsidP="00D25E5E">
      <w:pPr>
        <w:pStyle w:val="ProductList-ClauseHeading"/>
        <w:spacing w:before="120"/>
        <w:rPr>
          <w:rFonts w:ascii="Calibri" w:hAnsi="Calibri" w:cs="Calibri"/>
        </w:rPr>
      </w:pPr>
      <w:r>
        <w:rPr>
          <w:rFonts w:ascii="Calibri" w:hAnsi="Calibri" w:cs="Calibri"/>
        </w:rPr>
        <w:t xml:space="preserve">Crédito de Serviço: LRS, ZRS, GRS e GZRS (pedidos de </w:t>
      </w:r>
      <w:r w:rsidR="00AF23C9">
        <w:rPr>
          <w:rFonts w:ascii="Calibri" w:hAnsi="Calibri" w:cs="Calibri"/>
        </w:rPr>
        <w:t>leitura</w:t>
      </w:r>
      <w:r>
        <w:rPr>
          <w:rFonts w:ascii="Calibri" w:hAnsi="Calibri" w:cs="Calibri"/>
        </w:rPr>
        <w:t>) para Camadas de Acesso Otimizado para Transações e Frequente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25E5E" w:rsidRPr="00B44CF9" w14:paraId="097209A2" w14:textId="77777777" w:rsidTr="008367CC">
        <w:trPr>
          <w:trHeight w:val="245"/>
          <w:tblHeader/>
        </w:trPr>
        <w:tc>
          <w:tcPr>
            <w:tcW w:w="5400" w:type="dxa"/>
            <w:tcBorders>
              <w:bottom w:val="single" w:sz="4" w:space="0" w:color="auto"/>
            </w:tcBorders>
            <w:shd w:val="clear" w:color="auto" w:fill="0072C6"/>
          </w:tcPr>
          <w:p w14:paraId="6727B85D"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tcBorders>
              <w:bottom w:val="single" w:sz="4" w:space="0" w:color="auto"/>
            </w:tcBorders>
            <w:shd w:val="clear" w:color="auto" w:fill="0072C6"/>
          </w:tcPr>
          <w:p w14:paraId="79D8B3AE"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25E5E" w:rsidRPr="00B44CF9" w14:paraId="72E8CC4A"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76E84338"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4767C476"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10%</w:t>
            </w:r>
          </w:p>
        </w:tc>
      </w:tr>
      <w:tr w:rsidR="00D25E5E" w:rsidRPr="00B44CF9" w14:paraId="1B5C3D0E"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67F22286"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4F236165"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25%</w:t>
            </w:r>
          </w:p>
        </w:tc>
      </w:tr>
    </w:tbl>
    <w:p w14:paraId="3C9F0200" w14:textId="77777777" w:rsidR="00D25E5E" w:rsidRPr="00FB0D2C" w:rsidRDefault="00D25E5E" w:rsidP="00D25E5E">
      <w:pPr>
        <w:pStyle w:val="ProductList-ClauseHeading"/>
        <w:spacing w:before="120"/>
        <w:rPr>
          <w:rFonts w:ascii="Calibri" w:hAnsi="Calibri" w:cs="Calibri"/>
          <w:szCs w:val="18"/>
        </w:rPr>
      </w:pPr>
      <w:r>
        <w:rPr>
          <w:rFonts w:ascii="Calibri" w:hAnsi="Calibri" w:cs="Calibri"/>
          <w:szCs w:val="18"/>
        </w:rPr>
        <w:t>Camadas Esporádico, Infrequente e Arquivo</w:t>
      </w:r>
    </w:p>
    <w:p w14:paraId="3B1C9184" w14:textId="77777777" w:rsidR="00D25E5E" w:rsidRPr="00FB0D2C" w:rsidRDefault="00D25E5E" w:rsidP="00D25E5E">
      <w:pPr>
        <w:pStyle w:val="ProductList-ClauseHeading"/>
        <w:rPr>
          <w:rFonts w:ascii="Calibri" w:hAnsi="Calibri" w:cs="Calibri"/>
          <w:szCs w:val="18"/>
        </w:rPr>
      </w:pPr>
      <w:r>
        <w:rPr>
          <w:rFonts w:ascii="Calibri" w:hAnsi="Calibri" w:cs="Calibri"/>
          <w:szCs w:val="18"/>
        </w:rPr>
        <w:t>Crédito de Serviço: LRS, ZRS, GRS, GZRS, RA-GRS e RA-GZRS (pedidos de escrita) para Camadas de Acesso Esporádico, Infrequente e Arquivo</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25E5E" w:rsidRPr="00B44CF9" w14:paraId="59336083" w14:textId="77777777" w:rsidTr="008367CC">
        <w:trPr>
          <w:trHeight w:val="245"/>
          <w:tblHeader/>
        </w:trPr>
        <w:tc>
          <w:tcPr>
            <w:tcW w:w="2500" w:type="pct"/>
            <w:tcBorders>
              <w:bottom w:val="single" w:sz="4" w:space="0" w:color="auto"/>
            </w:tcBorders>
            <w:shd w:val="clear" w:color="auto" w:fill="0072C6"/>
          </w:tcPr>
          <w:p w14:paraId="520754C9"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2500" w:type="pct"/>
            <w:tcBorders>
              <w:bottom w:val="single" w:sz="4" w:space="0" w:color="auto"/>
            </w:tcBorders>
            <w:shd w:val="clear" w:color="auto" w:fill="0072C6"/>
          </w:tcPr>
          <w:p w14:paraId="7E4C8912"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25E5E" w:rsidRPr="00B44CF9" w14:paraId="53324D58"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230A6DDD"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62257CD1"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10%</w:t>
            </w:r>
          </w:p>
        </w:tc>
      </w:tr>
      <w:tr w:rsidR="00D25E5E" w:rsidRPr="00B44CF9" w14:paraId="0E1FACD4"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4BCE06A1"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39E12A47"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25%</w:t>
            </w:r>
          </w:p>
        </w:tc>
      </w:tr>
    </w:tbl>
    <w:p w14:paraId="7035FBFB" w14:textId="77777777" w:rsidR="00D25E5E" w:rsidRPr="00FB0D2C" w:rsidRDefault="00D25E5E" w:rsidP="00D25E5E">
      <w:pPr>
        <w:pStyle w:val="ProductList-ClauseHeading"/>
        <w:spacing w:before="120"/>
        <w:rPr>
          <w:rFonts w:ascii="Calibri" w:hAnsi="Calibri" w:cs="Calibri"/>
          <w:szCs w:val="18"/>
        </w:rPr>
      </w:pPr>
      <w:r>
        <w:rPr>
          <w:rFonts w:ascii="Calibri" w:hAnsi="Calibri" w:cs="Calibri"/>
          <w:szCs w:val="18"/>
        </w:rPr>
        <w:t>Crédito de Serviço: RA-GRS e RA-GZRS (pedidos de leitura) para Camadas de Acesso Esporádico, Infrequente e Arquivo</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25E5E" w:rsidRPr="00B44CF9" w14:paraId="63EC8614" w14:textId="77777777" w:rsidTr="008367CC">
        <w:trPr>
          <w:trHeight w:val="245"/>
          <w:tblHeader/>
        </w:trPr>
        <w:tc>
          <w:tcPr>
            <w:tcW w:w="2500" w:type="pct"/>
            <w:shd w:val="clear" w:color="auto" w:fill="0072C6"/>
          </w:tcPr>
          <w:p w14:paraId="6210CA83"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2500" w:type="pct"/>
            <w:shd w:val="clear" w:color="auto" w:fill="0072C6"/>
          </w:tcPr>
          <w:p w14:paraId="3935E705"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25E5E" w:rsidRPr="00B44CF9" w14:paraId="069106BD" w14:textId="77777777" w:rsidTr="008367CC">
        <w:trPr>
          <w:trHeight w:val="245"/>
        </w:trPr>
        <w:tc>
          <w:tcPr>
            <w:tcW w:w="2500" w:type="pct"/>
          </w:tcPr>
          <w:p w14:paraId="03E09040"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99,9%</w:t>
            </w:r>
          </w:p>
        </w:tc>
        <w:tc>
          <w:tcPr>
            <w:tcW w:w="2500" w:type="pct"/>
          </w:tcPr>
          <w:p w14:paraId="590A98B4"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10%</w:t>
            </w:r>
          </w:p>
        </w:tc>
      </w:tr>
      <w:tr w:rsidR="00D25E5E" w:rsidRPr="00B44CF9" w14:paraId="0786BF97" w14:textId="77777777" w:rsidTr="008367CC">
        <w:trPr>
          <w:trHeight w:val="245"/>
        </w:trPr>
        <w:tc>
          <w:tcPr>
            <w:tcW w:w="2500" w:type="pct"/>
          </w:tcPr>
          <w:p w14:paraId="04BC2FDE"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98%</w:t>
            </w:r>
          </w:p>
        </w:tc>
        <w:tc>
          <w:tcPr>
            <w:tcW w:w="2500" w:type="pct"/>
          </w:tcPr>
          <w:p w14:paraId="42851BC2"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25%</w:t>
            </w:r>
          </w:p>
        </w:tc>
      </w:tr>
    </w:tbl>
    <w:p w14:paraId="5770BCBA" w14:textId="77777777" w:rsidR="00D25E5E" w:rsidRPr="00FB0D2C" w:rsidRDefault="00D25E5E" w:rsidP="00D25E5E">
      <w:pPr>
        <w:pStyle w:val="ProductList-ClauseHeading"/>
        <w:spacing w:before="120"/>
        <w:rPr>
          <w:rFonts w:ascii="Calibri" w:hAnsi="Calibri" w:cs="Calibri"/>
          <w:szCs w:val="18"/>
        </w:rPr>
      </w:pPr>
      <w:r>
        <w:rPr>
          <w:rFonts w:ascii="Calibri" w:hAnsi="Calibri" w:cs="Calibri"/>
          <w:szCs w:val="18"/>
        </w:rPr>
        <w:t>Crédito de Serviço: LRS, ZRS, GRS, GZRS (pedidos de leitura) para Camadas de Acesso Esporádico, Infrequente e Arquivo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25E5E" w:rsidRPr="00B44CF9" w14:paraId="1F20C6DD" w14:textId="77777777" w:rsidTr="008367CC">
        <w:trPr>
          <w:trHeight w:val="245"/>
          <w:tblHeader/>
        </w:trPr>
        <w:tc>
          <w:tcPr>
            <w:tcW w:w="5400" w:type="dxa"/>
            <w:shd w:val="clear" w:color="auto" w:fill="0072C6"/>
          </w:tcPr>
          <w:p w14:paraId="1B05003E"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29E707BE" w14:textId="77777777" w:rsidR="00D25E5E" w:rsidRPr="00FB0D2C" w:rsidRDefault="00D25E5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25E5E" w:rsidRPr="00B44CF9" w14:paraId="63C90AAA" w14:textId="77777777" w:rsidTr="008367CC">
        <w:trPr>
          <w:trHeight w:val="245"/>
        </w:trPr>
        <w:tc>
          <w:tcPr>
            <w:tcW w:w="5400" w:type="dxa"/>
          </w:tcPr>
          <w:p w14:paraId="4779C0A9"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24E0EBF6"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10%</w:t>
            </w:r>
          </w:p>
        </w:tc>
      </w:tr>
      <w:tr w:rsidR="00D25E5E" w:rsidRPr="00B44CF9" w14:paraId="303AD369" w14:textId="77777777" w:rsidTr="008367CC">
        <w:trPr>
          <w:trHeight w:val="245"/>
        </w:trPr>
        <w:tc>
          <w:tcPr>
            <w:tcW w:w="5400" w:type="dxa"/>
          </w:tcPr>
          <w:p w14:paraId="32AB14D8"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&lt; 98%</w:t>
            </w:r>
          </w:p>
        </w:tc>
        <w:tc>
          <w:tcPr>
            <w:tcW w:w="5400" w:type="dxa"/>
          </w:tcPr>
          <w:p w14:paraId="684B6A53" w14:textId="77777777" w:rsidR="00D25E5E" w:rsidRPr="00FB0D2C" w:rsidRDefault="00D25E5E" w:rsidP="008367CC">
            <w:pPr>
              <w:pStyle w:val="ProductList-OfferingBody"/>
              <w:jc w:val="center"/>
              <w:rPr>
                <w:rFonts w:ascii="Calibri" w:hAnsi="Calibri" w:cs="Calibri"/>
                <w:szCs w:val="16"/>
              </w:rPr>
            </w:pPr>
            <w:r>
              <w:rPr>
                <w:rFonts w:ascii="Calibri" w:hAnsi="Calibri" w:cs="Calibri"/>
                <w:szCs w:val="16"/>
              </w:rPr>
              <w:t>25%</w:t>
            </w:r>
          </w:p>
        </w:tc>
      </w:tr>
    </w:tbl>
    <w:p w14:paraId="5BCD3424" w14:textId="77777777" w:rsidR="00D25E5E" w:rsidRPr="00FB0D2C" w:rsidRDefault="00D25E5E" w:rsidP="00D25E5E">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lastRenderedPageBreak/>
        <w:t>Exceções de Serviço</w:t>
      </w:r>
      <w:r>
        <w:rPr>
          <w:rFonts w:ascii="Calibri" w:hAnsi="Calibri" w:cs="Calibri"/>
          <w:b/>
          <w:bCs/>
          <w:color w:val="000000" w:themeColor="text1"/>
        </w:rPr>
        <w:t>:</w:t>
      </w:r>
      <w:r>
        <w:rPr>
          <w:rFonts w:ascii="Calibri" w:hAnsi="Calibri" w:cs="Calibri"/>
          <w:color w:val="000000" w:themeColor="text1"/>
        </w:rPr>
        <w:t xml:space="preserve"> O SLA de Esporádico, Infrequente e Arquivo são aplicáveis apenas aos tipos de conta de armazenamento que suportam a camada Esporádico, Infrequente e Arquivo.</w:t>
      </w:r>
    </w:p>
    <w:p w14:paraId="0C4064DA"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9F2F550" w14:textId="77777777" w:rsidR="000F2B16" w:rsidRPr="00EF7CF9" w:rsidRDefault="000F2B16" w:rsidP="00F01ED6">
      <w:pPr>
        <w:pStyle w:val="ProductList-Offering2Heading"/>
        <w:tabs>
          <w:tab w:val="clear" w:pos="360"/>
          <w:tab w:val="clear" w:pos="720"/>
          <w:tab w:val="clear" w:pos="1080"/>
        </w:tabs>
        <w:outlineLvl w:val="2"/>
      </w:pPr>
      <w:bookmarkStart w:id="407" w:name="_Toc239176535"/>
      <w:r>
        <w:t>StorSimple</w:t>
      </w:r>
      <w:bookmarkEnd w:id="405"/>
      <w:bookmarkEnd w:id="406"/>
      <w:bookmarkEnd w:id="407"/>
    </w:p>
    <w:p w14:paraId="08B9E4A5" w14:textId="77777777" w:rsidR="000F2B16" w:rsidRPr="00EF7CF9" w:rsidRDefault="000F2B16" w:rsidP="00F01ED6">
      <w:pPr>
        <w:pStyle w:val="ProductList-Body"/>
      </w:pPr>
      <w:r>
        <w:rPr>
          <w:b/>
          <w:color w:val="00188F"/>
        </w:rPr>
        <w:t>Definições Adicionais</w:t>
      </w:r>
      <w:r w:rsidRPr="00473DD3">
        <w:rPr>
          <w:b/>
          <w:color w:val="00188F"/>
        </w:rPr>
        <w:t>:</w:t>
      </w:r>
    </w:p>
    <w:p w14:paraId="5E85349A" w14:textId="36B3774A" w:rsidR="000F2B16" w:rsidRPr="00EF7CF9" w:rsidRDefault="00380305" w:rsidP="00A42102">
      <w:pPr>
        <w:pStyle w:val="ProductList-Body"/>
      </w:pPr>
      <w:r>
        <w:t>“</w:t>
      </w:r>
      <w:r w:rsidR="000F2B16">
        <w:rPr>
          <w:b/>
          <w:color w:val="00188F"/>
        </w:rPr>
        <w:t>Cópia de Segurança</w:t>
      </w:r>
      <w:r>
        <w:t>”</w:t>
      </w:r>
      <w:r w:rsidR="000F2B16">
        <w:t xml:space="preserve"> é o processo de criar cópias de segurança de dados armazenados num dispositivo StorSimple registado para uma ou mais contas de armazenamento em nuvem associadas no Microsoft Azure.</w:t>
      </w:r>
    </w:p>
    <w:p w14:paraId="373FEDA9" w14:textId="684D96E5" w:rsidR="000F2B16" w:rsidRPr="00EF7CF9" w:rsidRDefault="00380305" w:rsidP="00A42102">
      <w:pPr>
        <w:pStyle w:val="ProductList-Body"/>
      </w:pPr>
      <w:r>
        <w:t>“</w:t>
      </w:r>
      <w:r w:rsidR="000F2B16">
        <w:rPr>
          <w:b/>
          <w:color w:val="00188F"/>
        </w:rPr>
        <w:t>Criação de Camadas na Nuvem</w:t>
      </w:r>
      <w:r>
        <w:t>”</w:t>
      </w:r>
      <w:r w:rsidR="000F2B16">
        <w:t xml:space="preserve"> é o processo de transferir dados de um dispositivo StorSimple registado para uma ou mais contas de armazenamento em nuvem associadas no Microsoft Azure.</w:t>
      </w:r>
    </w:p>
    <w:p w14:paraId="2A8D2D95" w14:textId="6DEB2C6C" w:rsidR="000F2B16" w:rsidRPr="00EF7CF9" w:rsidRDefault="00380305" w:rsidP="00A42102">
      <w:pPr>
        <w:pStyle w:val="ProductList-Body"/>
      </w:pPr>
      <w:r>
        <w:t>“</w:t>
      </w:r>
      <w:r w:rsidR="000F2B16">
        <w:rPr>
          <w:b/>
          <w:color w:val="00188F"/>
        </w:rPr>
        <w:t>Falha</w:t>
      </w:r>
      <w:r>
        <w:t>”</w:t>
      </w:r>
      <w:r w:rsidR="000F2B16">
        <w:t xml:space="preserve"> designa a incapacidade de concluir na íntegra uma operação corretamente configurada de Cópia de Segurança, Criação de Camadas ou Restauro devido à indisponibilidade do Serviço StorSimple.</w:t>
      </w:r>
    </w:p>
    <w:p w14:paraId="051A8805" w14:textId="5FC63DF5" w:rsidR="000F2B16" w:rsidRPr="00EF7CF9" w:rsidRDefault="00380305" w:rsidP="00A42102">
      <w:pPr>
        <w:pStyle w:val="ProductList-Body"/>
      </w:pPr>
      <w:r>
        <w:t>“</w:t>
      </w:r>
      <w:r w:rsidR="000F2B16">
        <w:rPr>
          <w:b/>
          <w:color w:val="00188F"/>
        </w:rPr>
        <w:t>Item Gerido</w:t>
      </w:r>
      <w:r>
        <w:t>”</w:t>
      </w:r>
      <w:r w:rsidR="000F2B16">
        <w:t xml:space="preserve"> designa um volume que foi configurado para criar cópias de segurança para as contas de armazenamento em nuvem utilizando o</w:t>
      </w:r>
      <w:r w:rsidR="008F290E">
        <w:t> </w:t>
      </w:r>
      <w:r w:rsidR="000F2B16">
        <w:t>Serviço StorSimple.</w:t>
      </w:r>
    </w:p>
    <w:p w14:paraId="65E0E7F4" w14:textId="1DE2AC44" w:rsidR="000F2B16" w:rsidRPr="00EF7CF9" w:rsidRDefault="00380305" w:rsidP="00A42102">
      <w:pPr>
        <w:pStyle w:val="ProductList-Body"/>
      </w:pPr>
      <w:r>
        <w:t>“</w:t>
      </w:r>
      <w:r w:rsidR="000F2B16">
        <w:rPr>
          <w:b/>
          <w:color w:val="00188F"/>
        </w:rPr>
        <w:t>Restauro</w:t>
      </w:r>
      <w:r>
        <w:t>”</w:t>
      </w:r>
      <w:r w:rsidR="000F2B16">
        <w:t xml:space="preserve"> é o processo de cópia de dados para um dispositivo StorSimple registado a partir das respetivas contas de armazenamento em nuvem associadas.</w:t>
      </w:r>
    </w:p>
    <w:p w14:paraId="002F6811" w14:textId="329FC890" w:rsidR="000F2B16" w:rsidRPr="00377C64" w:rsidRDefault="00EE6E3C" w:rsidP="00A42102">
      <w:pPr>
        <w:pStyle w:val="ProductList-Body"/>
        <w:rPr>
          <w:b/>
          <w:bCs/>
          <w:color w:val="00188F"/>
        </w:rPr>
      </w:pPr>
      <w:r>
        <w:rPr>
          <w:b/>
          <w:bCs/>
          <w:color w:val="00188F"/>
        </w:rPr>
        <w:t>Cálculo do Período de Disponibilidade e Níveis de Serviço para o Serviço StorSimple</w:t>
      </w:r>
    </w:p>
    <w:p w14:paraId="35B80149" w14:textId="635A0868" w:rsidR="000F2B16" w:rsidRPr="00EF7CF9" w:rsidRDefault="00380305" w:rsidP="00A42102">
      <w:pPr>
        <w:pStyle w:val="ProductList-Body"/>
      </w:pPr>
      <w:r>
        <w:t>“</w:t>
      </w:r>
      <w:r w:rsidR="000F2B16">
        <w:rPr>
          <w:b/>
          <w:color w:val="00188F"/>
        </w:rPr>
        <w:t>Minutos de Implementação</w:t>
      </w:r>
      <w:r>
        <w:t>”</w:t>
      </w:r>
      <w:r w:rsidR="000F2B16">
        <w:t xml:space="preserve"> designa o número total de minutos no qual um Item Gerido foi configurado pelo Cliente para Cópia de Segurança ou</w:t>
      </w:r>
      <w:r w:rsidR="00974563">
        <w:t> </w:t>
      </w:r>
      <w:r w:rsidR="000F2B16">
        <w:t>Criação de Camadas na Nuvem para uma conta de armazenamento StorSimple no Microsoft Azure.</w:t>
      </w:r>
    </w:p>
    <w:p w14:paraId="6F160E55" w14:textId="52211A28" w:rsidR="000F2B16" w:rsidRPr="00EF7CF9" w:rsidRDefault="00380305" w:rsidP="00A42102">
      <w:pPr>
        <w:pStyle w:val="ProductList-Body"/>
      </w:pPr>
      <w:r>
        <w:t>“</w:t>
      </w:r>
      <w:r w:rsidR="000F2B16">
        <w:rPr>
          <w:b/>
          <w:color w:val="00188F"/>
        </w:rPr>
        <w:t>Máximo de Minutos Disponíveis</w:t>
      </w:r>
      <w:r>
        <w:t>”</w:t>
      </w:r>
      <w:r w:rsidR="000F2B16">
        <w:t xml:space="preserve"> designa a soma de todos os Minutos de Implementação em todos os Itens Geridos numa determinada subscrição do Microsoft Azure durante um Período Aplicável.</w:t>
      </w:r>
    </w:p>
    <w:p w14:paraId="3C30BFAD" w14:textId="77777777" w:rsidR="000F2B16" w:rsidRPr="00EF7CF9" w:rsidRDefault="000F2B16" w:rsidP="00A42102">
      <w:pPr>
        <w:pStyle w:val="ProductList-Body"/>
      </w:pPr>
      <w:r>
        <w:rPr>
          <w:b/>
          <w:color w:val="00188F"/>
        </w:rPr>
        <w:t>Período de Indisponibilidade</w:t>
      </w:r>
      <w:r w:rsidRPr="00473DD3">
        <w:rPr>
          <w:b/>
          <w:color w:val="00188F"/>
        </w:rPr>
        <w:t>:</w:t>
      </w:r>
      <w:r>
        <w:t xml:space="preserve"> O número total de minutos durante o Máximo de Minutos Disponíveis durante os quais o Serviço StorSimple está indisponível para o Item Gerido. O Serviço StorSimple é considerado indisponível para um determinado Item Gerido desde a primeira Falha de uma operação de Cópia de Segurança, Criação de Camadas na Nuvem ou Restauro no que se refere ao Item Gerido até à inicialização de uma operação de Cópia de Segurança, Criação de Camadas na Nuvem ou Restauro bem-sucedida de um Item Gerido, desde que as repetições sejam tentadas continuamente com a frequência mínima de uma vez de trinta em trinta minutos.</w:t>
      </w:r>
    </w:p>
    <w:p w14:paraId="35361FCC" w14:textId="67AE494A" w:rsidR="000F2B16"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8239E7E" w14:textId="33A0CC62" w:rsidR="000F2B16" w:rsidRPr="00EF7CF9" w:rsidRDefault="00000000" w:rsidP="00A4210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984315A" w14:textId="77777777" w:rsidR="000F2B16" w:rsidRPr="00EF7CF9" w:rsidRDefault="000F2B16" w:rsidP="00F01ED6">
      <w:pPr>
        <w:pStyle w:val="ProductList-Body"/>
      </w:pPr>
      <w:r>
        <w:rPr>
          <w:b/>
          <w:color w:val="00188F"/>
        </w:rPr>
        <w:t>Os seguintes Níveis de Serviço e Créditos de Serviço são aplicáveis à utilização que o Cliente faz do Serviço StorSimple</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649B730" w14:textId="77777777" w:rsidR="000F2B16" w:rsidRPr="00EF7CF9" w:rsidRDefault="000F2B16" w:rsidP="00F01ED6">
            <w:pPr>
              <w:pStyle w:val="ProductList-OfferingBody"/>
              <w:jc w:val="center"/>
              <w:rPr>
                <w:color w:val="FFFFFF" w:themeColor="background1"/>
              </w:rPr>
            </w:pPr>
            <w:r>
              <w:rPr>
                <w:color w:val="FFFFFF" w:themeColor="background1"/>
              </w:rPr>
              <w:t>Crédito de Serviço</w:t>
            </w:r>
          </w:p>
        </w:tc>
      </w:tr>
      <w:tr w:rsidR="000F2B16" w:rsidRPr="00B44CF9" w14:paraId="11ECD138" w14:textId="77777777" w:rsidTr="00277097">
        <w:tc>
          <w:tcPr>
            <w:tcW w:w="5400" w:type="dxa"/>
          </w:tcPr>
          <w:p w14:paraId="48CD763C" w14:textId="77777777" w:rsidR="000F2B16" w:rsidRPr="00EF7CF9" w:rsidRDefault="000F2B16" w:rsidP="00F01ED6">
            <w:pPr>
              <w:pStyle w:val="ProductList-OfferingBody"/>
              <w:jc w:val="center"/>
            </w:pPr>
            <w:r>
              <w:t>&lt; 99,9%</w:t>
            </w:r>
          </w:p>
        </w:tc>
        <w:tc>
          <w:tcPr>
            <w:tcW w:w="5400" w:type="dxa"/>
          </w:tcPr>
          <w:p w14:paraId="0D3DAB99" w14:textId="77777777" w:rsidR="000F2B16" w:rsidRPr="00EF7CF9" w:rsidRDefault="000F2B16" w:rsidP="00F01ED6">
            <w:pPr>
              <w:pStyle w:val="ProductList-OfferingBody"/>
              <w:jc w:val="center"/>
            </w:pPr>
            <w:r>
              <w:t>10%</w:t>
            </w:r>
          </w:p>
        </w:tc>
      </w:tr>
      <w:tr w:rsidR="000F2B16" w:rsidRPr="00B44CF9" w14:paraId="19797254" w14:textId="77777777" w:rsidTr="00277097">
        <w:tc>
          <w:tcPr>
            <w:tcW w:w="5400" w:type="dxa"/>
          </w:tcPr>
          <w:p w14:paraId="45231381" w14:textId="77777777" w:rsidR="000F2B16" w:rsidRPr="00EF7CF9" w:rsidRDefault="000F2B16" w:rsidP="00F01ED6">
            <w:pPr>
              <w:pStyle w:val="ProductList-OfferingBody"/>
              <w:jc w:val="center"/>
            </w:pPr>
            <w:r>
              <w:t>&lt; 99%</w:t>
            </w:r>
          </w:p>
        </w:tc>
        <w:tc>
          <w:tcPr>
            <w:tcW w:w="5400" w:type="dxa"/>
          </w:tcPr>
          <w:p w14:paraId="6DB0249C" w14:textId="77777777" w:rsidR="000F2B16" w:rsidRPr="00EF7CF9" w:rsidRDefault="000F2B16" w:rsidP="00F01ED6">
            <w:pPr>
              <w:pStyle w:val="ProductList-OfferingBody"/>
              <w:jc w:val="center"/>
            </w:pPr>
            <w:r>
              <w:t>25%</w:t>
            </w:r>
          </w:p>
        </w:tc>
      </w:tr>
    </w:tbl>
    <w:p w14:paraId="6323CB84" w14:textId="0FD76210" w:rsidR="000F2B16" w:rsidRPr="00CB7596" w:rsidRDefault="00EE6E3C" w:rsidP="00F01ED6">
      <w:pPr>
        <w:pStyle w:val="ProductList-Body"/>
        <w:tabs>
          <w:tab w:val="clear" w:pos="360"/>
          <w:tab w:val="clear" w:pos="720"/>
          <w:tab w:val="clear" w:pos="1080"/>
        </w:tabs>
        <w:spacing w:before="240"/>
        <w:rPr>
          <w:b/>
          <w:bCs/>
          <w:color w:val="00188F"/>
          <w:szCs w:val="18"/>
        </w:rPr>
      </w:pPr>
      <w:r w:rsidRPr="00CB7596">
        <w:rPr>
          <w:b/>
          <w:bCs/>
          <w:color w:val="00188F"/>
          <w:szCs w:val="18"/>
        </w:rPr>
        <w:t>Cálculo do Período de Disponibilidade e Níveis de Serviço para o Gestor de Dados StorSimple</w:t>
      </w:r>
    </w:p>
    <w:p w14:paraId="6F438056" w14:textId="5FDA10A1" w:rsidR="000F2B16" w:rsidRPr="00CB7596" w:rsidRDefault="000F2B16" w:rsidP="00A42102">
      <w:pPr>
        <w:spacing w:after="0" w:line="240" w:lineRule="auto"/>
        <w:rPr>
          <w:rFonts w:eastAsia="Times New Roman" w:cstheme="minorHAnsi"/>
          <w:sz w:val="18"/>
          <w:szCs w:val="18"/>
        </w:rPr>
      </w:pPr>
      <w:r w:rsidRPr="00CB7596">
        <w:rPr>
          <w:sz w:val="18"/>
          <w:szCs w:val="18"/>
        </w:rPr>
        <w:t xml:space="preserve">O </w:t>
      </w:r>
      <w:r w:rsidR="00380305" w:rsidRPr="00CB7596">
        <w:rPr>
          <w:rFonts w:eastAsia="Times New Roman" w:cstheme="minorHAnsi"/>
          <w:bCs/>
          <w:sz w:val="18"/>
          <w:szCs w:val="18"/>
        </w:rPr>
        <w:t>“</w:t>
      </w:r>
      <w:r w:rsidRPr="00CB7596">
        <w:rPr>
          <w:rFonts w:eastAsia="Times New Roman" w:cstheme="minorHAnsi"/>
          <w:b/>
          <w:bCs/>
          <w:color w:val="00188F"/>
          <w:sz w:val="18"/>
          <w:szCs w:val="18"/>
        </w:rPr>
        <w:t>Total de Pedidos</w:t>
      </w:r>
      <w:r w:rsidR="00380305" w:rsidRPr="00CB7596">
        <w:rPr>
          <w:rFonts w:eastAsia="Times New Roman" w:cstheme="minorHAnsi"/>
          <w:sz w:val="18"/>
          <w:szCs w:val="18"/>
        </w:rPr>
        <w:t>”</w:t>
      </w:r>
      <w:r w:rsidRPr="00CB7596">
        <w:rPr>
          <w:rFonts w:eastAsia="Times New Roman" w:cstheme="minorHAnsi"/>
          <w:sz w:val="18"/>
          <w:szCs w:val="18"/>
        </w:rPr>
        <w:t xml:space="preserve"> designa o conjunto de todos os pedidos, sem contar com os Pedidos Excluídos, para executar operações relativamente ao</w:t>
      </w:r>
      <w:r w:rsidR="00253062">
        <w:rPr>
          <w:rFonts w:eastAsia="Times New Roman" w:cstheme="minorHAnsi"/>
          <w:sz w:val="18"/>
          <w:szCs w:val="18"/>
        </w:rPr>
        <w:t> </w:t>
      </w:r>
      <w:r w:rsidRPr="00CB7596">
        <w:rPr>
          <w:rFonts w:eastAsia="Times New Roman" w:cstheme="minorHAnsi"/>
          <w:sz w:val="18"/>
          <w:szCs w:val="18"/>
        </w:rPr>
        <w:t>serviço Gestor de Dados do StorSimple durante um Período Aplicável para uma determinada subscrição do Microsoft Azure.</w:t>
      </w:r>
    </w:p>
    <w:p w14:paraId="0B9F46FA" w14:textId="1F73381E" w:rsidR="000F2B16" w:rsidRPr="00CB7596" w:rsidRDefault="00380305" w:rsidP="00A42102">
      <w:pPr>
        <w:spacing w:after="0" w:line="240" w:lineRule="auto"/>
        <w:rPr>
          <w:rFonts w:eastAsia="Times New Roman" w:cstheme="minorHAnsi"/>
          <w:sz w:val="18"/>
          <w:szCs w:val="18"/>
        </w:rPr>
      </w:pPr>
      <w:r w:rsidRPr="00CB7596">
        <w:rPr>
          <w:rFonts w:eastAsia="Times New Roman" w:cstheme="minorHAnsi"/>
          <w:sz w:val="18"/>
          <w:szCs w:val="18"/>
        </w:rPr>
        <w:t>“</w:t>
      </w:r>
      <w:r w:rsidR="000F2B16" w:rsidRPr="00CB7596">
        <w:rPr>
          <w:rFonts w:eastAsia="Times New Roman" w:cstheme="minorHAnsi"/>
          <w:b/>
          <w:bCs/>
          <w:color w:val="00188F"/>
          <w:sz w:val="18"/>
          <w:szCs w:val="18"/>
        </w:rPr>
        <w:t>Pedidos Excluídos</w:t>
      </w:r>
      <w:r w:rsidRPr="00CB7596">
        <w:rPr>
          <w:rFonts w:eastAsia="Times New Roman" w:cstheme="minorHAnsi"/>
          <w:sz w:val="18"/>
          <w:szCs w:val="18"/>
        </w:rPr>
        <w:t>”</w:t>
      </w:r>
      <w:r w:rsidR="000F2B16" w:rsidRPr="00CB7596">
        <w:rPr>
          <w:rFonts w:eastAsia="Times New Roman" w:cstheme="minorHAnsi"/>
          <w:sz w:val="18"/>
          <w:szCs w:val="18"/>
        </w:rPr>
        <w:t xml:space="preserve"> designa o conjunto de pedidos que resultam num código de estado HTTP 4xx.</w:t>
      </w:r>
    </w:p>
    <w:p w14:paraId="78728F4D" w14:textId="6A1DD741" w:rsidR="000F2B16" w:rsidRPr="00CB7596" w:rsidRDefault="00380305" w:rsidP="00A42102">
      <w:pPr>
        <w:spacing w:after="0" w:line="240" w:lineRule="auto"/>
        <w:rPr>
          <w:rFonts w:eastAsia="Times New Roman" w:cstheme="minorHAnsi"/>
          <w:sz w:val="18"/>
          <w:szCs w:val="18"/>
        </w:rPr>
      </w:pPr>
      <w:r w:rsidRPr="00CB7596">
        <w:rPr>
          <w:rFonts w:eastAsia="Times New Roman" w:cstheme="minorHAnsi"/>
          <w:sz w:val="18"/>
          <w:szCs w:val="18"/>
        </w:rPr>
        <w:t>“</w:t>
      </w:r>
      <w:r w:rsidR="000F2B16" w:rsidRPr="00CB7596">
        <w:rPr>
          <w:rFonts w:eastAsia="Times New Roman" w:cstheme="minorHAnsi"/>
          <w:b/>
          <w:bCs/>
          <w:color w:val="00188F"/>
          <w:sz w:val="18"/>
          <w:szCs w:val="18"/>
        </w:rPr>
        <w:t>Pedidos com Falha</w:t>
      </w:r>
      <w:r w:rsidRPr="00CB7596">
        <w:rPr>
          <w:rFonts w:eastAsia="Times New Roman" w:cstheme="minorHAnsi"/>
          <w:sz w:val="18"/>
          <w:szCs w:val="18"/>
        </w:rPr>
        <w:t>”</w:t>
      </w:r>
      <w:r w:rsidR="000F2B16" w:rsidRPr="00CB7596">
        <w:rPr>
          <w:rFonts w:eastAsia="Times New Roman" w:cstheme="minorHAnsi"/>
          <w:sz w:val="18"/>
          <w:szCs w:val="18"/>
        </w:rPr>
        <w:t xml:space="preserve"> designa o conjunto de todos os pedidos incluídos no Total de Pedidos que devolvem um Código de Erro ou que não devolvem um Código de Êxito num período de 60 segundos.</w:t>
      </w:r>
    </w:p>
    <w:p w14:paraId="5DF07CCD" w14:textId="4115322F" w:rsidR="000F2B16" w:rsidRPr="00EF7CF9" w:rsidRDefault="00AC48A7" w:rsidP="00F01ED6">
      <w:pPr>
        <w:pStyle w:val="ProductList-Body"/>
        <w:keepNext/>
        <w:rPr>
          <w:rFonts w:cstheme="minorHAnsi"/>
        </w:rPr>
      </w:pPr>
      <w:r>
        <w:rPr>
          <w:rFonts w:cstheme="minorHAnsi"/>
          <w:b/>
          <w:color w:val="00188F"/>
        </w:rPr>
        <w:t>Percentagem de Período de Disponibilidade</w:t>
      </w:r>
      <w:r w:rsidRPr="00473DD3">
        <w:rPr>
          <w:rFonts w:cstheme="minorHAnsi"/>
          <w:b/>
          <w:color w:val="00188F"/>
        </w:rPr>
        <w:t>:</w:t>
      </w:r>
      <w:r>
        <w:rPr>
          <w:rFonts w:cstheme="minorHAnsi"/>
        </w:rPr>
        <w:t xml:space="preserve"> A Percentagem de Período de Disponibilidade é calculada através da seguinte fórmula:</w:t>
      </w:r>
    </w:p>
    <w:p w14:paraId="4249BC7E" w14:textId="6BA28B65" w:rsidR="000F2B16" w:rsidRPr="00EF7CF9" w:rsidRDefault="00000000" w:rsidP="00A4210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Pedidos-Pedidos com Falha</m:t>
              </m:r>
            </m:num>
            <m:den>
              <m:r>
                <m:rPr>
                  <m:nor/>
                </m:rPr>
                <w:rPr>
                  <w:rFonts w:ascii="Cambria Math" w:hAnsi="Cambria Math" w:cs="Tahoma"/>
                  <w:i/>
                  <w:sz w:val="18"/>
                  <w:szCs w:val="18"/>
                </w:rPr>
                <m:t>Total de Pedidos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25217A6" w14:textId="77777777" w:rsidR="000F2B16" w:rsidRPr="00EF7CF9" w:rsidRDefault="000F2B16" w:rsidP="00F01ED6">
            <w:pPr>
              <w:pStyle w:val="ProductList-OfferingBody"/>
              <w:jc w:val="center"/>
              <w:rPr>
                <w:color w:val="FFFFFF" w:themeColor="background1"/>
              </w:rPr>
            </w:pPr>
            <w:r>
              <w:rPr>
                <w:color w:val="FFFFFF" w:themeColor="background1"/>
              </w:rPr>
              <w:t>Crédito de Serviço</w:t>
            </w:r>
          </w:p>
        </w:tc>
      </w:tr>
      <w:tr w:rsidR="000F2B16" w:rsidRPr="00B44CF9" w14:paraId="03B83346" w14:textId="77777777" w:rsidTr="00277097">
        <w:tc>
          <w:tcPr>
            <w:tcW w:w="5400" w:type="dxa"/>
          </w:tcPr>
          <w:p w14:paraId="1CEB037A" w14:textId="77777777" w:rsidR="000F2B16" w:rsidRPr="00EF7CF9" w:rsidRDefault="000F2B16" w:rsidP="00F01ED6">
            <w:pPr>
              <w:pStyle w:val="ProductList-OfferingBody"/>
              <w:jc w:val="center"/>
            </w:pPr>
            <w:r>
              <w:t>&lt; 99,9%</w:t>
            </w:r>
          </w:p>
        </w:tc>
        <w:tc>
          <w:tcPr>
            <w:tcW w:w="5400" w:type="dxa"/>
          </w:tcPr>
          <w:p w14:paraId="7EF12227" w14:textId="77777777" w:rsidR="000F2B16" w:rsidRPr="00EF7CF9" w:rsidRDefault="000F2B16" w:rsidP="00F01ED6">
            <w:pPr>
              <w:pStyle w:val="ProductList-OfferingBody"/>
              <w:jc w:val="center"/>
            </w:pPr>
            <w:r>
              <w:t>10%</w:t>
            </w:r>
          </w:p>
        </w:tc>
      </w:tr>
      <w:tr w:rsidR="000F2B16" w:rsidRPr="00B44CF9" w14:paraId="5E479BC7" w14:textId="77777777" w:rsidTr="00277097">
        <w:tc>
          <w:tcPr>
            <w:tcW w:w="5400" w:type="dxa"/>
          </w:tcPr>
          <w:p w14:paraId="4C93B6B5" w14:textId="77777777" w:rsidR="000F2B16" w:rsidRPr="00EF7CF9" w:rsidRDefault="000F2B16" w:rsidP="00F01ED6">
            <w:pPr>
              <w:pStyle w:val="ProductList-OfferingBody"/>
              <w:jc w:val="center"/>
            </w:pPr>
            <w:r>
              <w:t>&lt; 99%</w:t>
            </w:r>
          </w:p>
        </w:tc>
        <w:tc>
          <w:tcPr>
            <w:tcW w:w="5400" w:type="dxa"/>
          </w:tcPr>
          <w:p w14:paraId="59D51305" w14:textId="77777777" w:rsidR="000F2B16" w:rsidRPr="00EF7CF9" w:rsidRDefault="000F2B16" w:rsidP="00F01ED6">
            <w:pPr>
              <w:pStyle w:val="ProductList-OfferingBody"/>
              <w:jc w:val="center"/>
            </w:pPr>
            <w:r>
              <w:t>25%</w:t>
            </w:r>
          </w:p>
        </w:tc>
      </w:tr>
    </w:tbl>
    <w:bookmarkStart w:id="408" w:name="_Toc457821583"/>
    <w:bookmarkStart w:id="409" w:name="_Toc52348991"/>
    <w:p w14:paraId="0E062040"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DE16F70" w14:textId="2D0DF355" w:rsidR="000F2B16" w:rsidRPr="00EF7CF9" w:rsidRDefault="000F2B16" w:rsidP="001C2DA1">
      <w:pPr>
        <w:pStyle w:val="ProductList-Offering2Heading"/>
        <w:keepNext/>
        <w:pageBreakBefore/>
        <w:tabs>
          <w:tab w:val="clear" w:pos="360"/>
          <w:tab w:val="clear" w:pos="720"/>
          <w:tab w:val="clear" w:pos="1080"/>
        </w:tabs>
        <w:outlineLvl w:val="2"/>
      </w:pPr>
      <w:bookmarkStart w:id="410" w:name="_Toc239176536"/>
      <w:r>
        <w:lastRenderedPageBreak/>
        <w:t>Azure Stream Analytics</w:t>
      </w:r>
      <w:bookmarkEnd w:id="408"/>
      <w:bookmarkEnd w:id="409"/>
      <w:bookmarkEnd w:id="410"/>
    </w:p>
    <w:p w14:paraId="7C7D2088" w14:textId="73851088" w:rsidR="000F2B16" w:rsidRPr="004D48F5" w:rsidRDefault="00EE6E3C" w:rsidP="00F01ED6">
      <w:pPr>
        <w:pStyle w:val="ProductList-Body"/>
        <w:rPr>
          <w:b/>
          <w:color w:val="00188F"/>
        </w:rPr>
      </w:pPr>
      <w:r>
        <w:rPr>
          <w:b/>
          <w:color w:val="00188F"/>
        </w:rPr>
        <w:t>Cálculo do Período de Disponibilidade para Chamadas da API de Stream Analytics</w:t>
      </w:r>
    </w:p>
    <w:p w14:paraId="6756038E" w14:textId="77777777" w:rsidR="000F2B16" w:rsidRPr="00EF7CF9" w:rsidRDefault="000F2B16" w:rsidP="00F01ED6">
      <w:pPr>
        <w:pStyle w:val="ProductList-Body"/>
      </w:pPr>
      <w:r>
        <w:rPr>
          <w:b/>
          <w:color w:val="00188F"/>
        </w:rPr>
        <w:t>Definições Adicionais</w:t>
      </w:r>
      <w:r w:rsidRPr="00473DD3">
        <w:rPr>
          <w:b/>
          <w:color w:val="00188F"/>
        </w:rPr>
        <w:t>:</w:t>
      </w:r>
    </w:p>
    <w:p w14:paraId="69D34C0E" w14:textId="737DE3C9" w:rsidR="000F2B16" w:rsidRPr="00EF7CF9" w:rsidRDefault="00380305" w:rsidP="00A42102">
      <w:pPr>
        <w:pStyle w:val="ProductList-Body"/>
      </w:pPr>
      <w:r>
        <w:t>“</w:t>
      </w:r>
      <w:r w:rsidR="000F2B16">
        <w:rPr>
          <w:b/>
          <w:color w:val="00188F"/>
        </w:rPr>
        <w:t>Total de Tentativas de Transação</w:t>
      </w:r>
      <w:r>
        <w:t>”</w:t>
      </w:r>
      <w:r w:rsidR="000F2B16">
        <w:t xml:space="preserve"> é o número total de pedidos de BES REST autenticados para gerir uma tarefa de transmissão em fluxo no</w:t>
      </w:r>
      <w:r w:rsidR="00451C0A">
        <w:t> </w:t>
      </w:r>
      <w:r w:rsidR="000F2B16">
        <w:t xml:space="preserve">Serviço Stream Analytics efetuado pelo Cliente durante um Período Aplicável para uma determinada subscrição do Microsoft Azure. </w:t>
      </w:r>
    </w:p>
    <w:p w14:paraId="6A199D62" w14:textId="574FCDED" w:rsidR="000F2B16" w:rsidRPr="00EF7CF9" w:rsidRDefault="00380305" w:rsidP="00A42102">
      <w:pPr>
        <w:pStyle w:val="ProductList-Body"/>
      </w:pPr>
      <w:r>
        <w:t>“</w:t>
      </w:r>
      <w:r w:rsidR="000F2B16">
        <w:rPr>
          <w:b/>
          <w:color w:val="00188F"/>
        </w:rPr>
        <w:t>Transações com Falha</w:t>
      </w:r>
      <w:r>
        <w:t>”</w:t>
      </w:r>
      <w:r w:rsidR="000F2B16">
        <w:t xml:space="preserve"> é o conjunto de todos os pedidos no Total de Tentativas de Transação que devolvem um Código de Erro ou de outro modo</w:t>
      </w:r>
      <w:r w:rsidR="00451C0A">
        <w:t> </w:t>
      </w:r>
      <w:r w:rsidR="000F2B16">
        <w:t>não devolvem um Código de Êxito no prazo de 5 minutos a partir da receção do pedido por parte da Microsoft.</w:t>
      </w:r>
    </w:p>
    <w:p w14:paraId="73B7B2CF" w14:textId="5FFCB653" w:rsidR="000F2B16" w:rsidRPr="00EF7CF9" w:rsidRDefault="000F2B16" w:rsidP="00F01ED6">
      <w:pPr>
        <w:pStyle w:val="ProductList-Body"/>
        <w:keepNext/>
      </w:pPr>
      <w:r>
        <w:t xml:space="preserve">A </w:t>
      </w:r>
      <w:r w:rsidR="00380305">
        <w:t>“</w:t>
      </w:r>
      <w:r>
        <w:rPr>
          <w:b/>
          <w:color w:val="00188F"/>
        </w:rPr>
        <w:t>Percentagem de Período de Disponibilidade</w:t>
      </w:r>
      <w:r w:rsidR="00380305">
        <w:t>”</w:t>
      </w:r>
      <w:r>
        <w:t xml:space="preserve"> para chamadas da API no Serviço Stream Analytics é representada pela seguinte fórmula: </w:t>
      </w:r>
    </w:p>
    <w:p w14:paraId="4635A583" w14:textId="534D7907" w:rsidR="000F2B16" w:rsidRPr="009E2B16" w:rsidRDefault="006A28BC" w:rsidP="00427A58">
      <w:pPr>
        <w:spacing w:before="120" w:after="0" w:line="240" w:lineRule="auto"/>
        <w:rPr>
          <w:rFonts w:cs="Tahoma"/>
          <w:i/>
          <w:sz w:val="18"/>
          <w:szCs w:val="18"/>
        </w:rPr>
      </w:pPr>
      <m:oMathPara>
        <m:oMath>
          <m:r>
            <w:rPr>
              <w:rFonts w:ascii="Cambria Math" w:hAnsi="Cambria Math" w:cs="Tahoma"/>
              <w:sz w:val="18"/>
              <w:szCs w:val="18"/>
            </w:rPr>
            <m:t xml:space="preserve">% </m:t>
          </m:r>
          <m:r>
            <m:rPr>
              <m:nor/>
            </m:rPr>
            <w:rPr>
              <w:rFonts w:ascii="Cambria Math" w:hAnsi="Cambria Math" w:cs="Tahoma"/>
              <w:i/>
              <w:iCs/>
              <w:sz w:val="18"/>
              <w:szCs w:val="18"/>
            </w:rPr>
            <m:t>de Período de Disponibilidade Mensal</m:t>
          </m:r>
          <m:r>
            <w:rPr>
              <w:rFonts w:ascii="Cambria Math" w:hAnsi="Cambria Math" w:cs="Tahoma"/>
              <w:sz w:val="18"/>
              <w:szCs w:val="18"/>
            </w:rPr>
            <m:t>=</m:t>
          </m:r>
          <m:f>
            <m:fPr>
              <m:ctrlPr>
                <w:rPr>
                  <w:rFonts w:ascii="Cambria Math" w:hAnsi="Cambria Math" w:cs="Tahoma"/>
                  <w:i/>
                  <w:sz w:val="18"/>
                  <w:szCs w:val="18"/>
                </w:rPr>
              </m:ctrlPr>
            </m:fPr>
            <m:num>
              <m:r>
                <m:rPr>
                  <m:nor/>
                </m:rPr>
                <w:rPr>
                  <w:rFonts w:ascii="Cambria Math" w:hAnsi="Cambria Math" w:cs="Tahoma"/>
                  <w:i/>
                  <w:iCs/>
                  <w:sz w:val="18"/>
                  <w:szCs w:val="18"/>
                </w:rPr>
                <m:t>Total de Tentativas de Transação - Transações com Falha</m:t>
              </m:r>
            </m:num>
            <m:den>
              <m:r>
                <m:rPr>
                  <m:nor/>
                </m:rPr>
                <w:rPr>
                  <w:rFonts w:ascii="Cambria Math" w:hAnsi="Cambria Math" w:cs="Tahoma"/>
                  <w:i/>
                  <w:iCs/>
                  <w:sz w:val="18"/>
                  <w:szCs w:val="18"/>
                </w:rPr>
                <m:t>Total de Tentativas de Transação</m:t>
              </m:r>
            </m:den>
          </m:f>
        </m:oMath>
      </m:oMathPara>
    </w:p>
    <w:p w14:paraId="131B7726" w14:textId="29BC21A9" w:rsidR="000F2B16" w:rsidRPr="00EF7CF9" w:rsidRDefault="000F2B16" w:rsidP="00E31349">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AD10B9B" w14:textId="77777777" w:rsidR="000F2B16" w:rsidRPr="00EF7CF9" w:rsidRDefault="000F2B16" w:rsidP="00F01ED6">
            <w:pPr>
              <w:pStyle w:val="ProductList-OfferingBody"/>
              <w:jc w:val="center"/>
              <w:rPr>
                <w:color w:val="FFFFFF" w:themeColor="background1"/>
              </w:rPr>
            </w:pPr>
            <w:r>
              <w:rPr>
                <w:color w:val="FFFFFF" w:themeColor="background1"/>
              </w:rPr>
              <w:t>Crédito de Serviço</w:t>
            </w:r>
          </w:p>
        </w:tc>
      </w:tr>
      <w:tr w:rsidR="000F2B16" w:rsidRPr="00B44CF9" w14:paraId="0F576094" w14:textId="77777777" w:rsidTr="00277097">
        <w:tc>
          <w:tcPr>
            <w:tcW w:w="5400" w:type="dxa"/>
          </w:tcPr>
          <w:p w14:paraId="0AF06446" w14:textId="77777777" w:rsidR="000F2B16" w:rsidRPr="00EF7CF9" w:rsidRDefault="000F2B16" w:rsidP="00F01ED6">
            <w:pPr>
              <w:pStyle w:val="ProductList-OfferingBody"/>
              <w:jc w:val="center"/>
            </w:pPr>
            <w:r>
              <w:t>&lt; 99,9%</w:t>
            </w:r>
          </w:p>
        </w:tc>
        <w:tc>
          <w:tcPr>
            <w:tcW w:w="5400" w:type="dxa"/>
          </w:tcPr>
          <w:p w14:paraId="43437E77" w14:textId="77777777" w:rsidR="000F2B16" w:rsidRPr="00EF7CF9" w:rsidRDefault="000F2B16" w:rsidP="00F01ED6">
            <w:pPr>
              <w:pStyle w:val="ProductList-OfferingBody"/>
              <w:jc w:val="center"/>
            </w:pPr>
            <w:r>
              <w:t>10%</w:t>
            </w:r>
          </w:p>
        </w:tc>
      </w:tr>
      <w:tr w:rsidR="000F2B16" w:rsidRPr="00B44CF9" w14:paraId="4F03B08D" w14:textId="77777777" w:rsidTr="00277097">
        <w:tc>
          <w:tcPr>
            <w:tcW w:w="5400" w:type="dxa"/>
          </w:tcPr>
          <w:p w14:paraId="2620D88C" w14:textId="77777777" w:rsidR="000F2B16" w:rsidRPr="00EF7CF9" w:rsidRDefault="000F2B16" w:rsidP="00F01ED6">
            <w:pPr>
              <w:pStyle w:val="ProductList-OfferingBody"/>
              <w:jc w:val="center"/>
            </w:pPr>
            <w:r>
              <w:t>&lt; 99%</w:t>
            </w:r>
          </w:p>
        </w:tc>
        <w:tc>
          <w:tcPr>
            <w:tcW w:w="5400" w:type="dxa"/>
          </w:tcPr>
          <w:p w14:paraId="552030F9" w14:textId="77777777" w:rsidR="000F2B16" w:rsidRPr="00EF7CF9" w:rsidRDefault="000F2B16" w:rsidP="00F01ED6">
            <w:pPr>
              <w:pStyle w:val="ProductList-OfferingBody"/>
              <w:jc w:val="center"/>
            </w:pPr>
            <w:r>
              <w:t>25%</w:t>
            </w:r>
          </w:p>
        </w:tc>
      </w:tr>
    </w:tbl>
    <w:p w14:paraId="5B98E0DF" w14:textId="6ACB12BE" w:rsidR="000F2B16" w:rsidRPr="004D48F5" w:rsidRDefault="00EE6E3C" w:rsidP="00E13B53">
      <w:pPr>
        <w:pStyle w:val="ProductList-Body"/>
        <w:spacing w:before="120"/>
        <w:rPr>
          <w:b/>
          <w:color w:val="00188F"/>
        </w:rPr>
      </w:pPr>
      <w:r>
        <w:rPr>
          <w:b/>
          <w:color w:val="00188F"/>
        </w:rPr>
        <w:t>Cálculo do Período de Disponibilidade para Tarefas de Stream Analytics</w:t>
      </w:r>
    </w:p>
    <w:p w14:paraId="12F7A813" w14:textId="77777777" w:rsidR="000F2B16" w:rsidRPr="00EF7CF9" w:rsidRDefault="000F2B16" w:rsidP="00F01ED6">
      <w:pPr>
        <w:pStyle w:val="ProductList-Body"/>
      </w:pPr>
      <w:r>
        <w:rPr>
          <w:b/>
          <w:color w:val="00188F"/>
        </w:rPr>
        <w:t>Definições Adicionais</w:t>
      </w:r>
      <w:r w:rsidRPr="00473DD3">
        <w:rPr>
          <w:b/>
          <w:color w:val="00188F"/>
        </w:rPr>
        <w:t>:</w:t>
      </w:r>
    </w:p>
    <w:p w14:paraId="41F7AB4E" w14:textId="465A6AC0" w:rsidR="000F2B16" w:rsidRPr="00EF7CF9" w:rsidRDefault="00380305" w:rsidP="00F01ED6">
      <w:pPr>
        <w:pStyle w:val="ProductList-Body"/>
        <w:tabs>
          <w:tab w:val="left" w:pos="0"/>
        </w:tabs>
        <w:spacing w:after="40"/>
        <w:jc w:val="both"/>
      </w:pPr>
      <w:r>
        <w:t>“</w:t>
      </w:r>
      <w:r w:rsidR="000F2B16">
        <w:rPr>
          <w:b/>
          <w:color w:val="00188F"/>
        </w:rPr>
        <w:t>Minutos de Implementação</w:t>
      </w:r>
      <w:r>
        <w:t>”</w:t>
      </w:r>
      <w:r w:rsidR="000F2B16">
        <w:t xml:space="preserve"> designa o número total de minutos durante os quais uma determinada tarefa foi implementada no Serviço Stream Analytics durante um Período Aplicável.</w:t>
      </w:r>
    </w:p>
    <w:p w14:paraId="5573B756" w14:textId="5EF2EFD8" w:rsidR="000F2B16" w:rsidRDefault="00380305" w:rsidP="00F01ED6">
      <w:pPr>
        <w:pStyle w:val="ProductList-Body"/>
        <w:tabs>
          <w:tab w:val="left" w:pos="0"/>
        </w:tabs>
      </w:pPr>
      <w:r>
        <w:t>“</w:t>
      </w:r>
      <w:r w:rsidR="000F2B16">
        <w:rPr>
          <w:b/>
          <w:color w:val="00188F"/>
        </w:rPr>
        <w:t>Máximo de Minutos Disponíveis</w:t>
      </w:r>
      <w:r>
        <w:t>”</w:t>
      </w:r>
      <w:r w:rsidR="000F2B16">
        <w:t xml:space="preserve"> designa a soma de todos os Minutos de Implementação em todas as tarefas implementadas pelo Cliente numa determinada subscrição do Microsoft Azure durante um Período Aplicável.</w:t>
      </w:r>
    </w:p>
    <w:p w14:paraId="534D3C93" w14:textId="77777777" w:rsidR="000F2B16" w:rsidRPr="00EF7CF9" w:rsidRDefault="000F2B16" w:rsidP="00F01ED6">
      <w:pPr>
        <w:pStyle w:val="ProductList-Body"/>
        <w:tabs>
          <w:tab w:val="left" w:pos="0"/>
        </w:tabs>
        <w:jc w:val="both"/>
      </w:pPr>
      <w:r>
        <w:rPr>
          <w:b/>
          <w:color w:val="00188F"/>
        </w:rPr>
        <w:t>Período de Indisponibilidade</w:t>
      </w:r>
      <w:r>
        <w:t xml:space="preserve"> designa o total de Minutos de Implementação acumulados, em todas as tarefas implementadas pelo Cliente numa determinada subscrição do Microsoft Azure, na qual a tarefa está indisponível. Um minuto é considerado indisponível para uma tarefa implementada se a tarefa não estiver a processar dados, nem estiver disponível para processar dados no decurso desse minuto.</w:t>
      </w:r>
    </w:p>
    <w:p w14:paraId="5519C78A" w14:textId="2BF322DA" w:rsidR="000F2B16" w:rsidRPr="00EF7CF9" w:rsidRDefault="00AC48A7" w:rsidP="00F01ED6">
      <w:pPr>
        <w:pStyle w:val="ProductList-Body"/>
        <w:keepNext/>
        <w:tabs>
          <w:tab w:val="left" w:pos="0"/>
        </w:tabs>
        <w:jc w:val="both"/>
      </w:pPr>
      <w:r>
        <w:t xml:space="preserve">A </w:t>
      </w:r>
      <w:r>
        <w:rPr>
          <w:b/>
          <w:color w:val="00188F"/>
        </w:rPr>
        <w:t>Percentagem de Período de Disponibilidade</w:t>
      </w:r>
      <w:r>
        <w:t xml:space="preserve"> para tarefas no Serviço Stream Analytics é representada pela seguinte fórmula:</w:t>
      </w:r>
    </w:p>
    <w:p w14:paraId="45B1882D" w14:textId="4A100F44" w:rsidR="000F2B16" w:rsidRPr="00EF7CF9" w:rsidRDefault="00000000" w:rsidP="00427A5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6C204FB" w14:textId="77777777" w:rsidR="000F2B16" w:rsidRPr="00EF7CF9" w:rsidRDefault="000F2B16"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3B49B90" w14:textId="77777777" w:rsidR="000F2B16" w:rsidRPr="00EF7CF9" w:rsidRDefault="000F2B16" w:rsidP="00F01ED6">
            <w:pPr>
              <w:pStyle w:val="ProductList-OfferingBody"/>
              <w:jc w:val="center"/>
              <w:rPr>
                <w:color w:val="FFFFFF" w:themeColor="background1"/>
              </w:rPr>
            </w:pPr>
            <w:r>
              <w:rPr>
                <w:color w:val="FFFFFF" w:themeColor="background1"/>
              </w:rPr>
              <w:t>Crédito de Serviço</w:t>
            </w:r>
          </w:p>
        </w:tc>
      </w:tr>
      <w:tr w:rsidR="000F2B16" w:rsidRPr="00B44CF9" w14:paraId="530C2DD2" w14:textId="77777777" w:rsidTr="00277097">
        <w:tc>
          <w:tcPr>
            <w:tcW w:w="5400" w:type="dxa"/>
          </w:tcPr>
          <w:p w14:paraId="38FF9D80" w14:textId="77777777" w:rsidR="000F2B16" w:rsidRPr="00EF7CF9" w:rsidRDefault="000F2B16" w:rsidP="00F01ED6">
            <w:pPr>
              <w:pStyle w:val="ProductList-OfferingBody"/>
              <w:jc w:val="center"/>
            </w:pPr>
            <w:r>
              <w:t>&lt; 99,9%</w:t>
            </w:r>
          </w:p>
        </w:tc>
        <w:tc>
          <w:tcPr>
            <w:tcW w:w="5400" w:type="dxa"/>
          </w:tcPr>
          <w:p w14:paraId="414A1B75" w14:textId="77777777" w:rsidR="000F2B16" w:rsidRPr="00EF7CF9" w:rsidRDefault="000F2B16" w:rsidP="00F01ED6">
            <w:pPr>
              <w:pStyle w:val="ProductList-OfferingBody"/>
              <w:jc w:val="center"/>
            </w:pPr>
            <w:r>
              <w:t>10%</w:t>
            </w:r>
          </w:p>
        </w:tc>
      </w:tr>
      <w:tr w:rsidR="000F2B16" w:rsidRPr="00B44CF9" w14:paraId="2C7C38CA" w14:textId="77777777" w:rsidTr="00277097">
        <w:tc>
          <w:tcPr>
            <w:tcW w:w="5400" w:type="dxa"/>
          </w:tcPr>
          <w:p w14:paraId="1546B4B9" w14:textId="77777777" w:rsidR="000F2B16" w:rsidRPr="00EF7CF9" w:rsidRDefault="000F2B16" w:rsidP="00F01ED6">
            <w:pPr>
              <w:pStyle w:val="ProductList-OfferingBody"/>
              <w:jc w:val="center"/>
            </w:pPr>
            <w:r>
              <w:t>&lt; 99%</w:t>
            </w:r>
          </w:p>
        </w:tc>
        <w:tc>
          <w:tcPr>
            <w:tcW w:w="5400" w:type="dxa"/>
          </w:tcPr>
          <w:p w14:paraId="548FD21B" w14:textId="77777777" w:rsidR="000F2B16" w:rsidRPr="00EF7CF9" w:rsidRDefault="000F2B16" w:rsidP="00F01ED6">
            <w:pPr>
              <w:pStyle w:val="ProductList-OfferingBody"/>
              <w:jc w:val="center"/>
            </w:pPr>
            <w:r>
              <w:t>25%</w:t>
            </w:r>
          </w:p>
        </w:tc>
      </w:tr>
    </w:tbl>
    <w:bookmarkStart w:id="411" w:name="SQLDatabaseService_BasicStandardPremium"/>
    <w:bookmarkStart w:id="412" w:name="_Toc412532210"/>
    <w:p w14:paraId="1395AD9E"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16DF67F" w14:textId="09E26FA4" w:rsidR="00532997" w:rsidRPr="00EF7CF9" w:rsidRDefault="00532997" w:rsidP="00E575FA">
      <w:pPr>
        <w:pStyle w:val="ProductList-Offering2Heading"/>
        <w:tabs>
          <w:tab w:val="clear" w:pos="360"/>
          <w:tab w:val="clear" w:pos="720"/>
          <w:tab w:val="clear" w:pos="1080"/>
        </w:tabs>
        <w:outlineLvl w:val="2"/>
      </w:pPr>
      <w:bookmarkStart w:id="413" w:name="_Toc239176537"/>
      <w:r>
        <w:t>Azure Synapse Analytics</w:t>
      </w:r>
      <w:bookmarkEnd w:id="413"/>
    </w:p>
    <w:p w14:paraId="22966524" w14:textId="77777777" w:rsidR="00532997" w:rsidRPr="00EF7CF9" w:rsidRDefault="00532997" w:rsidP="00F01ED6">
      <w:pPr>
        <w:pStyle w:val="ProductList-Body"/>
      </w:pPr>
      <w:r>
        <w:rPr>
          <w:b/>
          <w:color w:val="00188F"/>
        </w:rPr>
        <w:t>Definições Adicionais</w:t>
      </w:r>
      <w:r w:rsidRPr="00473DD3">
        <w:rPr>
          <w:b/>
          <w:color w:val="00188F"/>
        </w:rPr>
        <w:t>:</w:t>
      </w:r>
    </w:p>
    <w:p w14:paraId="7EB2EB6B" w14:textId="77777777" w:rsidR="00532997" w:rsidRPr="00ED4527" w:rsidRDefault="00532997" w:rsidP="00F01ED6">
      <w:pPr>
        <w:pStyle w:val="ProductList-Body"/>
        <w:spacing w:after="40"/>
        <w:rPr>
          <w:b/>
          <w:bCs/>
          <w:color w:val="00188F"/>
        </w:rPr>
      </w:pPr>
      <w:r>
        <w:rPr>
          <w:b/>
          <w:bCs/>
          <w:color w:val="00188F"/>
        </w:rPr>
        <w:t>Synapse SQL</w:t>
      </w:r>
    </w:p>
    <w:p w14:paraId="30FE63CE" w14:textId="455C7107" w:rsidR="00532997" w:rsidRPr="00ED4527" w:rsidRDefault="00380305" w:rsidP="00F01ED6">
      <w:pPr>
        <w:pStyle w:val="ProductList-Body"/>
        <w:spacing w:after="40"/>
        <w:rPr>
          <w:color w:val="000000" w:themeColor="text1"/>
        </w:rPr>
      </w:pPr>
      <w:r>
        <w:rPr>
          <w:color w:val="000000" w:themeColor="text1"/>
        </w:rPr>
        <w:t>“</w:t>
      </w:r>
      <w:r w:rsidR="00532997">
        <w:rPr>
          <w:b/>
          <w:bCs/>
          <w:color w:val="00188F"/>
        </w:rPr>
        <w:t>Base de Dados</w:t>
      </w:r>
      <w:r>
        <w:rPr>
          <w:color w:val="000000" w:themeColor="text1"/>
        </w:rPr>
        <w:t>”</w:t>
      </w:r>
      <w:r w:rsidR="00532997">
        <w:rPr>
          <w:color w:val="000000" w:themeColor="text1"/>
        </w:rPr>
        <w:t xml:space="preserve"> designa qualquer base de dados Synapse SQL.</w:t>
      </w:r>
    </w:p>
    <w:p w14:paraId="2A479A19" w14:textId="542F4F6D" w:rsidR="00532997" w:rsidRPr="00ED4527" w:rsidRDefault="00380305" w:rsidP="00F01ED6">
      <w:pPr>
        <w:pStyle w:val="ProductList-Body"/>
        <w:spacing w:after="40"/>
        <w:rPr>
          <w:color w:val="000000" w:themeColor="text1"/>
        </w:rPr>
      </w:pPr>
      <w:r>
        <w:rPr>
          <w:color w:val="000000" w:themeColor="text1"/>
        </w:rPr>
        <w:t>“</w:t>
      </w:r>
      <w:r w:rsidR="00532997">
        <w:rPr>
          <w:b/>
          <w:bCs/>
          <w:color w:val="00188F"/>
        </w:rPr>
        <w:t>Máximo de Minutos Disponíveis</w:t>
      </w:r>
      <w:r>
        <w:rPr>
          <w:color w:val="000000" w:themeColor="text1"/>
        </w:rPr>
        <w:t>”</w:t>
      </w:r>
      <w:r w:rsidR="00532997">
        <w:rPr>
          <w:color w:val="000000" w:themeColor="text1"/>
        </w:rPr>
        <w:t xml:space="preserve"> designa o número total de minutos durante os quais uma determinada Base de Dados foi implementada no</w:t>
      </w:r>
      <w:r w:rsidR="00A675AC">
        <w:rPr>
          <w:color w:val="000000" w:themeColor="text1"/>
        </w:rPr>
        <w:t> </w:t>
      </w:r>
      <w:r w:rsidR="00532997">
        <w:rPr>
          <w:color w:val="000000" w:themeColor="text1"/>
        </w:rPr>
        <w:t>Microsoft Azure durante um Período Aplicável numa determinada subscrição do Microsoft Azure.</w:t>
      </w:r>
    </w:p>
    <w:p w14:paraId="17EF76C5" w14:textId="5539DA72" w:rsidR="00532997" w:rsidRPr="00ED4527" w:rsidRDefault="00380305" w:rsidP="00F01ED6">
      <w:pPr>
        <w:pStyle w:val="ProductList-Body"/>
        <w:spacing w:after="40"/>
        <w:rPr>
          <w:color w:val="000000" w:themeColor="text1"/>
        </w:rPr>
      </w:pPr>
      <w:r>
        <w:rPr>
          <w:color w:val="000000" w:themeColor="text1"/>
        </w:rPr>
        <w:t>“</w:t>
      </w:r>
      <w:r w:rsidR="00532997">
        <w:rPr>
          <w:b/>
          <w:bCs/>
          <w:color w:val="00188F"/>
        </w:rPr>
        <w:t>Operações do Cliente</w:t>
      </w:r>
      <w:r>
        <w:rPr>
          <w:color w:val="000000" w:themeColor="text1"/>
        </w:rPr>
        <w:t>”</w:t>
      </w:r>
      <w:r w:rsidR="00532997">
        <w:rPr>
          <w:color w:val="000000" w:themeColor="text1"/>
        </w:rPr>
        <w:t xml:space="preserve"> designa um conjunto de todas as operações documentadas suportadas pelo Azure Synapse Analytics.</w:t>
      </w:r>
    </w:p>
    <w:p w14:paraId="58AC1432" w14:textId="7066CE62" w:rsidR="00532997" w:rsidRPr="00ED4527" w:rsidRDefault="00380305" w:rsidP="00F01ED6">
      <w:pPr>
        <w:pStyle w:val="ProductList-Body"/>
        <w:spacing w:after="40"/>
        <w:rPr>
          <w:color w:val="000000" w:themeColor="text1"/>
        </w:rPr>
      </w:pPr>
      <w:r>
        <w:rPr>
          <w:color w:val="000000" w:themeColor="text1"/>
        </w:rPr>
        <w:t>“</w:t>
      </w:r>
      <w:r w:rsidR="00532997">
        <w:rPr>
          <w:b/>
          <w:bCs/>
          <w:color w:val="00188F"/>
        </w:rPr>
        <w:t>Período de Indisponibilidade</w:t>
      </w:r>
      <w:r>
        <w:rPr>
          <w:color w:val="000000" w:themeColor="text1"/>
        </w:rPr>
        <w:t>”</w:t>
      </w:r>
      <w:r w:rsidR="00532997">
        <w:rPr>
          <w:color w:val="000000" w:themeColor="text1"/>
        </w:rPr>
        <w:t xml:space="preserve"> designa o total de minutos acumulados durante um Período Aplicável para uma determinada subscrição do Microsoft Azure durante o qual uma determinada Base de Dados está indisponível. Um minuto é considerado indisponível para uma determinada Base de Dados se mais de 1% de todas as Operações do Cliente completadas durante esse minuto devolverem um Código de Erro.</w:t>
      </w:r>
    </w:p>
    <w:p w14:paraId="5C8F9795" w14:textId="5A74BD9A" w:rsidR="00532997" w:rsidRPr="006A28BC" w:rsidRDefault="00532997" w:rsidP="00F01ED6">
      <w:pPr>
        <w:pStyle w:val="ProductList-Body"/>
        <w:spacing w:after="40"/>
        <w:rPr>
          <w:color w:val="000000" w:themeColor="text1"/>
          <w:spacing w:val="-2"/>
        </w:rPr>
      </w:pPr>
      <w:r w:rsidRPr="006A28BC">
        <w:rPr>
          <w:spacing w:val="-2"/>
        </w:rPr>
        <w:t xml:space="preserve">A </w:t>
      </w:r>
      <w:r w:rsidR="00380305">
        <w:rPr>
          <w:color w:val="000000" w:themeColor="text1"/>
          <w:spacing w:val="-2"/>
        </w:rPr>
        <w:t>“</w:t>
      </w:r>
      <w:r w:rsidRPr="006A28BC">
        <w:rPr>
          <w:b/>
          <w:bCs/>
          <w:color w:val="00188F"/>
          <w:spacing w:val="-2"/>
        </w:rPr>
        <w:t>Percentagem de Período de Disponibilidade</w:t>
      </w:r>
      <w:r w:rsidR="00380305">
        <w:rPr>
          <w:color w:val="000000" w:themeColor="text1"/>
          <w:spacing w:val="-2"/>
        </w:rPr>
        <w:t>”</w:t>
      </w:r>
      <w:r w:rsidRPr="006A28BC">
        <w:rPr>
          <w:color w:val="000000" w:themeColor="text1"/>
          <w:spacing w:val="-2"/>
        </w:rPr>
        <w:t xml:space="preserve"> para uma determinada Base de Dados designa um cálculo do Máximo de Minutos Disponíveis menos o Período de Indisponibilidade, a dividir pelo Máximo de Minutos Disponíveis num Período Aplicável numa determinada subscrição do Azure. </w:t>
      </w:r>
    </w:p>
    <w:p w14:paraId="0BB70BAB" w14:textId="18E2869A" w:rsidR="00532997" w:rsidRPr="00EF7CF9" w:rsidRDefault="00AC48A7" w:rsidP="00F01ED6">
      <w:pPr>
        <w:pStyle w:val="ProductList-Body"/>
      </w:pPr>
      <w:r>
        <w:rPr>
          <w:color w:val="000000" w:themeColor="text1"/>
        </w:rPr>
        <w:t>A Percentagem de Período de Disponibilidade é representada pela seguinte fórmula:</w:t>
      </w:r>
    </w:p>
    <w:p w14:paraId="08475F1D" w14:textId="6E75EA5E" w:rsidR="00532997" w:rsidRPr="00EF7CF9" w:rsidRDefault="00000000" w:rsidP="00253A6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351893A8" w14:textId="77777777" w:rsidR="00532997" w:rsidRPr="00EF7CF9" w:rsidRDefault="00532997"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EFCB274" w14:textId="77777777" w:rsidR="00532997" w:rsidRPr="00EF7CF9" w:rsidRDefault="00532997" w:rsidP="00F01ED6">
            <w:pPr>
              <w:pStyle w:val="ProductList-OfferingBody"/>
              <w:jc w:val="center"/>
              <w:rPr>
                <w:color w:val="FFFFFF" w:themeColor="background1"/>
              </w:rPr>
            </w:pPr>
            <w:r>
              <w:rPr>
                <w:color w:val="FFFFFF" w:themeColor="background1"/>
              </w:rPr>
              <w:t>Crédito de Serviço</w:t>
            </w:r>
          </w:p>
        </w:tc>
      </w:tr>
      <w:tr w:rsidR="00532997" w:rsidRPr="00B44CF9" w14:paraId="4F00F91D" w14:textId="77777777" w:rsidTr="00277097">
        <w:tc>
          <w:tcPr>
            <w:tcW w:w="5400" w:type="dxa"/>
          </w:tcPr>
          <w:p w14:paraId="1FBF6E07" w14:textId="77777777" w:rsidR="00532997" w:rsidRPr="00EF7CF9" w:rsidRDefault="00532997" w:rsidP="00F01ED6">
            <w:pPr>
              <w:pStyle w:val="ProductList-OfferingBody"/>
              <w:jc w:val="center"/>
            </w:pPr>
            <w:r>
              <w:t>&lt; 99,9%</w:t>
            </w:r>
          </w:p>
        </w:tc>
        <w:tc>
          <w:tcPr>
            <w:tcW w:w="5400" w:type="dxa"/>
          </w:tcPr>
          <w:p w14:paraId="0DECC2FC" w14:textId="77777777" w:rsidR="00532997" w:rsidRPr="00EF7CF9" w:rsidRDefault="00532997" w:rsidP="00F01ED6">
            <w:pPr>
              <w:pStyle w:val="ProductList-OfferingBody"/>
              <w:jc w:val="center"/>
            </w:pPr>
            <w:r>
              <w:t>10%</w:t>
            </w:r>
          </w:p>
        </w:tc>
      </w:tr>
      <w:tr w:rsidR="00532997" w:rsidRPr="00B44CF9" w14:paraId="71A276B0" w14:textId="77777777" w:rsidTr="00277097">
        <w:tc>
          <w:tcPr>
            <w:tcW w:w="5400" w:type="dxa"/>
          </w:tcPr>
          <w:p w14:paraId="7361B6E2" w14:textId="77777777" w:rsidR="00532997" w:rsidRPr="00EF7CF9" w:rsidRDefault="00532997" w:rsidP="00F01ED6">
            <w:pPr>
              <w:pStyle w:val="ProductList-OfferingBody"/>
              <w:jc w:val="center"/>
            </w:pPr>
            <w:r>
              <w:t>&lt; 99%</w:t>
            </w:r>
          </w:p>
        </w:tc>
        <w:tc>
          <w:tcPr>
            <w:tcW w:w="5400" w:type="dxa"/>
          </w:tcPr>
          <w:p w14:paraId="06B1E4C8" w14:textId="77777777" w:rsidR="00532997" w:rsidRPr="00EF7CF9" w:rsidRDefault="00532997" w:rsidP="00F01ED6">
            <w:pPr>
              <w:pStyle w:val="ProductList-OfferingBody"/>
              <w:jc w:val="center"/>
            </w:pPr>
            <w:r>
              <w:t>25%</w:t>
            </w:r>
          </w:p>
        </w:tc>
      </w:tr>
    </w:tbl>
    <w:p w14:paraId="00B03A53" w14:textId="77777777" w:rsidR="00532997" w:rsidRPr="00ED4527" w:rsidRDefault="00532997" w:rsidP="00755122">
      <w:pPr>
        <w:pStyle w:val="ProductList-Body"/>
        <w:spacing w:before="120"/>
        <w:rPr>
          <w:b/>
          <w:bCs/>
          <w:color w:val="00188F"/>
        </w:rPr>
      </w:pPr>
      <w:bookmarkStart w:id="414" w:name="_Toc457821578"/>
      <w:r>
        <w:rPr>
          <w:b/>
          <w:bCs/>
          <w:color w:val="00188F"/>
        </w:rPr>
        <w:lastRenderedPageBreak/>
        <w:t>Integração de Dados no Azure Synapse</w:t>
      </w:r>
    </w:p>
    <w:p w14:paraId="03BA2359" w14:textId="1E9EEA3B" w:rsidR="00532997" w:rsidRPr="00ED4527" w:rsidRDefault="00380305" w:rsidP="00F01ED6">
      <w:pPr>
        <w:pStyle w:val="ProductList-Body"/>
        <w:rPr>
          <w:color w:val="000000" w:themeColor="text1"/>
        </w:rPr>
      </w:pPr>
      <w:r>
        <w:rPr>
          <w:color w:val="000000" w:themeColor="text1"/>
        </w:rPr>
        <w:t>“</w:t>
      </w:r>
      <w:r w:rsidR="00532997">
        <w:rPr>
          <w:b/>
          <w:bCs/>
          <w:color w:val="00188F"/>
        </w:rPr>
        <w:t>Recursos de Integração de Dados</w:t>
      </w:r>
      <w:r>
        <w:rPr>
          <w:color w:val="000000" w:themeColor="text1"/>
        </w:rPr>
        <w:t>”</w:t>
      </w:r>
      <w:r w:rsidR="00532997">
        <w:rPr>
          <w:color w:val="000000" w:themeColor="text1"/>
        </w:rPr>
        <w:t xml:space="preserve"> designa os runtimes de integração (incluindo o Azure e Runtimes de Integração Autoalojados), acionadores, pipelines, conjuntos de dados e serviços associados criados numa área de trabalho do Azure Synapse.</w:t>
      </w:r>
    </w:p>
    <w:p w14:paraId="16EAD2B8" w14:textId="69BBD5F9" w:rsidR="00532997" w:rsidRPr="00ED4527" w:rsidRDefault="00380305" w:rsidP="00F01ED6">
      <w:pPr>
        <w:pStyle w:val="ProductList-Body"/>
        <w:rPr>
          <w:color w:val="000000" w:themeColor="text1"/>
        </w:rPr>
      </w:pPr>
      <w:r>
        <w:rPr>
          <w:color w:val="000000" w:themeColor="text1"/>
        </w:rPr>
        <w:t>“</w:t>
      </w:r>
      <w:r w:rsidR="00532997">
        <w:rPr>
          <w:b/>
          <w:bCs/>
          <w:color w:val="00188F"/>
        </w:rPr>
        <w:t>Execução de Atividade</w:t>
      </w:r>
      <w:r>
        <w:rPr>
          <w:color w:val="000000" w:themeColor="text1"/>
        </w:rPr>
        <w:t>”</w:t>
      </w:r>
      <w:r w:rsidR="00532997">
        <w:rPr>
          <w:color w:val="000000" w:themeColor="text1"/>
        </w:rPr>
        <w:t xml:space="preserve"> designa a execução ou a tentativa de execução de uma atividade.</w:t>
      </w:r>
    </w:p>
    <w:p w14:paraId="49A2A375" w14:textId="5F8625B1" w:rsidR="00532997" w:rsidRPr="00ED4527" w:rsidRDefault="00EE6E3C" w:rsidP="00F01ED6">
      <w:pPr>
        <w:pStyle w:val="ProductList-Body"/>
        <w:spacing w:before="120"/>
        <w:rPr>
          <w:b/>
          <w:bCs/>
          <w:color w:val="00188F"/>
        </w:rPr>
      </w:pPr>
      <w:r>
        <w:rPr>
          <w:b/>
          <w:bCs/>
          <w:color w:val="00188F"/>
        </w:rPr>
        <w:t>Cálculo do Período de Disponibilidade para Chamadas da API para a Integração de Dados</w:t>
      </w:r>
    </w:p>
    <w:p w14:paraId="7F65AC6D" w14:textId="5AE9C014" w:rsidR="00532997" w:rsidRPr="00ED4527" w:rsidRDefault="00380305" w:rsidP="00F01ED6">
      <w:pPr>
        <w:pStyle w:val="ProductList-Body"/>
        <w:rPr>
          <w:color w:val="000000" w:themeColor="text1"/>
        </w:rPr>
      </w:pPr>
      <w:r>
        <w:rPr>
          <w:color w:val="000000" w:themeColor="text1"/>
        </w:rPr>
        <w:t>“</w:t>
      </w:r>
      <w:r w:rsidR="00532997">
        <w:rPr>
          <w:b/>
          <w:bCs/>
          <w:color w:val="00188F"/>
        </w:rPr>
        <w:t>Total de Pedidos</w:t>
      </w:r>
      <w:r>
        <w:rPr>
          <w:color w:val="000000" w:themeColor="text1"/>
        </w:rPr>
        <w:t>”</w:t>
      </w:r>
      <w:r w:rsidR="00532997">
        <w:rPr>
          <w:color w:val="000000" w:themeColor="text1"/>
        </w:rPr>
        <w:t xml:space="preserve"> designa o conjunto de todos os pedidos, que não Pedidos Excluídos, para executar operações relativamente a Recursos de</w:t>
      </w:r>
      <w:r w:rsidR="009F224E">
        <w:rPr>
          <w:color w:val="000000" w:themeColor="text1"/>
        </w:rPr>
        <w:t> </w:t>
      </w:r>
      <w:r w:rsidR="00532997">
        <w:rPr>
          <w:color w:val="000000" w:themeColor="text1"/>
        </w:rPr>
        <w:t>Integração de Dados durante um Período Aplicável para uma determinada subscrição do Microsoft Azure.</w:t>
      </w:r>
    </w:p>
    <w:p w14:paraId="7A94DDB6" w14:textId="023E07E3" w:rsidR="00532997" w:rsidRPr="00ED4527" w:rsidRDefault="00380305" w:rsidP="00F01ED6">
      <w:pPr>
        <w:pStyle w:val="ProductList-Body"/>
        <w:rPr>
          <w:color w:val="000000" w:themeColor="text1"/>
        </w:rPr>
      </w:pPr>
      <w:r>
        <w:rPr>
          <w:color w:val="000000" w:themeColor="text1"/>
        </w:rPr>
        <w:t>“</w:t>
      </w:r>
      <w:r w:rsidR="00532997">
        <w:rPr>
          <w:b/>
          <w:bCs/>
          <w:color w:val="00188F"/>
        </w:rPr>
        <w:t>Pedidos Excluídos</w:t>
      </w:r>
      <w:r>
        <w:rPr>
          <w:color w:val="000000" w:themeColor="text1"/>
        </w:rPr>
        <w:t>”</w:t>
      </w:r>
      <w:r w:rsidR="00532997">
        <w:rPr>
          <w:color w:val="000000" w:themeColor="text1"/>
        </w:rPr>
        <w:t xml:space="preserve"> designa o conjunto de pedidos que resultam num código de estado HTTP 4xx, que não um código de estado HTTP 408.</w:t>
      </w:r>
    </w:p>
    <w:p w14:paraId="3C0A82BB" w14:textId="5CAAC1AA" w:rsidR="00532997" w:rsidRPr="00ED4527" w:rsidRDefault="00380305" w:rsidP="00F01ED6">
      <w:pPr>
        <w:pStyle w:val="ProductList-Body"/>
        <w:rPr>
          <w:color w:val="000000" w:themeColor="text1"/>
        </w:rPr>
      </w:pPr>
      <w:r>
        <w:rPr>
          <w:color w:val="000000" w:themeColor="text1"/>
        </w:rPr>
        <w:t>“</w:t>
      </w:r>
      <w:r w:rsidR="00532997">
        <w:rPr>
          <w:b/>
          <w:bCs/>
          <w:color w:val="00188F"/>
        </w:rPr>
        <w:t>Pedidos com Falha</w:t>
      </w:r>
      <w:r>
        <w:rPr>
          <w:color w:val="000000" w:themeColor="text1"/>
        </w:rPr>
        <w:t>”</w:t>
      </w:r>
      <w:r w:rsidR="00532997">
        <w:rPr>
          <w:color w:val="000000" w:themeColor="text1"/>
        </w:rPr>
        <w:t xml:space="preserve"> designa o conjunto de todos os pedidos no Total de Pedidos que devolvem um Código de Erro ou um código de estado HTTP 408 ou que não devolvem um Código de Êxito num prazo de dois minutos.</w:t>
      </w:r>
    </w:p>
    <w:p w14:paraId="7A462442" w14:textId="010D30FD" w:rsidR="00532997" w:rsidRPr="006A28BC" w:rsidRDefault="00532997" w:rsidP="00F01ED6">
      <w:pPr>
        <w:pStyle w:val="ProductList-Body"/>
        <w:tabs>
          <w:tab w:val="clear" w:pos="360"/>
          <w:tab w:val="clear" w:pos="720"/>
          <w:tab w:val="clear" w:pos="1080"/>
        </w:tabs>
        <w:rPr>
          <w:color w:val="000000" w:themeColor="text1"/>
          <w:spacing w:val="-2"/>
        </w:rPr>
      </w:pPr>
      <w:r w:rsidRPr="006A28BC">
        <w:rPr>
          <w:spacing w:val="-2"/>
        </w:rPr>
        <w:t xml:space="preserve">A </w:t>
      </w:r>
      <w:r w:rsidR="00380305">
        <w:rPr>
          <w:color w:val="000000" w:themeColor="text1"/>
          <w:spacing w:val="-2"/>
        </w:rPr>
        <w:t>“</w:t>
      </w:r>
      <w:r w:rsidRPr="006A28BC">
        <w:rPr>
          <w:b/>
          <w:bCs/>
          <w:color w:val="00188F"/>
          <w:spacing w:val="-2"/>
        </w:rPr>
        <w:t>Percentagem de Período de Disponibilidade</w:t>
      </w:r>
      <w:r w:rsidR="00380305">
        <w:rPr>
          <w:color w:val="000000" w:themeColor="text1"/>
          <w:spacing w:val="-2"/>
        </w:rPr>
        <w:t>”</w:t>
      </w:r>
      <w:r w:rsidRPr="006A28BC">
        <w:rPr>
          <w:color w:val="000000" w:themeColor="text1"/>
          <w:spacing w:val="-2"/>
        </w:rPr>
        <w:t xml:space="preserve"> para as chamadas da API efetuadas para os Recursos de Integração de Dados é calculada como o Total de Pedidos menos os Pedidos com Falha a dividir pelo Total de Pedidos num Período Aplicável para uma determinada subscrição do Microsoft Azure. </w:t>
      </w:r>
    </w:p>
    <w:p w14:paraId="6FEA007E" w14:textId="5F7F1507" w:rsidR="00532997" w:rsidRPr="00ED4527" w:rsidRDefault="00AC48A7" w:rsidP="00F01ED6">
      <w:pPr>
        <w:pStyle w:val="ProductList-Body"/>
        <w:tabs>
          <w:tab w:val="clear" w:pos="360"/>
          <w:tab w:val="clear" w:pos="720"/>
          <w:tab w:val="clear" w:pos="1080"/>
        </w:tabs>
        <w:rPr>
          <w:color w:val="000000" w:themeColor="text1"/>
        </w:rPr>
      </w:pPr>
      <w:r>
        <w:rPr>
          <w:color w:val="000000" w:themeColor="text1"/>
        </w:rPr>
        <w:t>A Percentagem de Período de Disponibilidade é representada pela seguinte fórmula:</w:t>
      </w:r>
    </w:p>
    <w:p w14:paraId="51A208AC" w14:textId="500E6C33" w:rsidR="00532997" w:rsidRPr="00EF7CF9" w:rsidRDefault="00000000" w:rsidP="00A4210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Pedidos-Pedidos com Falha</m:t>
              </m:r>
            </m:num>
            <m:den>
              <m:r>
                <m:rPr>
                  <m:nor/>
                </m:rPr>
                <w:rPr>
                  <w:rFonts w:ascii="Cambria Math" w:hAnsi="Cambria Math" w:cs="Tahoma"/>
                  <w:i/>
                  <w:sz w:val="18"/>
                  <w:szCs w:val="18"/>
                </w:rPr>
                <m:t>Total de Pedidos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F01ED6">
      <w:pPr>
        <w:pStyle w:val="ProductList-Body"/>
      </w:pPr>
      <w:r>
        <w:rPr>
          <w:b/>
          <w:color w:val="00188F"/>
        </w:rPr>
        <w:t>Os seguintes Créditos de Serviço são aplicáveis à utilização que o Cliente faz das chamadas da API de Integração de Dados na área de trabalho do Synapse: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BA7EB0A" w14:textId="77777777" w:rsidR="00532997" w:rsidRPr="00EF7CF9" w:rsidRDefault="00532997" w:rsidP="00F01ED6">
            <w:pPr>
              <w:pStyle w:val="ProductList-OfferingBody"/>
              <w:jc w:val="center"/>
              <w:rPr>
                <w:color w:val="FFFFFF" w:themeColor="background1"/>
              </w:rPr>
            </w:pPr>
            <w:r>
              <w:rPr>
                <w:color w:val="FFFFFF" w:themeColor="background1"/>
              </w:rPr>
              <w:t>Crédito de Serviço</w:t>
            </w:r>
          </w:p>
        </w:tc>
      </w:tr>
      <w:tr w:rsidR="00532997" w:rsidRPr="00B44CF9" w14:paraId="4C5DB495" w14:textId="77777777" w:rsidTr="00277097">
        <w:tc>
          <w:tcPr>
            <w:tcW w:w="5400" w:type="dxa"/>
          </w:tcPr>
          <w:p w14:paraId="01B4503B" w14:textId="77777777" w:rsidR="00532997" w:rsidRPr="00EF7CF9" w:rsidRDefault="00532997" w:rsidP="00F01ED6">
            <w:pPr>
              <w:pStyle w:val="ProductList-OfferingBody"/>
              <w:jc w:val="center"/>
            </w:pPr>
            <w:r>
              <w:t>&lt; 99,9%</w:t>
            </w:r>
          </w:p>
        </w:tc>
        <w:tc>
          <w:tcPr>
            <w:tcW w:w="5400" w:type="dxa"/>
          </w:tcPr>
          <w:p w14:paraId="7D76A9D1" w14:textId="77777777" w:rsidR="00532997" w:rsidRPr="00EF7CF9" w:rsidRDefault="00532997" w:rsidP="00F01ED6">
            <w:pPr>
              <w:pStyle w:val="ProductList-OfferingBody"/>
              <w:jc w:val="center"/>
            </w:pPr>
            <w:r>
              <w:t>10%</w:t>
            </w:r>
          </w:p>
        </w:tc>
      </w:tr>
      <w:tr w:rsidR="00532997" w:rsidRPr="00B44CF9" w14:paraId="5594ECC9" w14:textId="77777777" w:rsidTr="00277097">
        <w:tc>
          <w:tcPr>
            <w:tcW w:w="5400" w:type="dxa"/>
          </w:tcPr>
          <w:p w14:paraId="41E59A0F" w14:textId="77777777" w:rsidR="00532997" w:rsidRPr="00EF7CF9" w:rsidRDefault="00532997" w:rsidP="00F01ED6">
            <w:pPr>
              <w:pStyle w:val="ProductList-OfferingBody"/>
              <w:jc w:val="center"/>
            </w:pPr>
            <w:r>
              <w:t>&lt; 99%</w:t>
            </w:r>
          </w:p>
        </w:tc>
        <w:tc>
          <w:tcPr>
            <w:tcW w:w="5400" w:type="dxa"/>
          </w:tcPr>
          <w:p w14:paraId="20541ACD" w14:textId="77777777" w:rsidR="00532997" w:rsidRPr="00EF7CF9" w:rsidRDefault="00532997" w:rsidP="00F01ED6">
            <w:pPr>
              <w:pStyle w:val="ProductList-OfferingBody"/>
              <w:jc w:val="center"/>
            </w:pPr>
            <w:r>
              <w:t>25%</w:t>
            </w:r>
          </w:p>
        </w:tc>
      </w:tr>
    </w:tbl>
    <w:p w14:paraId="4D4CAB58" w14:textId="77777777" w:rsidR="00532997" w:rsidRPr="00ED4527" w:rsidRDefault="00532997" w:rsidP="00E13B53">
      <w:pPr>
        <w:pStyle w:val="ProductList-Body"/>
        <w:spacing w:before="120"/>
        <w:rPr>
          <w:b/>
          <w:bCs/>
          <w:color w:val="00188F"/>
        </w:rPr>
      </w:pPr>
      <w:r>
        <w:rPr>
          <w:b/>
          <w:bCs/>
          <w:color w:val="00188F"/>
        </w:rPr>
        <w:t>Apache Spark no Cálculo do Azure Synapse para Sessões do Spark</w:t>
      </w:r>
    </w:p>
    <w:p w14:paraId="11561E05" w14:textId="68EFB089" w:rsidR="00532997" w:rsidRPr="00ED4527" w:rsidRDefault="00380305" w:rsidP="00F01ED6">
      <w:pPr>
        <w:pStyle w:val="ProductList-Body"/>
        <w:rPr>
          <w:color w:val="000000" w:themeColor="text1"/>
        </w:rPr>
      </w:pPr>
      <w:r>
        <w:rPr>
          <w:color w:val="000000" w:themeColor="text1"/>
        </w:rPr>
        <w:t>“</w:t>
      </w:r>
      <w:r w:rsidR="00532997">
        <w:rPr>
          <w:b/>
          <w:bCs/>
          <w:color w:val="00188F"/>
        </w:rPr>
        <w:t>Sessão do Spark</w:t>
      </w:r>
      <w:r>
        <w:rPr>
          <w:color w:val="000000" w:themeColor="text1"/>
        </w:rPr>
        <w:t>”</w:t>
      </w:r>
      <w:r w:rsidR="00532997">
        <w:rPr>
          <w:color w:val="000000" w:themeColor="text1"/>
        </w:rPr>
        <w:t xml:space="preserve"> designa o lançamento de uma nova sessão para executar uma tarefa, em modo interativo ou de lote. Excluindo as falhas de</w:t>
      </w:r>
      <w:r w:rsidR="00534AEA">
        <w:rPr>
          <w:color w:val="000000" w:themeColor="text1"/>
        </w:rPr>
        <w:t> </w:t>
      </w:r>
      <w:r w:rsidR="00532997">
        <w:rPr>
          <w:color w:val="000000" w:themeColor="text1"/>
        </w:rPr>
        <w:t>sessão devido a erros de utilizador, como recursos esgotados ou configuração de sessão.</w:t>
      </w:r>
    </w:p>
    <w:p w14:paraId="2FCA717F" w14:textId="77777777" w:rsidR="00532997" w:rsidRPr="00ED4527" w:rsidRDefault="00532997" w:rsidP="00F01ED6">
      <w:pPr>
        <w:pStyle w:val="ProductList-Body"/>
        <w:keepNext/>
        <w:tabs>
          <w:tab w:val="clear" w:pos="360"/>
          <w:tab w:val="clear" w:pos="720"/>
          <w:tab w:val="clear" w:pos="1080"/>
        </w:tabs>
        <w:spacing w:before="120"/>
        <w:rPr>
          <w:b/>
          <w:bCs/>
          <w:color w:val="00188F"/>
        </w:rPr>
      </w:pPr>
      <w:r>
        <w:rPr>
          <w:b/>
          <w:bCs/>
          <w:color w:val="00188F"/>
        </w:rPr>
        <w:t>Os seguintes Créditos de Serviço são aplicáveis à utilização que o Cliente faz do Spark na área de trabalho do Synapse: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86DA271" w14:textId="77777777" w:rsidR="00532997" w:rsidRPr="00EF7CF9" w:rsidRDefault="00532997" w:rsidP="00F01ED6">
            <w:pPr>
              <w:pStyle w:val="ProductList-OfferingBody"/>
              <w:jc w:val="center"/>
              <w:rPr>
                <w:color w:val="FFFFFF" w:themeColor="background1"/>
              </w:rPr>
            </w:pPr>
            <w:r>
              <w:rPr>
                <w:color w:val="FFFFFF" w:themeColor="background1"/>
              </w:rPr>
              <w:t>Crédito de Serviço</w:t>
            </w:r>
          </w:p>
        </w:tc>
      </w:tr>
      <w:tr w:rsidR="00532997" w:rsidRPr="00B44CF9" w14:paraId="208E8C5A" w14:textId="77777777" w:rsidTr="00277097">
        <w:tc>
          <w:tcPr>
            <w:tcW w:w="5400" w:type="dxa"/>
          </w:tcPr>
          <w:p w14:paraId="42441E30" w14:textId="77777777" w:rsidR="00532997" w:rsidRPr="00EF7CF9" w:rsidRDefault="00532997" w:rsidP="00F01ED6">
            <w:pPr>
              <w:pStyle w:val="ProductList-OfferingBody"/>
              <w:jc w:val="center"/>
            </w:pPr>
            <w:r>
              <w:t>&lt; 99%</w:t>
            </w:r>
          </w:p>
        </w:tc>
        <w:tc>
          <w:tcPr>
            <w:tcW w:w="5400" w:type="dxa"/>
          </w:tcPr>
          <w:p w14:paraId="4A46FE17" w14:textId="77777777" w:rsidR="00532997" w:rsidRPr="00EF7CF9" w:rsidRDefault="00532997" w:rsidP="00F01ED6">
            <w:pPr>
              <w:pStyle w:val="ProductList-OfferingBody"/>
              <w:jc w:val="center"/>
            </w:pPr>
            <w:r>
              <w:t>10%</w:t>
            </w:r>
          </w:p>
        </w:tc>
      </w:tr>
      <w:tr w:rsidR="00532997" w:rsidRPr="00B44CF9" w14:paraId="3122B6C3" w14:textId="77777777" w:rsidTr="00277097">
        <w:tc>
          <w:tcPr>
            <w:tcW w:w="5400" w:type="dxa"/>
          </w:tcPr>
          <w:p w14:paraId="17AB23ED" w14:textId="77777777" w:rsidR="00532997" w:rsidRPr="00EF7CF9" w:rsidRDefault="00532997" w:rsidP="00F01ED6">
            <w:pPr>
              <w:pStyle w:val="ProductList-OfferingBody"/>
              <w:jc w:val="center"/>
            </w:pPr>
            <w:r>
              <w:t>&lt; 95%</w:t>
            </w:r>
          </w:p>
        </w:tc>
        <w:tc>
          <w:tcPr>
            <w:tcW w:w="5400" w:type="dxa"/>
          </w:tcPr>
          <w:p w14:paraId="1B8DFCAA" w14:textId="77777777" w:rsidR="00532997" w:rsidRPr="00EF7CF9" w:rsidRDefault="00532997" w:rsidP="00F01ED6">
            <w:pPr>
              <w:pStyle w:val="ProductList-OfferingBody"/>
              <w:jc w:val="center"/>
            </w:pPr>
            <w:r>
              <w:t>25%</w:t>
            </w:r>
          </w:p>
        </w:tc>
      </w:tr>
    </w:tbl>
    <w:bookmarkEnd w:id="411"/>
    <w:bookmarkEnd w:id="412"/>
    <w:bookmarkEnd w:id="414"/>
    <w:p w14:paraId="7041739D"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D4F39E8" w14:textId="77777777" w:rsidR="00C5766D" w:rsidRPr="00C5766D" w:rsidRDefault="00C5766D" w:rsidP="00F01ED6">
      <w:pPr>
        <w:pStyle w:val="ProductList-Offering2Heading"/>
        <w:keepNext/>
        <w:tabs>
          <w:tab w:val="clear" w:pos="360"/>
          <w:tab w:val="clear" w:pos="720"/>
          <w:tab w:val="clear" w:pos="1080"/>
        </w:tabs>
        <w:outlineLvl w:val="2"/>
      </w:pPr>
      <w:bookmarkStart w:id="415" w:name="_Toc239176538"/>
      <w:r>
        <w:t>Azure Time Series Insights</w:t>
      </w:r>
      <w:bookmarkEnd w:id="415"/>
    </w:p>
    <w:p w14:paraId="136D5B37" w14:textId="77777777" w:rsidR="00C5766D" w:rsidRPr="0073097F" w:rsidRDefault="00C5766D" w:rsidP="00F01ED6">
      <w:pPr>
        <w:pStyle w:val="ProductList-Body"/>
        <w:rPr>
          <w:b/>
          <w:bCs/>
          <w:color w:val="00188F"/>
        </w:rPr>
      </w:pPr>
      <w:r>
        <w:rPr>
          <w:b/>
          <w:bCs/>
          <w:color w:val="00188F"/>
        </w:rPr>
        <w:t>Definições Adicionais</w:t>
      </w:r>
    </w:p>
    <w:p w14:paraId="6551100A" w14:textId="4137B1A3" w:rsidR="00C5766D" w:rsidRDefault="00380305" w:rsidP="00F01ED6">
      <w:pPr>
        <w:pStyle w:val="ProductList-Body"/>
      </w:pPr>
      <w:r>
        <w:t>“</w:t>
      </w:r>
      <w:r w:rsidR="00C5766D">
        <w:rPr>
          <w:b/>
          <w:bCs/>
          <w:color w:val="00188F"/>
        </w:rPr>
        <w:t>Ambiente</w:t>
      </w:r>
      <w:r>
        <w:t>”</w:t>
      </w:r>
      <w:r w:rsidR="00C5766D">
        <w:t xml:space="preserve"> designa um ambiente de Informações de Série Temporais.</w:t>
      </w:r>
    </w:p>
    <w:p w14:paraId="694552FE" w14:textId="7E267157" w:rsidR="00C5766D" w:rsidRPr="0073097F" w:rsidRDefault="00EE6E3C" w:rsidP="00F01ED6">
      <w:pPr>
        <w:pStyle w:val="ProductList-Body"/>
        <w:rPr>
          <w:b/>
          <w:bCs/>
          <w:color w:val="00188F"/>
        </w:rPr>
      </w:pPr>
      <w:r>
        <w:rPr>
          <w:b/>
          <w:bCs/>
          <w:color w:val="00188F"/>
        </w:rPr>
        <w:t>Cálculo do Período de Disponibilidade e Níveis de Serviço para API dos planos de dados do Time Series Insights</w:t>
      </w:r>
    </w:p>
    <w:p w14:paraId="238DD023" w14:textId="0C553052" w:rsidR="00C5766D" w:rsidRPr="006A28BC" w:rsidRDefault="00380305" w:rsidP="00F01ED6">
      <w:pPr>
        <w:pStyle w:val="ProductList-Body"/>
        <w:jc w:val="both"/>
        <w:rPr>
          <w:spacing w:val="-3"/>
        </w:rPr>
      </w:pPr>
      <w:r>
        <w:rPr>
          <w:spacing w:val="-3"/>
        </w:rPr>
        <w:t>“</w:t>
      </w:r>
      <w:r w:rsidR="00C5766D" w:rsidRPr="006A28BC">
        <w:rPr>
          <w:b/>
          <w:bCs/>
          <w:color w:val="00188F"/>
          <w:spacing w:val="-3"/>
        </w:rPr>
        <w:t>API dos planos de dados das Informações de Série Temporais</w:t>
      </w:r>
      <w:r>
        <w:rPr>
          <w:spacing w:val="-3"/>
        </w:rPr>
        <w:t>”</w:t>
      </w:r>
      <w:r w:rsidR="00C5766D" w:rsidRPr="006A28BC">
        <w:rPr>
          <w:spacing w:val="-3"/>
        </w:rPr>
        <w:t xml:space="preserve"> designa uma API de consulta de análise de eventos para as Informações de Série Temporais.</w:t>
      </w:r>
    </w:p>
    <w:p w14:paraId="6B9213C0" w14:textId="4E16B840" w:rsidR="00C5766D" w:rsidRDefault="00380305" w:rsidP="00F01ED6">
      <w:pPr>
        <w:pStyle w:val="ProductList-Body"/>
      </w:pPr>
      <w:r>
        <w:t>“</w:t>
      </w:r>
      <w:r w:rsidR="00C5766D">
        <w:rPr>
          <w:b/>
          <w:bCs/>
          <w:color w:val="00188F"/>
        </w:rPr>
        <w:t>Pedido</w:t>
      </w:r>
      <w:r>
        <w:t>”</w:t>
      </w:r>
      <w:r w:rsidR="00C5766D">
        <w:t xml:space="preserve"> designa qualquer pedido documentado suportado pelas API dos planos de dados das Informações de Série Temporais.</w:t>
      </w:r>
    </w:p>
    <w:p w14:paraId="2396A988" w14:textId="6B813622" w:rsidR="00C5766D" w:rsidRDefault="00380305" w:rsidP="00F01ED6">
      <w:pPr>
        <w:pStyle w:val="ProductList-Body"/>
      </w:pPr>
      <w:r>
        <w:t>“</w:t>
      </w:r>
      <w:r w:rsidR="00C5766D">
        <w:rPr>
          <w:b/>
          <w:bCs/>
          <w:color w:val="00188F"/>
        </w:rPr>
        <w:t>Pedido com Falha</w:t>
      </w:r>
      <w:r>
        <w:t>”</w:t>
      </w:r>
      <w:r w:rsidR="00C5766D">
        <w:t xml:space="preserve"> designa um Pedido que devolve um Código de Erro.</w:t>
      </w:r>
    </w:p>
    <w:p w14:paraId="22EFBCA1" w14:textId="665BEF2F" w:rsidR="00C5766D" w:rsidRDefault="00380305" w:rsidP="00F01ED6">
      <w:pPr>
        <w:pStyle w:val="ProductList-Body"/>
      </w:pPr>
      <w:r>
        <w:t>“</w:t>
      </w:r>
      <w:r w:rsidR="00C5766D">
        <w:rPr>
          <w:b/>
          <w:bCs/>
          <w:color w:val="00188F"/>
        </w:rPr>
        <w:t>Taxa de Erros</w:t>
      </w:r>
      <w:r>
        <w:t>”</w:t>
      </w:r>
      <w:r w:rsidR="00C5766D">
        <w:t xml:space="preserve"> designa o número total de Pedidos com Falha a dividir pelo número total de Pedidos durante um determinado intervalo de um minuto, para todos os Ambientes numa certa Subscrição do Microsoft Azure. Se o utilizador não fez quaisquer Pedidos neste minuto, a Taxa de Erros para esse intervalo é de 0%.</w:t>
      </w:r>
    </w:p>
    <w:p w14:paraId="202FE9CA" w14:textId="769C51C5" w:rsidR="00C5766D" w:rsidRDefault="00C5766D" w:rsidP="00F01ED6">
      <w:pPr>
        <w:pStyle w:val="ProductList-Body"/>
      </w:pPr>
      <w:r>
        <w:t xml:space="preserve">A </w:t>
      </w:r>
      <w:r w:rsidR="00380305">
        <w:t>“</w:t>
      </w:r>
      <w:r>
        <w:rPr>
          <w:b/>
          <w:bCs/>
          <w:color w:val="00188F"/>
        </w:rPr>
        <w:t>Taxa Média de Erros</w:t>
      </w:r>
      <w:r w:rsidR="00380305">
        <w:t>”</w:t>
      </w:r>
      <w:r>
        <w:t xml:space="preserve"> para um Período Aplicável designa a soma das Taxas de Erros para cada minuto no Período Aplicável a dividir pelo número total de minutos no Período Aplicável.</w:t>
      </w:r>
    </w:p>
    <w:p w14:paraId="471C3B56" w14:textId="00691256" w:rsidR="00B84D9B" w:rsidRDefault="00C5766D" w:rsidP="008D412A">
      <w:pPr>
        <w:pStyle w:val="ProductList-Body"/>
        <w:rPr>
          <w:spacing w:val="-3"/>
        </w:rPr>
      </w:pPr>
      <w:r w:rsidRPr="006A28BC">
        <w:rPr>
          <w:spacing w:val="-3"/>
        </w:rPr>
        <w:t xml:space="preserve">A </w:t>
      </w:r>
      <w:r w:rsidR="00380305">
        <w:rPr>
          <w:spacing w:val="-3"/>
        </w:rPr>
        <w:t>“</w:t>
      </w:r>
      <w:r w:rsidRPr="006A28BC">
        <w:rPr>
          <w:b/>
          <w:bCs/>
          <w:color w:val="00188F"/>
          <w:spacing w:val="-3"/>
        </w:rPr>
        <w:t>Percentagem de Disponibilidade</w:t>
      </w:r>
      <w:r w:rsidR="00380305">
        <w:rPr>
          <w:spacing w:val="-3"/>
        </w:rPr>
        <w:t>”</w:t>
      </w:r>
      <w:r w:rsidRPr="006A28BC">
        <w:rPr>
          <w:spacing w:val="-3"/>
        </w:rPr>
        <w:t xml:space="preserve"> para a API dos planos de dados do Time Series Insights é calculada ao subtrair de 100% a Taxa Média de Erros para uma determinada subscrição do Microsoft Azure num Período Aplicável. A Percentagem de Disponibilidade é representada pela seguinte fórmula:</w:t>
      </w:r>
    </w:p>
    <w:p w14:paraId="11B18E61" w14:textId="5D9568C8" w:rsidR="00B84D9B" w:rsidRPr="00DB1B7E" w:rsidRDefault="00B84D9B" w:rsidP="0029252C">
      <w:pPr>
        <w:pStyle w:val="ProductList-Body"/>
        <w:tabs>
          <w:tab w:val="clear" w:pos="360"/>
          <w:tab w:val="clear" w:pos="720"/>
          <w:tab w:val="clear" w:pos="1080"/>
        </w:tabs>
        <w:spacing w:before="120" w:after="120"/>
        <w:jc w:val="center"/>
        <w:rPr>
          <w:rFonts w:ascii="Cambria Math" w:hAnsi="Cambria Math"/>
          <w:i/>
          <w:iCs/>
          <w:color w:val="000000" w:themeColor="text1"/>
        </w:rPr>
      </w:pPr>
      <w:r w:rsidRPr="00F01ED6">
        <w:rPr>
          <w:rFonts w:ascii="Cambria Math" w:hAnsi="Cambria Math"/>
          <w:color w:val="000000" w:themeColor="text1"/>
        </w:rPr>
        <w:t>100%</w:t>
      </w:r>
      <w:r>
        <w:rPr>
          <w:rFonts w:ascii="Cambria Math" w:hAnsi="Cambria Math"/>
          <w:i/>
          <w:iCs/>
          <w:color w:val="000000" w:themeColor="text1"/>
        </w:rPr>
        <w:t xml:space="preserve"> </w:t>
      </w:r>
      <w:r w:rsidR="00D2686E">
        <w:rPr>
          <w:rFonts w:ascii="Cambria Math" w:hAnsi="Cambria Math"/>
          <w:i/>
          <w:iCs/>
          <w:color w:val="000000" w:themeColor="text1"/>
        </w:rPr>
        <w:t>–</w:t>
      </w:r>
      <w:r>
        <w:rPr>
          <w:rFonts w:ascii="Cambria Math" w:hAnsi="Cambria Math"/>
          <w:i/>
          <w:iCs/>
          <w:color w:val="000000" w:themeColor="text1"/>
        </w:rPr>
        <w:t xml:space="preserve"> Taxa Média de Erros</w:t>
      </w:r>
    </w:p>
    <w:p w14:paraId="392F59FB" w14:textId="127DE09C" w:rsidR="00C5766D" w:rsidRPr="0018615A" w:rsidRDefault="00C5766D" w:rsidP="00F01ED6">
      <w:pPr>
        <w:pStyle w:val="ProductList-Body"/>
        <w:rPr>
          <w:b/>
          <w:bCs/>
          <w:color w:val="00188F"/>
        </w:rPr>
      </w:pPr>
      <w:r>
        <w:rPr>
          <w:b/>
          <w:bCs/>
          <w:color w:val="00188F"/>
        </w:rPr>
        <w:t>Os seguintes Níveis de Serviço e Créditos de Serviço são aplicáveis à utilização que o Cliente faz da API dos planos de dados das Informações de Série Temporais: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F01ED6">
            <w:pPr>
              <w:pStyle w:val="ProductList-OfferingBody"/>
              <w:jc w:val="center"/>
              <w:rPr>
                <w:color w:val="FFFFFF" w:themeColor="background1"/>
              </w:rPr>
            </w:pPr>
            <w:r>
              <w:rPr>
                <w:color w:val="FFFFFF" w:themeColor="background1"/>
              </w:rPr>
              <w:t>Percentagem de Disponibilidade</w:t>
            </w:r>
          </w:p>
        </w:tc>
        <w:tc>
          <w:tcPr>
            <w:tcW w:w="5400" w:type="dxa"/>
            <w:shd w:val="clear" w:color="auto" w:fill="0072C6"/>
          </w:tcPr>
          <w:p w14:paraId="21B30544" w14:textId="77777777" w:rsidR="00DB1B7E" w:rsidRPr="00EF7CF9" w:rsidRDefault="00DB1B7E" w:rsidP="00F01ED6">
            <w:pPr>
              <w:pStyle w:val="ProductList-OfferingBody"/>
              <w:jc w:val="center"/>
              <w:rPr>
                <w:color w:val="FFFFFF" w:themeColor="background1"/>
              </w:rPr>
            </w:pPr>
            <w:r>
              <w:rPr>
                <w:color w:val="FFFFFF" w:themeColor="background1"/>
              </w:rPr>
              <w:t>Crédito de Serviço</w:t>
            </w:r>
          </w:p>
        </w:tc>
      </w:tr>
      <w:tr w:rsidR="00DB1B7E" w:rsidRPr="00B44CF9" w14:paraId="1AB8BC8B" w14:textId="77777777" w:rsidTr="00277097">
        <w:tc>
          <w:tcPr>
            <w:tcW w:w="5400" w:type="dxa"/>
          </w:tcPr>
          <w:p w14:paraId="33E3F2BA" w14:textId="5738DC56" w:rsidR="00DB1B7E" w:rsidRPr="00EF7CF9" w:rsidRDefault="00DB1B7E" w:rsidP="00F01ED6">
            <w:pPr>
              <w:pStyle w:val="ProductList-OfferingBody"/>
              <w:jc w:val="center"/>
            </w:pPr>
            <w:r>
              <w:t>&lt; 99,9%</w:t>
            </w:r>
          </w:p>
        </w:tc>
        <w:tc>
          <w:tcPr>
            <w:tcW w:w="5400" w:type="dxa"/>
          </w:tcPr>
          <w:p w14:paraId="4AE3A834" w14:textId="77777777" w:rsidR="00DB1B7E" w:rsidRPr="00EF7CF9" w:rsidRDefault="00DB1B7E" w:rsidP="00F01ED6">
            <w:pPr>
              <w:pStyle w:val="ProductList-OfferingBody"/>
              <w:jc w:val="center"/>
            </w:pPr>
            <w:r>
              <w:t>10%</w:t>
            </w:r>
          </w:p>
        </w:tc>
      </w:tr>
      <w:tr w:rsidR="00DB1B7E" w:rsidRPr="00B44CF9" w14:paraId="7CC1CE08" w14:textId="77777777" w:rsidTr="00277097">
        <w:tc>
          <w:tcPr>
            <w:tcW w:w="5400" w:type="dxa"/>
          </w:tcPr>
          <w:p w14:paraId="3C25D851" w14:textId="635C9033" w:rsidR="00DB1B7E" w:rsidRPr="00EF7CF9" w:rsidRDefault="00DB1B7E" w:rsidP="00F01ED6">
            <w:pPr>
              <w:pStyle w:val="ProductList-OfferingBody"/>
              <w:jc w:val="center"/>
            </w:pPr>
            <w:r>
              <w:t>&lt; 99%</w:t>
            </w:r>
          </w:p>
        </w:tc>
        <w:tc>
          <w:tcPr>
            <w:tcW w:w="5400" w:type="dxa"/>
          </w:tcPr>
          <w:p w14:paraId="12E881A2" w14:textId="77777777" w:rsidR="00DB1B7E" w:rsidRPr="00EF7CF9" w:rsidRDefault="00DB1B7E" w:rsidP="00F01ED6">
            <w:pPr>
              <w:pStyle w:val="ProductList-OfferingBody"/>
              <w:jc w:val="center"/>
            </w:pPr>
            <w:r>
              <w:t>25%</w:t>
            </w:r>
          </w:p>
        </w:tc>
      </w:tr>
    </w:tbl>
    <w:bookmarkStart w:id="416" w:name="_Toc412532214"/>
    <w:bookmarkStart w:id="417" w:name="_Toc457821585"/>
    <w:bookmarkStart w:id="418" w:name="_Toc52348993"/>
    <w:p w14:paraId="1BC5BABC"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5175CE1" w14:textId="5949ACB2" w:rsidR="00895748" w:rsidRPr="00EF7CF9" w:rsidRDefault="00895748" w:rsidP="00F01ED6">
      <w:pPr>
        <w:pStyle w:val="ProductList-Offering2Heading"/>
        <w:tabs>
          <w:tab w:val="clear" w:pos="360"/>
          <w:tab w:val="clear" w:pos="720"/>
          <w:tab w:val="clear" w:pos="1080"/>
        </w:tabs>
        <w:outlineLvl w:val="2"/>
      </w:pPr>
      <w:bookmarkStart w:id="419" w:name="_Toc239176539"/>
      <w:r>
        <w:lastRenderedPageBreak/>
        <w:t>Serviço de Gestor de Tráfego</w:t>
      </w:r>
      <w:bookmarkEnd w:id="416"/>
      <w:bookmarkEnd w:id="417"/>
      <w:bookmarkEnd w:id="418"/>
      <w:bookmarkEnd w:id="419"/>
    </w:p>
    <w:p w14:paraId="7C53001F" w14:textId="77777777" w:rsidR="00895748" w:rsidRPr="00EF7CF9" w:rsidRDefault="00895748" w:rsidP="00F01ED6">
      <w:pPr>
        <w:pStyle w:val="ProductList-Body"/>
      </w:pPr>
      <w:r>
        <w:rPr>
          <w:b/>
          <w:color w:val="00188F"/>
        </w:rPr>
        <w:t>Definições Adicionais</w:t>
      </w:r>
      <w:r w:rsidRPr="00473DD3">
        <w:rPr>
          <w:b/>
          <w:color w:val="00188F"/>
        </w:rPr>
        <w:t>:</w:t>
      </w:r>
    </w:p>
    <w:p w14:paraId="1738A40B" w14:textId="6F659FA8" w:rsidR="00895748" w:rsidRPr="00EF7CF9" w:rsidRDefault="00380305" w:rsidP="0029252C">
      <w:pPr>
        <w:pStyle w:val="ProductList-Body"/>
      </w:pPr>
      <w:r>
        <w:t>“</w:t>
      </w:r>
      <w:r w:rsidR="00895748">
        <w:rPr>
          <w:b/>
          <w:color w:val="00188F"/>
        </w:rPr>
        <w:t>Minutos de Implementação</w:t>
      </w:r>
      <w:r>
        <w:t>”</w:t>
      </w:r>
      <w:r w:rsidR="00895748">
        <w:t xml:space="preserve"> designa o número total de minutos durante os quais um determinado Perfil do Gestor de Tráfego esteve implementado no Microsoft Azure durante um Período Aplicável.</w:t>
      </w:r>
    </w:p>
    <w:p w14:paraId="72F9FA5B" w14:textId="3AD44BB7" w:rsidR="00895748" w:rsidRPr="00EF7CF9" w:rsidRDefault="00380305" w:rsidP="0029252C">
      <w:pPr>
        <w:pStyle w:val="ProductList-Body"/>
      </w:pPr>
      <w:r>
        <w:t>“</w:t>
      </w:r>
      <w:r w:rsidR="00895748">
        <w:rPr>
          <w:b/>
          <w:color w:val="00188F"/>
        </w:rPr>
        <w:t>Máximo de Minutos Disponíveis</w:t>
      </w:r>
      <w:r>
        <w:t>”</w:t>
      </w:r>
      <w:r w:rsidR="00895748">
        <w:t xml:space="preserve"> designa a soma de todos os Minutos de Implementação em todos os Perfis do Gestor de Tráfego implementados pelo Cliente numa determinada subscrição do Microsoft Azure durante um Período Aplicável.</w:t>
      </w:r>
    </w:p>
    <w:p w14:paraId="7B067662" w14:textId="2B9534E1" w:rsidR="00895748" w:rsidRPr="00EF7CF9" w:rsidRDefault="00380305" w:rsidP="0029252C">
      <w:pPr>
        <w:pStyle w:val="ProductList-Body"/>
      </w:pPr>
      <w:r>
        <w:t>“</w:t>
      </w:r>
      <w:r w:rsidR="00895748">
        <w:rPr>
          <w:b/>
          <w:color w:val="00188F"/>
        </w:rPr>
        <w:t>Perfil do Gestor de Tráfego</w:t>
      </w:r>
      <w:r>
        <w:t>”</w:t>
      </w:r>
      <w:r w:rsidR="00895748">
        <w:t xml:space="preserve"> ou </w:t>
      </w:r>
      <w:r>
        <w:t>“</w:t>
      </w:r>
      <w:r w:rsidR="00895748">
        <w:rPr>
          <w:b/>
          <w:color w:val="00188F"/>
        </w:rPr>
        <w:t>Perfil</w:t>
      </w:r>
      <w:r>
        <w:t>”</w:t>
      </w:r>
      <w:r w:rsidR="00895748">
        <w:t xml:space="preserve"> designa uma implementação do Serviço de Gestor de Tráfego criada pelo Cliente que contém um nome de domínio, pontos finais e outras definições de configuração, tal como representado no Portal de Gestão.</w:t>
      </w:r>
    </w:p>
    <w:p w14:paraId="41F87B39" w14:textId="0945A18C" w:rsidR="00895748" w:rsidRPr="00EF7CF9" w:rsidRDefault="00380305" w:rsidP="0029252C">
      <w:pPr>
        <w:pStyle w:val="ProductList-Body"/>
      </w:pPr>
      <w:r>
        <w:t>“</w:t>
      </w:r>
      <w:r w:rsidR="00895748">
        <w:rPr>
          <w:b/>
          <w:color w:val="00188F"/>
        </w:rPr>
        <w:t>Resposta de DNS Válida</w:t>
      </w:r>
      <w:r>
        <w:t>”</w:t>
      </w:r>
      <w:r w:rsidR="00895748">
        <w:t xml:space="preserve"> designa uma resposta de DNS, recebida de pelo menos um dos clusters de servidores de nomes do Serviço Gestor de</w:t>
      </w:r>
      <w:r w:rsidR="0043464F">
        <w:t> </w:t>
      </w:r>
      <w:r w:rsidR="00895748">
        <w:t>Tráfego, para um pedido de DNS para nome de domínio especificado num determinado Perfil do Gestor de Tráfego.</w:t>
      </w:r>
    </w:p>
    <w:p w14:paraId="749C09A7" w14:textId="77777777" w:rsidR="00895748" w:rsidRPr="00EF7CF9" w:rsidRDefault="00895748" w:rsidP="0029252C">
      <w:pPr>
        <w:pStyle w:val="ProductList-Body"/>
      </w:pPr>
      <w:r>
        <w:rPr>
          <w:b/>
          <w:color w:val="00188F"/>
        </w:rPr>
        <w:t>Período de Indisponibilidade</w:t>
      </w:r>
      <w:r w:rsidRPr="00473DD3">
        <w:rPr>
          <w:b/>
          <w:color w:val="00188F"/>
        </w:rPr>
        <w:t>:</w:t>
      </w:r>
      <w:r>
        <w:t xml:space="preserve"> O total de Minutos de Implementação acumulados, em todos os Perfis implementados pelo Cliente numa determinada subscrição do Microsoft Azure, no qual o Perfil está indisponível. Um minuto é considerado indisponível para um determinado Perfil se as consultas de DNS contínuas para o nome de DNS especificado no Perfil, efetuadas nesse minuto, não resultarem numa Resposta de DNS Válida num prazo de dois segundos.</w:t>
      </w:r>
    </w:p>
    <w:p w14:paraId="13F3A862" w14:textId="5F0A748A" w:rsidR="00895748"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058F6251" w14:textId="797F4A29" w:rsidR="00895748" w:rsidRPr="00EF7CF9" w:rsidRDefault="00000000" w:rsidP="0029252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68BB5F11" w14:textId="77777777" w:rsidR="00895748" w:rsidRPr="00EF7CF9" w:rsidRDefault="00895748" w:rsidP="00DC1476">
      <w:pPr>
        <w:pStyle w:val="ProductList-Body"/>
        <w:keepNext/>
        <w:keepLines/>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D3D4B45" w14:textId="77777777" w:rsidR="00895748" w:rsidRPr="00EF7CF9" w:rsidRDefault="00895748" w:rsidP="00F01ED6">
            <w:pPr>
              <w:pStyle w:val="ProductList-OfferingBody"/>
              <w:jc w:val="center"/>
              <w:rPr>
                <w:color w:val="FFFFFF" w:themeColor="background1"/>
              </w:rPr>
            </w:pPr>
            <w:r>
              <w:rPr>
                <w:color w:val="FFFFFF" w:themeColor="background1"/>
              </w:rPr>
              <w:t>Crédito de Serviço</w:t>
            </w:r>
          </w:p>
        </w:tc>
      </w:tr>
      <w:tr w:rsidR="0029252C" w:rsidRPr="00B44CF9" w14:paraId="50434ED4" w14:textId="77777777" w:rsidTr="00277097">
        <w:tc>
          <w:tcPr>
            <w:tcW w:w="5400" w:type="dxa"/>
          </w:tcPr>
          <w:p w14:paraId="3B26DD2B" w14:textId="2BAFAD1B" w:rsidR="0029252C" w:rsidRDefault="0029252C" w:rsidP="0029252C">
            <w:pPr>
              <w:pStyle w:val="ProductList-OfferingBody"/>
              <w:jc w:val="center"/>
            </w:pPr>
            <w:r>
              <w:t>&lt; 100%</w:t>
            </w:r>
          </w:p>
        </w:tc>
        <w:tc>
          <w:tcPr>
            <w:tcW w:w="5400" w:type="dxa"/>
          </w:tcPr>
          <w:p w14:paraId="5CFF7BF5" w14:textId="24103056" w:rsidR="0029252C" w:rsidRDefault="0029252C" w:rsidP="0029252C">
            <w:pPr>
              <w:pStyle w:val="ProductList-OfferingBody"/>
              <w:jc w:val="center"/>
            </w:pPr>
            <w:r>
              <w:t>10%</w:t>
            </w:r>
          </w:p>
        </w:tc>
      </w:tr>
      <w:tr w:rsidR="0029252C" w:rsidRPr="00B44CF9" w14:paraId="03E16A40" w14:textId="77777777" w:rsidTr="00277097">
        <w:tc>
          <w:tcPr>
            <w:tcW w:w="5400" w:type="dxa"/>
          </w:tcPr>
          <w:p w14:paraId="1AA31257" w14:textId="77777777" w:rsidR="0029252C" w:rsidRPr="00EF7CF9" w:rsidRDefault="0029252C" w:rsidP="0029252C">
            <w:pPr>
              <w:pStyle w:val="ProductList-OfferingBody"/>
              <w:jc w:val="center"/>
            </w:pPr>
            <w:r>
              <w:t>&lt; 99,99%</w:t>
            </w:r>
          </w:p>
        </w:tc>
        <w:tc>
          <w:tcPr>
            <w:tcW w:w="5400" w:type="dxa"/>
          </w:tcPr>
          <w:p w14:paraId="7D035504" w14:textId="54EEA63B" w:rsidR="0029252C" w:rsidRPr="00EF7CF9" w:rsidRDefault="0029252C" w:rsidP="0029252C">
            <w:pPr>
              <w:pStyle w:val="ProductList-OfferingBody"/>
              <w:jc w:val="center"/>
            </w:pPr>
            <w:r>
              <w:t>25%</w:t>
            </w:r>
          </w:p>
        </w:tc>
      </w:tr>
      <w:tr w:rsidR="00895748" w:rsidRPr="00B44CF9" w14:paraId="379744A0" w14:textId="77777777" w:rsidTr="00277097">
        <w:tc>
          <w:tcPr>
            <w:tcW w:w="5400" w:type="dxa"/>
          </w:tcPr>
          <w:p w14:paraId="79B5CD06" w14:textId="77777777" w:rsidR="00895748" w:rsidRPr="00EF7CF9" w:rsidRDefault="00895748" w:rsidP="00F01ED6">
            <w:pPr>
              <w:pStyle w:val="ProductList-OfferingBody"/>
              <w:jc w:val="center"/>
            </w:pPr>
            <w:r>
              <w:t>&lt; 99%</w:t>
            </w:r>
          </w:p>
        </w:tc>
        <w:tc>
          <w:tcPr>
            <w:tcW w:w="5400" w:type="dxa"/>
          </w:tcPr>
          <w:p w14:paraId="4E874CB9" w14:textId="107FEC25" w:rsidR="00895748" w:rsidRPr="00EF7CF9" w:rsidRDefault="0029252C" w:rsidP="00F01ED6">
            <w:pPr>
              <w:pStyle w:val="ProductList-OfferingBody"/>
              <w:jc w:val="center"/>
            </w:pPr>
            <w:r>
              <w:t>100</w:t>
            </w:r>
            <w:r w:rsidR="00895748">
              <w:t>%</w:t>
            </w:r>
          </w:p>
        </w:tc>
      </w:tr>
    </w:tbl>
    <w:bookmarkStart w:id="420" w:name="_Toc412532215"/>
    <w:bookmarkStart w:id="421" w:name="_Toc457821586"/>
    <w:bookmarkStart w:id="422" w:name="VirtualMachines"/>
    <w:bookmarkStart w:id="423" w:name="_Toc52348994"/>
    <w:p w14:paraId="27CB2D99"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DA517EC" w14:textId="2AECFB34" w:rsidR="00A25735" w:rsidRPr="00A25735" w:rsidRDefault="00A25735" w:rsidP="00A25735">
      <w:pPr>
        <w:pStyle w:val="ProductList-Offering2Heading"/>
        <w:tabs>
          <w:tab w:val="clear" w:pos="360"/>
          <w:tab w:val="clear" w:pos="720"/>
          <w:tab w:val="clear" w:pos="1080"/>
        </w:tabs>
        <w:outlineLvl w:val="2"/>
      </w:pPr>
      <w:bookmarkStart w:id="424" w:name="_Toc239176540"/>
      <w:r w:rsidRPr="00A25735">
        <w:t xml:space="preserve">Assinatura </w:t>
      </w:r>
      <w:r w:rsidR="00393F6B" w:rsidRPr="00393F6B">
        <w:t>de Aplicações</w:t>
      </w:r>
      <w:bookmarkEnd w:id="424"/>
    </w:p>
    <w:p w14:paraId="2193A17C" w14:textId="77777777" w:rsidR="00A25735" w:rsidRPr="00506C08" w:rsidRDefault="00A25735" w:rsidP="00A25735">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Definições Adicionais</w:t>
      </w:r>
      <w:r>
        <w:rPr>
          <w:rFonts w:ascii="Calibri" w:eastAsia="Times New Roman" w:hAnsi="Calibri" w:cs="Calibri"/>
          <w:sz w:val="18"/>
          <w:szCs w:val="18"/>
        </w:rPr>
        <w:t>: </w:t>
      </w:r>
    </w:p>
    <w:p w14:paraId="37A6E957" w14:textId="77777777" w:rsidR="00A25735" w:rsidRPr="00506C08" w:rsidRDefault="00A25735" w:rsidP="00A2573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Total de Tentativas de Transação</w:t>
      </w:r>
      <w:r>
        <w:rPr>
          <w:rFonts w:ascii="Calibri" w:eastAsia="Times New Roman" w:hAnsi="Calibri" w:cs="Calibri"/>
          <w:sz w:val="18"/>
          <w:szCs w:val="18"/>
        </w:rPr>
        <w:t>” é o número total de pedidos de assinatura de API autenticados efetuado pelo Cliente durante um Período Aplicável para uma determinada subscrição do Microsoft Azure.</w:t>
      </w:r>
    </w:p>
    <w:p w14:paraId="19527989" w14:textId="77777777" w:rsidR="00A25735" w:rsidRPr="00506C08" w:rsidRDefault="00A25735" w:rsidP="00A2573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Transações com Falha</w:t>
      </w:r>
      <w:r>
        <w:rPr>
          <w:rFonts w:ascii="Calibri" w:eastAsia="Times New Roman" w:hAnsi="Calibri" w:cs="Calibri"/>
          <w:sz w:val="18"/>
          <w:szCs w:val="18"/>
        </w:rPr>
        <w:t>” é o conjunto de todos os pedidos de assinatura de API autenticada no Total de Tentativas de Transação que devolvem um código de estado HTTP 5xx ou uma falha ao devolver um Código de Êxito num prazo de 90 segundos.</w:t>
      </w:r>
    </w:p>
    <w:p w14:paraId="0C0D48D3" w14:textId="77777777" w:rsidR="00A25735" w:rsidRDefault="00A25735" w:rsidP="00A25735">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Percentagem de Período de Disponibilidade</w:t>
      </w:r>
      <w:r>
        <w:rPr>
          <w:rFonts w:ascii="Calibri" w:eastAsia="Times New Roman" w:hAnsi="Calibri" w:cs="Calibri"/>
          <w:sz w:val="18"/>
          <w:szCs w:val="18"/>
        </w:rPr>
        <w:t>: é calculada como o Total de Tentativas de Transação menos as Transações com Falha a dividir pelo Total de Tentativas de Transação num Período Aplicável para uma determinada subscrição do Microsoft Azure. A Percentagem de Período de Disponibilidade é representada pela seguinte fórmula: </w:t>
      </w:r>
    </w:p>
    <w:p w14:paraId="0D069D7B" w14:textId="77777777" w:rsidR="00A25735" w:rsidRPr="00A47C2A" w:rsidRDefault="00000000" w:rsidP="00A25735">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Total de Tentativas de Transação - Transações com Falha</m:t>
              </m:r>
            </m:num>
            <m:den>
              <m:r>
                <m:rPr>
                  <m:nor/>
                </m:rPr>
                <w:rPr>
                  <w:rFonts w:ascii="Cambria Math" w:eastAsia="Times New Roman" w:hAnsi="Cambria Math" w:cs="Calibri"/>
                  <w:i/>
                  <w:iCs/>
                  <w:sz w:val="18"/>
                  <w:szCs w:val="18"/>
                </w:rPr>
                <m:t>Total de Tentativas de Transação</m:t>
              </m:r>
            </m:den>
          </m:f>
          <m:r>
            <w:rPr>
              <w:rFonts w:ascii="Cambria Math" w:hAnsi="Cambria Math"/>
              <w:sz w:val="18"/>
              <w:szCs w:val="18"/>
            </w:rPr>
            <m:t xml:space="preserve"> x 100</m:t>
          </m:r>
        </m:oMath>
      </m:oMathPara>
    </w:p>
    <w:p w14:paraId="006FA50F" w14:textId="77777777" w:rsidR="002F5BDB" w:rsidRDefault="002F5BDB" w:rsidP="002F5BDB">
      <w:pPr>
        <w:pStyle w:val="ProductList-Body"/>
        <w:rPr>
          <w:rFonts w:ascii="Calibri" w:eastAsia="Times New Roman" w:hAnsi="Calibri" w:cs="Calibri"/>
          <w:szCs w:val="18"/>
        </w:rPr>
      </w:pPr>
      <w:r>
        <w:rPr>
          <w:rFonts w:ascii="Calibri" w:eastAsia="Times New Roman" w:hAnsi="Calibri" w:cs="Calibri"/>
          <w:szCs w:val="18"/>
        </w:rPr>
        <w:t>Os seguintes Níveis de Serviço e Créditos de Serviço são aplicáveis à utilização que o Cliente faz da Assinatura de Aplicações.</w:t>
      </w:r>
    </w:p>
    <w:p w14:paraId="301E0689" w14:textId="77777777" w:rsidR="00A25735" w:rsidRPr="00506C08" w:rsidRDefault="00A25735" w:rsidP="00A25735">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Crédito de Serviço</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25735" w:rsidRPr="003D5054" w14:paraId="095EF4A5" w14:textId="77777777" w:rsidTr="00CE6437">
        <w:trPr>
          <w:tblHeader/>
        </w:trPr>
        <w:tc>
          <w:tcPr>
            <w:tcW w:w="5400" w:type="dxa"/>
            <w:shd w:val="clear" w:color="auto" w:fill="0072C6"/>
          </w:tcPr>
          <w:p w14:paraId="0AED7144" w14:textId="77777777" w:rsidR="00A25735" w:rsidRPr="003D5054" w:rsidRDefault="00A25735"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400" w:type="dxa"/>
            <w:shd w:val="clear" w:color="auto" w:fill="0072C6"/>
          </w:tcPr>
          <w:p w14:paraId="521EF9B8" w14:textId="77777777" w:rsidR="00A25735" w:rsidRPr="003D5054" w:rsidRDefault="00A25735"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A25735" w:rsidRPr="003D5054" w14:paraId="1F009F52" w14:textId="77777777" w:rsidTr="00CE6437">
        <w:tc>
          <w:tcPr>
            <w:tcW w:w="5400" w:type="dxa"/>
          </w:tcPr>
          <w:p w14:paraId="1ADC0787" w14:textId="77777777" w:rsidR="00A25735" w:rsidRPr="003D5054" w:rsidRDefault="00A25735"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w:t>
            </w:r>
          </w:p>
        </w:tc>
        <w:tc>
          <w:tcPr>
            <w:tcW w:w="5400" w:type="dxa"/>
          </w:tcPr>
          <w:p w14:paraId="0619989E" w14:textId="77777777" w:rsidR="00A25735" w:rsidRPr="003D5054" w:rsidRDefault="00A25735"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A25735" w:rsidRPr="003D5054" w14:paraId="04E2297E" w14:textId="77777777" w:rsidTr="00CE6437">
        <w:tc>
          <w:tcPr>
            <w:tcW w:w="5400" w:type="dxa"/>
          </w:tcPr>
          <w:p w14:paraId="75ECCFEC" w14:textId="77777777" w:rsidR="00A25735" w:rsidRPr="003D5054" w:rsidRDefault="00A25735" w:rsidP="00CE6437">
            <w:pPr>
              <w:pStyle w:val="ProductList-OfferingBody"/>
              <w:jc w:val="center"/>
              <w:rPr>
                <w:rFonts w:ascii="Calibri" w:hAnsi="Calibri" w:cs="Calibri"/>
                <w:szCs w:val="16"/>
              </w:rPr>
            </w:pPr>
            <w:r>
              <w:rPr>
                <w:rFonts w:ascii="Calibri" w:hAnsi="Calibri" w:cs="Calibri"/>
                <w:szCs w:val="16"/>
              </w:rPr>
              <w:t>&lt; 99%</w:t>
            </w:r>
          </w:p>
        </w:tc>
        <w:tc>
          <w:tcPr>
            <w:tcW w:w="5400" w:type="dxa"/>
          </w:tcPr>
          <w:p w14:paraId="18F18759" w14:textId="77777777" w:rsidR="00A25735" w:rsidRPr="003D5054" w:rsidRDefault="00A25735" w:rsidP="00CE6437">
            <w:pPr>
              <w:pStyle w:val="ProductList-OfferingBody"/>
              <w:jc w:val="center"/>
              <w:rPr>
                <w:rFonts w:ascii="Calibri" w:hAnsi="Calibri" w:cs="Calibri"/>
                <w:szCs w:val="16"/>
              </w:rPr>
            </w:pPr>
            <w:r>
              <w:rPr>
                <w:rFonts w:ascii="Calibri" w:hAnsi="Calibri" w:cs="Calibri"/>
                <w:szCs w:val="16"/>
              </w:rPr>
              <w:t>25%</w:t>
            </w:r>
          </w:p>
        </w:tc>
      </w:tr>
    </w:tbl>
    <w:p w14:paraId="15658198" w14:textId="77777777" w:rsidR="00A25735" w:rsidRPr="00EF7CF9" w:rsidRDefault="00A25735" w:rsidP="00A2573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E6F79CE" w14:textId="2094278B" w:rsidR="00895748" w:rsidRPr="00EF7CF9" w:rsidRDefault="00895748" w:rsidP="00547ECC">
      <w:pPr>
        <w:pStyle w:val="ProductList-Offering2Heading"/>
        <w:tabs>
          <w:tab w:val="clear" w:pos="360"/>
          <w:tab w:val="clear" w:pos="720"/>
          <w:tab w:val="clear" w:pos="1080"/>
        </w:tabs>
        <w:outlineLvl w:val="2"/>
      </w:pPr>
      <w:bookmarkStart w:id="425" w:name="_Toc239176541"/>
      <w:r>
        <w:t>Máquinas Virtuais</w:t>
      </w:r>
      <w:bookmarkEnd w:id="420"/>
      <w:bookmarkEnd w:id="421"/>
      <w:bookmarkEnd w:id="422"/>
      <w:bookmarkEnd w:id="423"/>
      <w:bookmarkEnd w:id="425"/>
    </w:p>
    <w:p w14:paraId="15A0C13C" w14:textId="77777777" w:rsidR="00895748" w:rsidRPr="00EF7CF9" w:rsidRDefault="00895748" w:rsidP="00F01ED6">
      <w:pPr>
        <w:pStyle w:val="ProductList-Body"/>
      </w:pPr>
      <w:r>
        <w:rPr>
          <w:b/>
          <w:color w:val="00188F"/>
        </w:rPr>
        <w:t>Definições Adicionais</w:t>
      </w:r>
      <w:r w:rsidRPr="00473DD3">
        <w:rPr>
          <w:b/>
          <w:color w:val="00188F"/>
        </w:rPr>
        <w:t>:</w:t>
      </w:r>
    </w:p>
    <w:p w14:paraId="18B3CD85" w14:textId="77777777" w:rsidR="00264BC1" w:rsidRPr="00CE37D2" w:rsidRDefault="00264BC1" w:rsidP="00264BC1">
      <w:pPr>
        <w:pStyle w:val="ProductList-Body"/>
        <w:rPr>
          <w:rFonts w:ascii="Calibri" w:hAnsi="Calibri" w:cs="Calibri"/>
        </w:rPr>
      </w:pPr>
      <w:r w:rsidRPr="00CE37D2">
        <w:rPr>
          <w:rFonts w:ascii="Calibri" w:hAnsi="Calibri" w:cs="Calibri"/>
        </w:rPr>
        <w:t>“</w:t>
      </w:r>
      <w:r w:rsidRPr="00CE37D2">
        <w:rPr>
          <w:rFonts w:ascii="Calibri" w:hAnsi="Calibri" w:cs="Calibri"/>
          <w:b/>
          <w:color w:val="00188F"/>
        </w:rPr>
        <w:t>Conjunto de Disponibilidade</w:t>
      </w:r>
      <w:r w:rsidRPr="00CE37D2">
        <w:rPr>
          <w:rFonts w:ascii="Calibri" w:hAnsi="Calibri" w:cs="Calibri"/>
        </w:rPr>
        <w:t>” designa duas ou mais Máquinas Virtuais implementadas em diferentes Domínios com Erro para evitar um único ponto de falha.</w:t>
      </w:r>
    </w:p>
    <w:p w14:paraId="44E0388A" w14:textId="77777777" w:rsidR="00264BC1" w:rsidRPr="00CE37D2" w:rsidRDefault="00264BC1" w:rsidP="00264BC1">
      <w:pPr>
        <w:pStyle w:val="ProductList-Body"/>
        <w:rPr>
          <w:rFonts w:ascii="Calibri" w:hAnsi="Calibri" w:cs="Calibri"/>
        </w:rPr>
      </w:pPr>
      <w:r w:rsidRPr="00CE37D2">
        <w:rPr>
          <w:rFonts w:ascii="Calibri" w:hAnsi="Calibri" w:cs="Calibri"/>
        </w:rPr>
        <w:t>“</w:t>
      </w:r>
      <w:r w:rsidRPr="00CE37D2">
        <w:rPr>
          <w:rFonts w:ascii="Calibri" w:hAnsi="Calibri" w:cs="Calibri"/>
          <w:b/>
          <w:color w:val="00188F"/>
        </w:rPr>
        <w:t>Zona de Disponibilidade</w:t>
      </w:r>
      <w:r w:rsidRPr="00CE37D2">
        <w:rPr>
          <w:rFonts w:ascii="Calibri" w:hAnsi="Calibri" w:cs="Calibri"/>
        </w:rPr>
        <w:t>” designa uma área isolada de falhas numa região do Azure que providencia alimentação, refrigeração e rede redundantes.</w:t>
      </w:r>
    </w:p>
    <w:p w14:paraId="68E5DC13" w14:textId="77777777" w:rsidR="00264BC1" w:rsidRPr="00CE37D2" w:rsidRDefault="00264BC1" w:rsidP="00264BC1">
      <w:pPr>
        <w:pStyle w:val="ProductList-Body"/>
        <w:rPr>
          <w:rFonts w:ascii="Calibri" w:hAnsi="Calibri" w:cs="Calibri"/>
        </w:rPr>
      </w:pPr>
      <w:r w:rsidRPr="00CE37D2">
        <w:rPr>
          <w:rFonts w:ascii="Calibri" w:hAnsi="Calibri" w:cs="Calibri"/>
        </w:rPr>
        <w:t xml:space="preserve">O </w:t>
      </w:r>
      <w:r w:rsidRPr="00CE37D2">
        <w:rPr>
          <w:rFonts w:ascii="Calibri" w:hAnsi="Calibri" w:cs="Calibri"/>
          <w:color w:val="00188F"/>
        </w:rPr>
        <w:t>“</w:t>
      </w:r>
      <w:r w:rsidRPr="00CE37D2">
        <w:rPr>
          <w:rFonts w:ascii="Calibri" w:hAnsi="Calibri" w:cs="Calibri"/>
          <w:b/>
          <w:bCs/>
          <w:color w:val="00188F"/>
        </w:rPr>
        <w:t>Azure Dedicated Host</w:t>
      </w:r>
      <w:r w:rsidRPr="00CE37D2">
        <w:rPr>
          <w:rFonts w:ascii="Calibri" w:hAnsi="Calibri" w:cs="Calibri"/>
          <w:color w:val="00188F"/>
        </w:rPr>
        <w:t>”</w:t>
      </w:r>
      <w:r w:rsidRPr="00CE37D2">
        <w:rPr>
          <w:rFonts w:ascii="Calibri" w:hAnsi="Calibri" w:cs="Calibri"/>
        </w:rPr>
        <w:t xml:space="preserve"> fornece aos servidores físicos que alojam uma ou mais máquinas virtuais do Azure a definição (predefinida) de autoReplaceOnFailure necessária para qualquer SLA.</w:t>
      </w:r>
    </w:p>
    <w:p w14:paraId="5538ABDA" w14:textId="77777777" w:rsidR="00264BC1" w:rsidRPr="00CE37D2" w:rsidRDefault="00264BC1" w:rsidP="00264BC1">
      <w:pPr>
        <w:pStyle w:val="ProductList-Body"/>
        <w:rPr>
          <w:rFonts w:ascii="Calibri" w:hAnsi="Calibri" w:cs="Calibri"/>
        </w:rPr>
      </w:pPr>
      <w:r w:rsidRPr="00CE37D2">
        <w:rPr>
          <w:rFonts w:ascii="Calibri" w:hAnsi="Calibri" w:cs="Calibri"/>
        </w:rPr>
        <w:t>“</w:t>
      </w:r>
      <w:r w:rsidRPr="00CE37D2">
        <w:rPr>
          <w:rFonts w:ascii="Calibri" w:hAnsi="Calibri" w:cs="Calibri"/>
          <w:b/>
          <w:color w:val="00188F"/>
        </w:rPr>
        <w:t>Disco de Dados</w:t>
      </w:r>
      <w:r w:rsidRPr="00CE37D2">
        <w:rPr>
          <w:rFonts w:ascii="Calibri" w:hAnsi="Calibri" w:cs="Calibri"/>
        </w:rPr>
        <w:t>” é um disco rígido virtual persistente, exposto a uma Máquina Virtual, utilizado para armazenar os dados da aplicação.</w:t>
      </w:r>
    </w:p>
    <w:p w14:paraId="7A25BA0F" w14:textId="77777777" w:rsidR="00264BC1" w:rsidRPr="00CE37D2" w:rsidRDefault="00264BC1" w:rsidP="00264BC1">
      <w:pPr>
        <w:pStyle w:val="ProductList-Body"/>
        <w:rPr>
          <w:rFonts w:ascii="Calibri" w:hAnsi="Calibri" w:cs="Calibri"/>
        </w:rPr>
      </w:pPr>
      <w:r w:rsidRPr="00CE37D2">
        <w:rPr>
          <w:rFonts w:ascii="Calibri" w:hAnsi="Calibri" w:cs="Calibri"/>
          <w:color w:val="00188F"/>
        </w:rPr>
        <w:lastRenderedPageBreak/>
        <w:t>“</w:t>
      </w:r>
      <w:r w:rsidRPr="00CE37D2">
        <w:rPr>
          <w:rFonts w:ascii="Calibri" w:hAnsi="Calibri" w:cs="Calibri"/>
          <w:b/>
          <w:bCs/>
          <w:color w:val="00188F"/>
        </w:rPr>
        <w:t>Grupo de Dedicated Hosts</w:t>
      </w:r>
      <w:r w:rsidRPr="00CE37D2">
        <w:rPr>
          <w:rFonts w:ascii="Calibri" w:hAnsi="Calibri" w:cs="Calibri"/>
          <w:color w:val="00188F"/>
        </w:rPr>
        <w:t>”</w:t>
      </w:r>
      <w:r w:rsidRPr="00CE37D2">
        <w:rPr>
          <w:rFonts w:ascii="Calibri" w:hAnsi="Calibri" w:cs="Calibri"/>
        </w:rPr>
        <w:t xml:space="preserve"> é uma coleção de Azure Dedicated Hosts implementados na região do Azure em diferentes Domínios de Falha para evitar um ponto único de falha.</w:t>
      </w:r>
    </w:p>
    <w:p w14:paraId="145FD8EC" w14:textId="77777777" w:rsidR="00264BC1" w:rsidRPr="00CE37D2" w:rsidRDefault="00264BC1" w:rsidP="00264BC1">
      <w:pPr>
        <w:pStyle w:val="ProductList-Body"/>
        <w:rPr>
          <w:rFonts w:ascii="Calibri" w:hAnsi="Calibri" w:cs="Calibri"/>
        </w:rPr>
      </w:pPr>
      <w:r w:rsidRPr="00CE37D2">
        <w:rPr>
          <w:rFonts w:ascii="Calibri" w:hAnsi="Calibri" w:cs="Calibri"/>
        </w:rPr>
        <w:t>“</w:t>
      </w:r>
      <w:r w:rsidRPr="00CE37D2">
        <w:rPr>
          <w:rFonts w:ascii="Calibri" w:hAnsi="Calibri" w:cs="Calibri"/>
          <w:b/>
          <w:color w:val="00188F"/>
        </w:rPr>
        <w:t>Domínio com Erro</w:t>
      </w:r>
      <w:r w:rsidRPr="00CE37D2">
        <w:rPr>
          <w:rFonts w:ascii="Calibri" w:hAnsi="Calibri" w:cs="Calibri"/>
        </w:rPr>
        <w:t>” é um conjunto de servidores que partilham recursos comuns como a alimentação e conectividade da rede.</w:t>
      </w:r>
    </w:p>
    <w:p w14:paraId="3C1198CC" w14:textId="77777777" w:rsidR="00264BC1" w:rsidRPr="00CE37D2" w:rsidRDefault="00264BC1" w:rsidP="00264BC1">
      <w:pPr>
        <w:pStyle w:val="ProductList-Body"/>
        <w:rPr>
          <w:rFonts w:ascii="Calibri" w:hAnsi="Calibri" w:cs="Calibri"/>
        </w:rPr>
      </w:pPr>
      <w:r w:rsidRPr="00CE37D2">
        <w:rPr>
          <w:rFonts w:ascii="Calibri" w:hAnsi="Calibri" w:cs="Calibri"/>
        </w:rPr>
        <w:t>O “</w:t>
      </w:r>
      <w:r w:rsidRPr="00CE37D2">
        <w:rPr>
          <w:rFonts w:ascii="Calibri" w:hAnsi="Calibri" w:cs="Calibri"/>
          <w:b/>
          <w:color w:val="00188F"/>
        </w:rPr>
        <w:t>Disco do Sistema Operativo</w:t>
      </w:r>
      <w:r w:rsidRPr="00CE37D2">
        <w:rPr>
          <w:rFonts w:ascii="Calibri" w:hAnsi="Calibri" w:cs="Calibri"/>
        </w:rPr>
        <w:t>” é um disco rígido virtual persistente, exposto a uma Máquina Virtual, utilizado para armazenar o sistema operativo da Máquina Virtual.</w:t>
      </w:r>
    </w:p>
    <w:p w14:paraId="0A1F9365" w14:textId="77777777" w:rsidR="00264BC1" w:rsidRPr="00CE37D2" w:rsidRDefault="00264BC1" w:rsidP="00264BC1">
      <w:pPr>
        <w:pStyle w:val="ProductList-Body"/>
        <w:rPr>
          <w:rFonts w:ascii="Calibri" w:hAnsi="Calibri" w:cs="Calibri"/>
        </w:rPr>
      </w:pPr>
      <w:r w:rsidRPr="00CE37D2">
        <w:rPr>
          <w:rFonts w:ascii="Calibri" w:hAnsi="Calibri" w:cs="Calibri"/>
        </w:rPr>
        <w:t>“</w:t>
      </w:r>
      <w:r w:rsidRPr="00D95212">
        <w:rPr>
          <w:rFonts w:ascii="Calibri" w:hAnsi="Calibri" w:cs="Calibri"/>
          <w:b/>
          <w:color w:val="00188F"/>
        </w:rPr>
        <w:t>Disco Partilhado</w:t>
      </w:r>
      <w:r w:rsidRPr="00CE37D2">
        <w:rPr>
          <w:rFonts w:ascii="Calibri" w:hAnsi="Calibri" w:cs="Calibri"/>
        </w:rPr>
        <w:t>” é um Disco de Dados ligado a várias Máquinas Virtuais em simultâneo.</w:t>
      </w:r>
    </w:p>
    <w:p w14:paraId="78662F87" w14:textId="77777777" w:rsidR="00264BC1" w:rsidRPr="00CE37D2" w:rsidRDefault="00264BC1" w:rsidP="00264BC1">
      <w:pPr>
        <w:pStyle w:val="ProductList-Body"/>
        <w:rPr>
          <w:rFonts w:ascii="Calibri" w:hAnsi="Calibri" w:cs="Calibri"/>
        </w:rPr>
      </w:pPr>
      <w:r w:rsidRPr="00CE37D2">
        <w:rPr>
          <w:rFonts w:ascii="Calibri" w:hAnsi="Calibri" w:cs="Calibri"/>
        </w:rPr>
        <w:t>“</w:t>
      </w:r>
      <w:r w:rsidRPr="00CE37D2">
        <w:rPr>
          <w:rFonts w:ascii="Calibri" w:hAnsi="Calibri" w:cs="Calibri"/>
          <w:b/>
          <w:color w:val="00188F"/>
        </w:rPr>
        <w:t>Máquina Virtual de Instância Única</w:t>
      </w:r>
      <w:r w:rsidRPr="00CE37D2">
        <w:rPr>
          <w:rFonts w:ascii="Calibri" w:hAnsi="Calibri" w:cs="Calibri"/>
        </w:rPr>
        <w:t xml:space="preserve">” é definida como qualquer Máquina Virtual do Microsoft Azure única que não está implementada num Conjunto de Disponibilidade ou que tem uma instância implementada num Conjunto de Disponibilidade. </w:t>
      </w:r>
    </w:p>
    <w:p w14:paraId="033A43D6" w14:textId="77777777" w:rsidR="00264BC1" w:rsidRPr="00CE37D2" w:rsidRDefault="00264BC1" w:rsidP="00264BC1">
      <w:pPr>
        <w:pStyle w:val="ProductList-Body"/>
        <w:rPr>
          <w:rFonts w:ascii="Calibri" w:hAnsi="Calibri" w:cs="Calibri"/>
        </w:rPr>
      </w:pPr>
      <w:r w:rsidRPr="00CE37D2">
        <w:rPr>
          <w:rFonts w:ascii="Calibri" w:hAnsi="Calibri" w:cs="Calibri"/>
        </w:rPr>
        <w:t>“</w:t>
      </w:r>
      <w:r w:rsidRPr="00CE37D2">
        <w:rPr>
          <w:rFonts w:ascii="Calibri" w:hAnsi="Calibri" w:cs="Calibri"/>
          <w:b/>
          <w:color w:val="00188F"/>
        </w:rPr>
        <w:t>Máquina Virtual</w:t>
      </w:r>
      <w:r w:rsidRPr="00CE37D2">
        <w:rPr>
          <w:rFonts w:ascii="Calibri" w:hAnsi="Calibri" w:cs="Calibri"/>
        </w:rPr>
        <w:t xml:space="preserve">” designa os tipos de instância persistentes que podem ser implementados individualmente ou como parte de um Conjunto de Disponibilidade ou utilizar um Grupo de Dedicated Hosts. Uma máquina virtual pode ser implementada num ambiente multi-inquilino no Azure ou num ambiente de inquilino único isolado através de Azure Dedicated Hosts. </w:t>
      </w:r>
    </w:p>
    <w:p w14:paraId="6D490A88" w14:textId="77777777" w:rsidR="00264BC1" w:rsidRPr="00CE37D2" w:rsidRDefault="00264BC1" w:rsidP="00264BC1">
      <w:pPr>
        <w:pStyle w:val="ProductList-Body"/>
        <w:rPr>
          <w:rFonts w:ascii="Calibri" w:hAnsi="Calibri" w:cs="Calibri"/>
        </w:rPr>
      </w:pPr>
      <w:r w:rsidRPr="00CE37D2">
        <w:rPr>
          <w:rFonts w:ascii="Calibri" w:hAnsi="Calibri" w:cs="Calibri"/>
        </w:rPr>
        <w:t>“</w:t>
      </w:r>
      <w:r w:rsidRPr="00CE37D2">
        <w:rPr>
          <w:rFonts w:ascii="Calibri" w:hAnsi="Calibri" w:cs="Calibri"/>
          <w:b/>
          <w:color w:val="00188F"/>
        </w:rPr>
        <w:t>Conectividade da Máquina Virtual</w:t>
      </w:r>
      <w:r w:rsidRPr="00CE37D2">
        <w:rPr>
          <w:rFonts w:ascii="Calibri" w:hAnsi="Calibri" w:cs="Calibri"/>
        </w:rPr>
        <w:t>” é o tráfego de rede bidirecional entre a Máquina Virtual e os outros endereços IP que utiliza os protocolos de rede TCP ou UDP em que a Máquina Virtual está configurada para o tráfego permitido. Os endereços IP podem ser endereços IP no mesmo Serviço em Nuvem que a Máquina Virtual, endereços IP na mesma rede virtual que a Máquina Virtual ou endereços IP encaminháveis públicos.</w:t>
      </w:r>
    </w:p>
    <w:p w14:paraId="2626008A" w14:textId="77777777" w:rsidR="00264BC1" w:rsidRPr="00CE37D2" w:rsidRDefault="00264BC1" w:rsidP="00264BC1">
      <w:pPr>
        <w:pStyle w:val="ProductList-Body"/>
        <w:rPr>
          <w:rFonts w:ascii="Calibri" w:hAnsi="Calibri" w:cs="Calibri"/>
          <w:b/>
          <w:color w:val="00188F"/>
        </w:rPr>
      </w:pPr>
      <w:r w:rsidRPr="00CE37D2">
        <w:rPr>
          <w:rFonts w:ascii="Calibri" w:hAnsi="Calibri" w:cs="Calibri"/>
          <w:b/>
          <w:color w:val="00188F"/>
        </w:rPr>
        <w:t>Cálculo do Período de Disponibilidade e Níveis de Serviço para as Máquinas Virtuais em Zonas de Disponibilidade</w:t>
      </w:r>
    </w:p>
    <w:p w14:paraId="1AEF85BA" w14:textId="77777777" w:rsidR="00264BC1" w:rsidRPr="002F17AD" w:rsidRDefault="00264BC1" w:rsidP="00264BC1">
      <w:pPr>
        <w:pStyle w:val="ProductList-Body"/>
        <w:ind w:left="360"/>
        <w:rPr>
          <w:rFonts w:ascii="Calibri" w:hAnsi="Calibri" w:cs="Calibri"/>
        </w:rPr>
      </w:pPr>
      <w:r w:rsidRPr="002F17AD">
        <w:rPr>
          <w:rFonts w:ascii="Calibri" w:hAnsi="Calibri" w:cs="Calibri"/>
        </w:rPr>
        <w:t>“</w:t>
      </w:r>
      <w:r w:rsidRPr="002F17AD">
        <w:rPr>
          <w:rFonts w:ascii="Calibri" w:hAnsi="Calibri" w:cs="Calibri"/>
          <w:b/>
          <w:color w:val="0072C6"/>
        </w:rPr>
        <w:t>Máximo de Minutos Disponíveis</w:t>
      </w:r>
      <w:r w:rsidRPr="002F17AD">
        <w:rPr>
          <w:rFonts w:ascii="Calibri" w:hAnsi="Calibri" w:cs="Calibri"/>
        </w:rPr>
        <w:t>” designa o total de minutos acumulados durante um Período Aplicável que tenham duas ou mais instâncias implementadas em duas ou mais Zonas de Disponibilidade na mesma região. O Máximo de Minutos Disponíveis é calculado a partir do momento em que pelo menos duas Máquinas Virtuais em duas Zonas de Disponibilidade na mesma região foram iniciadas como resultado da ação iniciada pelo Cliente até ao momento em que o Cliente iniciou uma ação que resultaria na interrupção ou eliminação das Máquinas Virtuais.</w:t>
      </w:r>
    </w:p>
    <w:p w14:paraId="71E9F102" w14:textId="77777777" w:rsidR="00264BC1" w:rsidRPr="002F17AD" w:rsidRDefault="00264BC1" w:rsidP="00264BC1">
      <w:pPr>
        <w:pStyle w:val="ProductList-Body"/>
        <w:ind w:left="360"/>
        <w:rPr>
          <w:rFonts w:ascii="Calibri" w:hAnsi="Calibri" w:cs="Calibri"/>
        </w:rPr>
      </w:pPr>
      <w:r w:rsidRPr="002F17AD">
        <w:rPr>
          <w:rFonts w:ascii="Calibri" w:hAnsi="Calibri" w:cs="Calibri"/>
        </w:rPr>
        <w:t>“</w:t>
      </w:r>
      <w:r w:rsidRPr="002F17AD">
        <w:rPr>
          <w:rFonts w:ascii="Calibri" w:hAnsi="Calibri" w:cs="Calibri"/>
          <w:b/>
          <w:color w:val="0072C6"/>
        </w:rPr>
        <w:t>Período de Indisponibilidade</w:t>
      </w:r>
      <w:r w:rsidRPr="002F17AD">
        <w:rPr>
          <w:rFonts w:ascii="Calibri" w:hAnsi="Calibri" w:cs="Calibri"/>
        </w:rPr>
        <w:t>” designa o total de minutos acumulados que fazem parte do Máximo de Minutos Disponíveis sem Conectividade da Máquina Virtual na região.</w:t>
      </w:r>
    </w:p>
    <w:p w14:paraId="36CFBBA9" w14:textId="77777777" w:rsidR="00264BC1" w:rsidRDefault="00264BC1" w:rsidP="00264BC1">
      <w:pPr>
        <w:pStyle w:val="ProductList-Body"/>
        <w:ind w:left="360"/>
        <w:rPr>
          <w:rFonts w:ascii="Calibri" w:hAnsi="Calibri" w:cs="Calibri"/>
        </w:rPr>
      </w:pPr>
      <w:r w:rsidRPr="002F17AD">
        <w:rPr>
          <w:rFonts w:ascii="Calibri" w:hAnsi="Calibri" w:cs="Calibri"/>
        </w:rPr>
        <w:t>A “</w:t>
      </w:r>
      <w:r w:rsidRPr="002F17AD">
        <w:rPr>
          <w:rFonts w:ascii="Calibri" w:hAnsi="Calibri" w:cs="Calibri"/>
          <w:b/>
          <w:color w:val="0072C6"/>
        </w:rPr>
        <w:t>Percentagem de Período de Disponibilidade</w:t>
      </w:r>
      <w:r w:rsidRPr="002F17AD">
        <w:rPr>
          <w:rFonts w:ascii="Calibri" w:hAnsi="Calibri" w:cs="Calibri"/>
        </w:rPr>
        <w:t>” para as Máquinas Virtuais nas Zonas de Disponibilidade é calculada como o Máximo de Minutos Disponíveis menos o Período de Indisponibilidade a dividir pelo Máximo de Minutos Disponíveis num Período Aplicável para uma determinada subscrição do Microsoft Azure. A Percentagem de Período de Disponibilidade é representada pela seguinte fórmula:</w:t>
      </w:r>
    </w:p>
    <w:p w14:paraId="5A5F0574" w14:textId="77777777" w:rsidR="00264BC1" w:rsidRPr="00434BE0" w:rsidRDefault="00264BC1" w:rsidP="00C24FBA">
      <w:pPr>
        <w:pStyle w:val="ListParagraph"/>
        <w:spacing w:before="16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de Período de Disponibilidade Mensal= </m:t>
          </m:r>
          <m:f>
            <m:fPr>
              <m:ctrlPr>
                <w:rPr>
                  <w:rFonts w:ascii="Cambria Math" w:hAnsi="Cambria Math" w:cs="Tahoma"/>
                  <w:i/>
                  <w:sz w:val="18"/>
                  <w:szCs w:val="18"/>
                </w:rPr>
              </m:ctrlPr>
            </m:fPr>
            <m:num>
              <m:r>
                <m:rPr>
                  <m:nor/>
                </m:rPr>
                <w:rPr>
                  <w:rFonts w:ascii="Cambria Math" w:hAnsi="Cambria Math" w:cs="Tahoma"/>
                  <w:i/>
                  <w:sz w:val="18"/>
                  <w:szCs w:val="18"/>
                </w:rPr>
                <m:t>(Máximo de Minutos Disponíveis - 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0A6122CA" w14:textId="480C6811" w:rsidR="00264BC1" w:rsidRPr="00EC3D00" w:rsidRDefault="00264BC1" w:rsidP="00264BC1">
      <w:pPr>
        <w:pStyle w:val="ProductList-Body"/>
        <w:ind w:left="360"/>
        <w:rPr>
          <w:rFonts w:ascii="Calibri" w:hAnsi="Calibri" w:cs="Calibri"/>
        </w:rPr>
      </w:pPr>
      <w:r>
        <w:rPr>
          <w:rFonts w:ascii="Calibri" w:hAnsi="Calibri" w:cs="Calibri"/>
          <w:b/>
          <w:color w:val="0072C6"/>
        </w:rPr>
        <w:t>Crédito de Serviço</w:t>
      </w:r>
      <w:r w:rsidRPr="00920487">
        <w:rPr>
          <w:rFonts w:ascii="Calibri" w:hAnsi="Calibri" w:cs="Calibri"/>
          <w:b/>
          <w:color w:val="0072C6"/>
        </w:rPr>
        <w:t>:</w:t>
      </w:r>
    </w:p>
    <w:p w14:paraId="4B804539" w14:textId="77777777" w:rsidR="00264BC1" w:rsidRPr="00EC3D00" w:rsidRDefault="00264BC1" w:rsidP="00264BC1">
      <w:pPr>
        <w:pStyle w:val="ProductList-Body"/>
        <w:ind w:left="360"/>
        <w:rPr>
          <w:rFonts w:ascii="Calibri" w:hAnsi="Calibri" w:cs="Calibri"/>
        </w:rPr>
      </w:pPr>
      <w:r>
        <w:rPr>
          <w:rFonts w:ascii="Calibri" w:hAnsi="Calibri" w:cs="Calibri"/>
        </w:rPr>
        <w:t>Os seguintes Níveis de Serviço e Créditos de Serviço são aplicáveis à utilização que o Cliente faz das Máquinas Virtuais implementadas em duas ou mais Zonas de Disponibilidade na mesma região:</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264BC1" w:rsidRPr="00B44CF9" w14:paraId="537DB4FE" w14:textId="77777777" w:rsidTr="00E50F69">
        <w:trPr>
          <w:tblHeader/>
        </w:trPr>
        <w:tc>
          <w:tcPr>
            <w:tcW w:w="5040" w:type="dxa"/>
            <w:shd w:val="clear" w:color="auto" w:fill="0072C6"/>
          </w:tcPr>
          <w:p w14:paraId="12EC6B22" w14:textId="77777777" w:rsidR="00264BC1" w:rsidRPr="00EC3D00" w:rsidRDefault="00264BC1" w:rsidP="00E50F69">
            <w:pPr>
              <w:pStyle w:val="ProductList-OfferingBody"/>
              <w:jc w:val="center"/>
              <w:rPr>
                <w:rFonts w:ascii="Calibri" w:hAnsi="Calibri" w:cs="Calibri"/>
                <w:color w:val="FFFFFF" w:themeColor="background1"/>
              </w:rPr>
            </w:pPr>
            <w:r>
              <w:rPr>
                <w:rFonts w:ascii="Calibri" w:hAnsi="Calibri" w:cs="Calibri"/>
                <w:color w:val="FFFFFF" w:themeColor="background1"/>
              </w:rPr>
              <w:t>Percentagem de Período de Disponibilidade</w:t>
            </w:r>
          </w:p>
        </w:tc>
        <w:tc>
          <w:tcPr>
            <w:tcW w:w="5400" w:type="dxa"/>
            <w:shd w:val="clear" w:color="auto" w:fill="0072C6"/>
          </w:tcPr>
          <w:p w14:paraId="12D6BF83" w14:textId="77777777" w:rsidR="00264BC1" w:rsidRPr="00EC3D00" w:rsidRDefault="00264BC1" w:rsidP="00E50F6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264BC1" w:rsidRPr="00B44CF9" w14:paraId="2A39439F" w14:textId="77777777" w:rsidTr="00E50F69">
        <w:tc>
          <w:tcPr>
            <w:tcW w:w="5040" w:type="dxa"/>
          </w:tcPr>
          <w:p w14:paraId="18955B27" w14:textId="77777777" w:rsidR="00264BC1" w:rsidRPr="00EC3D00" w:rsidRDefault="00264BC1" w:rsidP="00E50F69">
            <w:pPr>
              <w:pStyle w:val="ProductList-OfferingBody"/>
              <w:jc w:val="center"/>
              <w:rPr>
                <w:rFonts w:ascii="Calibri" w:hAnsi="Calibri" w:cs="Calibri"/>
              </w:rPr>
            </w:pPr>
            <w:r>
              <w:rPr>
                <w:rFonts w:ascii="Calibri" w:hAnsi="Calibri" w:cs="Calibri"/>
              </w:rPr>
              <w:t>&lt; 99,99%</w:t>
            </w:r>
          </w:p>
        </w:tc>
        <w:tc>
          <w:tcPr>
            <w:tcW w:w="5400" w:type="dxa"/>
          </w:tcPr>
          <w:p w14:paraId="34D6A9B5" w14:textId="77777777" w:rsidR="00264BC1" w:rsidRPr="00EC3D00" w:rsidRDefault="00264BC1" w:rsidP="00E50F69">
            <w:pPr>
              <w:pStyle w:val="ProductList-OfferingBody"/>
              <w:jc w:val="center"/>
              <w:rPr>
                <w:rFonts w:ascii="Calibri" w:hAnsi="Calibri" w:cs="Calibri"/>
              </w:rPr>
            </w:pPr>
            <w:r>
              <w:rPr>
                <w:rFonts w:ascii="Calibri" w:hAnsi="Calibri" w:cs="Calibri"/>
              </w:rPr>
              <w:t>10%</w:t>
            </w:r>
          </w:p>
        </w:tc>
      </w:tr>
      <w:tr w:rsidR="00264BC1" w:rsidRPr="00B44CF9" w14:paraId="6F2A0BA5" w14:textId="77777777" w:rsidTr="00E50F69">
        <w:tc>
          <w:tcPr>
            <w:tcW w:w="5040" w:type="dxa"/>
          </w:tcPr>
          <w:p w14:paraId="71E3ED72" w14:textId="77777777" w:rsidR="00264BC1" w:rsidRPr="00EC3D00" w:rsidRDefault="00264BC1" w:rsidP="00E50F69">
            <w:pPr>
              <w:pStyle w:val="ProductList-OfferingBody"/>
              <w:jc w:val="center"/>
              <w:rPr>
                <w:rFonts w:ascii="Calibri" w:hAnsi="Calibri" w:cs="Calibri"/>
              </w:rPr>
            </w:pPr>
            <w:r>
              <w:rPr>
                <w:rFonts w:ascii="Calibri" w:hAnsi="Calibri" w:cs="Calibri"/>
              </w:rPr>
              <w:t>&lt; 99%</w:t>
            </w:r>
          </w:p>
        </w:tc>
        <w:tc>
          <w:tcPr>
            <w:tcW w:w="5400" w:type="dxa"/>
          </w:tcPr>
          <w:p w14:paraId="50192194" w14:textId="77777777" w:rsidR="00264BC1" w:rsidRPr="00EC3D00" w:rsidRDefault="00264BC1" w:rsidP="00E50F69">
            <w:pPr>
              <w:pStyle w:val="ProductList-OfferingBody"/>
              <w:jc w:val="center"/>
              <w:rPr>
                <w:rFonts w:ascii="Calibri" w:hAnsi="Calibri" w:cs="Calibri"/>
              </w:rPr>
            </w:pPr>
            <w:r>
              <w:rPr>
                <w:rFonts w:ascii="Calibri" w:hAnsi="Calibri" w:cs="Calibri"/>
              </w:rPr>
              <w:t>25%</w:t>
            </w:r>
          </w:p>
        </w:tc>
      </w:tr>
      <w:tr w:rsidR="00264BC1" w:rsidRPr="00B44CF9" w14:paraId="1B5EDDB1" w14:textId="77777777" w:rsidTr="00E50F69">
        <w:tc>
          <w:tcPr>
            <w:tcW w:w="5040" w:type="dxa"/>
          </w:tcPr>
          <w:p w14:paraId="3B0DB3D3" w14:textId="77777777" w:rsidR="00264BC1" w:rsidRPr="00EC3D00" w:rsidRDefault="00264BC1" w:rsidP="00E50F69">
            <w:pPr>
              <w:pStyle w:val="ProductList-OfferingBody"/>
              <w:jc w:val="center"/>
              <w:rPr>
                <w:rFonts w:ascii="Calibri" w:hAnsi="Calibri" w:cs="Calibri"/>
              </w:rPr>
            </w:pPr>
            <w:r>
              <w:rPr>
                <w:rFonts w:ascii="Calibri" w:hAnsi="Calibri" w:cs="Calibri"/>
              </w:rPr>
              <w:t>&lt; 95%</w:t>
            </w:r>
          </w:p>
        </w:tc>
        <w:tc>
          <w:tcPr>
            <w:tcW w:w="5400" w:type="dxa"/>
          </w:tcPr>
          <w:p w14:paraId="17B87B4C" w14:textId="77777777" w:rsidR="00264BC1" w:rsidRPr="00EC3D00" w:rsidRDefault="00264BC1" w:rsidP="00E50F69">
            <w:pPr>
              <w:pStyle w:val="ProductList-OfferingBody"/>
              <w:jc w:val="center"/>
              <w:rPr>
                <w:rFonts w:ascii="Calibri" w:hAnsi="Calibri" w:cs="Calibri"/>
              </w:rPr>
            </w:pPr>
            <w:r>
              <w:rPr>
                <w:rFonts w:ascii="Calibri" w:hAnsi="Calibri" w:cs="Calibri"/>
              </w:rPr>
              <w:t>100%</w:t>
            </w:r>
          </w:p>
        </w:tc>
      </w:tr>
    </w:tbl>
    <w:p w14:paraId="216B82EE" w14:textId="77777777" w:rsidR="00264BC1" w:rsidRPr="00EC3D00" w:rsidRDefault="00264BC1" w:rsidP="00264BC1">
      <w:pPr>
        <w:pStyle w:val="ProductList-Body"/>
        <w:spacing w:before="120"/>
        <w:rPr>
          <w:rFonts w:ascii="Calibri" w:hAnsi="Calibri" w:cs="Calibri"/>
          <w:b/>
          <w:color w:val="00188F"/>
        </w:rPr>
      </w:pPr>
      <w:r>
        <w:rPr>
          <w:rFonts w:ascii="Calibri" w:hAnsi="Calibri" w:cs="Calibri"/>
          <w:b/>
          <w:color w:val="00188F"/>
        </w:rPr>
        <w:t>Cálculo do Período de Disponibilidade e Níveis de Serviço para as Máquinas Virtuais num Conjunto de Disponibilidade, ou no mesmo Grupo de Dedicated Hosts</w:t>
      </w:r>
    </w:p>
    <w:p w14:paraId="348A9DB5" w14:textId="77777777" w:rsidR="00264BC1" w:rsidRPr="00EC3D00" w:rsidRDefault="00264BC1" w:rsidP="00264BC1">
      <w:pPr>
        <w:pStyle w:val="ProductList-Body"/>
        <w:ind w:left="360"/>
        <w:rPr>
          <w:rFonts w:ascii="Calibri" w:hAnsi="Calibri" w:cs="Calibri"/>
        </w:rPr>
      </w:pPr>
      <w:r>
        <w:rPr>
          <w:rFonts w:ascii="Calibri" w:hAnsi="Calibri" w:cs="Calibri"/>
          <w:b/>
          <w:color w:val="0070C0"/>
        </w:rPr>
        <w:t>Máximo de Minutos Disponíveis</w:t>
      </w:r>
      <w:r w:rsidRPr="00466CB4">
        <w:rPr>
          <w:rFonts w:ascii="Calibri" w:hAnsi="Calibri" w:cs="Calibri"/>
          <w:b/>
          <w:color w:val="0070C0"/>
        </w:rPr>
        <w:t>:</w:t>
      </w:r>
      <w:r>
        <w:rPr>
          <w:rFonts w:ascii="Calibri" w:hAnsi="Calibri" w:cs="Calibri"/>
        </w:rPr>
        <w:t xml:space="preserve"> O total de minutos acumulados durante um Período Aplicável para todas as Máquinas Virtuais com interface para a Internet que tenham duas ou mais instâncias implementadas no mesmo Conjunto de Disponibilidade ou no mesmo Grupo de Dedicated Hosts. O Máximo de Minutos Disponíveis é calculado a partir do momento em que pelo menos duas Máquinas Virtuais no mesmo Conjunto de Disponibilidade, ou no mesmo Grupo de Dedicated Hosts, foram iniciadas como resultado da ação iniciada pelo Cliente até ao momento em que o Cliente iniciou uma ação que resultaria na interrupção ou eliminação das Máquinas Virtuais.</w:t>
      </w:r>
    </w:p>
    <w:p w14:paraId="44D0F9E7" w14:textId="77777777" w:rsidR="00264BC1" w:rsidRPr="00EC3D00" w:rsidRDefault="00264BC1" w:rsidP="00264BC1">
      <w:pPr>
        <w:pStyle w:val="ProductList-Body"/>
        <w:ind w:left="360"/>
        <w:rPr>
          <w:rFonts w:ascii="Calibri" w:hAnsi="Calibri" w:cs="Calibri"/>
        </w:rPr>
      </w:pPr>
      <w:r>
        <w:rPr>
          <w:rFonts w:ascii="Calibri" w:hAnsi="Calibri" w:cs="Calibri"/>
          <w:b/>
          <w:color w:val="0072C6"/>
        </w:rPr>
        <w:t>Período de Indisponibilidade</w:t>
      </w:r>
      <w:r w:rsidRPr="00FA68E4">
        <w:rPr>
          <w:rFonts w:ascii="Calibri" w:hAnsi="Calibri" w:cs="Calibri"/>
          <w:b/>
          <w:color w:val="0072C6"/>
        </w:rPr>
        <w:t>:</w:t>
      </w:r>
      <w:r>
        <w:rPr>
          <w:rFonts w:ascii="Calibri" w:hAnsi="Calibri" w:cs="Calibri"/>
        </w:rPr>
        <w:t xml:space="preserve"> O total de minutos acumulados que fazem parte do Máximo de Minutos Disponíveis sem Conectividade da Máquina Virtual.</w:t>
      </w:r>
    </w:p>
    <w:p w14:paraId="1C59D2E7" w14:textId="4728E6D0" w:rsidR="00264BC1" w:rsidRDefault="00264BC1" w:rsidP="0091798B">
      <w:pPr>
        <w:pStyle w:val="ProductList-Body"/>
        <w:keepNext/>
        <w:ind w:left="360"/>
        <w:rPr>
          <w:rFonts w:ascii="Calibri" w:hAnsi="Calibri" w:cs="Calibri"/>
        </w:rPr>
      </w:pPr>
      <w:r>
        <w:rPr>
          <w:rFonts w:ascii="Calibri" w:hAnsi="Calibri" w:cs="Calibri"/>
          <w:b/>
          <w:color w:val="0072C6"/>
        </w:rPr>
        <w:t>Percentagem de Período de Disponibilidade</w:t>
      </w:r>
      <w:r w:rsidRPr="002C7B55">
        <w:rPr>
          <w:rFonts w:ascii="Calibri" w:hAnsi="Calibri" w:cs="Calibri"/>
          <w:b/>
          <w:color w:val="0072C6"/>
        </w:rPr>
        <w:t>:</w:t>
      </w:r>
      <w:r>
        <w:rPr>
          <w:rFonts w:ascii="Calibri" w:hAnsi="Calibri" w:cs="Calibri"/>
        </w:rPr>
        <w:t xml:space="preserve"> para Máquinas Virtuais é calculada como o Máximo de Minutos Disponíveis menos o Período de Indisponibilidade a dividir pelo Máximo de Minutos Disponíveis num Período Aplicável para uma determinada subscrição do Microsoft Azure. A Percentagem de Período de Disponibilidade é representada pela seguinte fórmula:</w:t>
      </w:r>
    </w:p>
    <w:p w14:paraId="3CFCB10C" w14:textId="77777777" w:rsidR="00264BC1" w:rsidRPr="00EF7CF9" w:rsidRDefault="00264BC1" w:rsidP="00563F75">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de Período de Disponibilidade Mensal= </m:t>
          </m:r>
          <m:f>
            <m:fPr>
              <m:ctrlPr>
                <w:rPr>
                  <w:rFonts w:ascii="Cambria Math" w:hAnsi="Cambria Math" w:cs="Tahoma"/>
                  <w:i/>
                  <w:sz w:val="18"/>
                  <w:szCs w:val="18"/>
                </w:rPr>
              </m:ctrlPr>
            </m:fPr>
            <m:num>
              <m:r>
                <m:rPr>
                  <m:nor/>
                </m:rPr>
                <w:rPr>
                  <w:rFonts w:ascii="Cambria Math" w:hAnsi="Cambria Math" w:cs="Tahoma"/>
                  <w:i/>
                  <w:sz w:val="18"/>
                  <w:szCs w:val="18"/>
                </w:rPr>
                <m:t>(Máximo de Minutos Disponíveis - Período de Indisponibilidade)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4520FDFD" w14:textId="77777777" w:rsidR="00264BC1" w:rsidRPr="00EC3D00" w:rsidRDefault="00264BC1" w:rsidP="00264BC1">
      <w:pPr>
        <w:pStyle w:val="ProductList-Body"/>
        <w:keepNext/>
        <w:ind w:left="360"/>
        <w:rPr>
          <w:rFonts w:ascii="Calibri" w:hAnsi="Calibri" w:cs="Calibri"/>
        </w:rPr>
      </w:pPr>
      <w:r>
        <w:rPr>
          <w:rFonts w:ascii="Calibri" w:hAnsi="Calibri" w:cs="Calibri"/>
          <w:b/>
          <w:color w:val="0072C6"/>
        </w:rPr>
        <w:t>Crédito de Serviço</w:t>
      </w:r>
      <w:r w:rsidRPr="00842E88">
        <w:rPr>
          <w:rFonts w:ascii="Calibri" w:hAnsi="Calibri" w:cs="Calibri"/>
          <w:b/>
          <w:color w:val="0072C6"/>
        </w:rPr>
        <w:t>:</w:t>
      </w:r>
    </w:p>
    <w:p w14:paraId="1DBCAA94" w14:textId="77777777" w:rsidR="00264BC1" w:rsidRDefault="00264BC1" w:rsidP="00264BC1">
      <w:pPr>
        <w:pStyle w:val="ProductList-Body"/>
        <w:ind w:left="360"/>
        <w:rPr>
          <w:rFonts w:ascii="Calibri" w:hAnsi="Calibri" w:cs="Calibri"/>
        </w:rPr>
      </w:pPr>
      <w:r>
        <w:rPr>
          <w:rFonts w:ascii="Calibri" w:hAnsi="Calibri" w:cs="Calibri"/>
        </w:rPr>
        <w:t>Os seguintes Níveis de Serviço e Créditos de Serviço são aplicáveis à utilização que o Cliente faz das Máquinas Virtuais num Conjunto de Disponibilidade ou no mesmo Grupo de Dedicated Hosts: Este SLA não é aplicável aos Conjuntos de Disponibilidade que tiram partido de discos partilhados do Azure:</w:t>
      </w:r>
    </w:p>
    <w:p w14:paraId="154548C8" w14:textId="77777777" w:rsidR="0004612F" w:rsidRPr="00EC3D00" w:rsidRDefault="0004612F" w:rsidP="00264BC1">
      <w:pPr>
        <w:pStyle w:val="ProductList-Body"/>
        <w:ind w:left="360"/>
        <w:rPr>
          <w:rFonts w:ascii="Calibri" w:hAnsi="Calibri" w:cs="Calibri"/>
        </w:rPr>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264BC1" w:rsidRPr="00B44CF9" w14:paraId="546D8578" w14:textId="77777777" w:rsidTr="00E50F69">
        <w:trPr>
          <w:tblHeader/>
        </w:trPr>
        <w:tc>
          <w:tcPr>
            <w:tcW w:w="5040" w:type="dxa"/>
            <w:shd w:val="clear" w:color="auto" w:fill="0072C6"/>
          </w:tcPr>
          <w:p w14:paraId="69E8B72C" w14:textId="77777777" w:rsidR="00264BC1" w:rsidRPr="00EF7CF9" w:rsidRDefault="00264BC1" w:rsidP="00E50F69">
            <w:pPr>
              <w:pStyle w:val="ProductList-OfferingBody"/>
              <w:jc w:val="center"/>
              <w:rPr>
                <w:color w:val="FFFFFF" w:themeColor="background1"/>
              </w:rPr>
            </w:pPr>
            <w:r>
              <w:rPr>
                <w:color w:val="FFFFFF" w:themeColor="background1"/>
              </w:rPr>
              <w:lastRenderedPageBreak/>
              <w:t>Percentagem de Período de Disponibilidade</w:t>
            </w:r>
          </w:p>
        </w:tc>
        <w:tc>
          <w:tcPr>
            <w:tcW w:w="5400" w:type="dxa"/>
            <w:shd w:val="clear" w:color="auto" w:fill="0072C6"/>
          </w:tcPr>
          <w:p w14:paraId="1FC7F0CC" w14:textId="77777777" w:rsidR="00264BC1" w:rsidRPr="00EF7CF9" w:rsidRDefault="00264BC1" w:rsidP="00E50F69">
            <w:pPr>
              <w:pStyle w:val="ProductList-OfferingBody"/>
              <w:jc w:val="center"/>
              <w:rPr>
                <w:color w:val="FFFFFF" w:themeColor="background1"/>
              </w:rPr>
            </w:pPr>
            <w:r>
              <w:rPr>
                <w:color w:val="FFFFFF" w:themeColor="background1"/>
              </w:rPr>
              <w:t>Crédito de Serviço</w:t>
            </w:r>
          </w:p>
        </w:tc>
      </w:tr>
      <w:tr w:rsidR="00264BC1" w:rsidRPr="00B44CF9" w14:paraId="2E022285" w14:textId="77777777" w:rsidTr="00E50F69">
        <w:tc>
          <w:tcPr>
            <w:tcW w:w="5040" w:type="dxa"/>
          </w:tcPr>
          <w:p w14:paraId="08A631C0" w14:textId="77777777" w:rsidR="00264BC1" w:rsidRPr="00EC3D00" w:rsidRDefault="00264BC1" w:rsidP="00E50F69">
            <w:pPr>
              <w:pStyle w:val="ProductList-OfferingBody"/>
              <w:jc w:val="center"/>
              <w:rPr>
                <w:rFonts w:ascii="Calibri" w:hAnsi="Calibri" w:cs="Calibri"/>
              </w:rPr>
            </w:pPr>
            <w:r>
              <w:rPr>
                <w:rFonts w:ascii="Calibri" w:hAnsi="Calibri" w:cs="Calibri"/>
              </w:rPr>
              <w:t>&lt; 99,95%</w:t>
            </w:r>
          </w:p>
        </w:tc>
        <w:tc>
          <w:tcPr>
            <w:tcW w:w="5400" w:type="dxa"/>
          </w:tcPr>
          <w:p w14:paraId="6ACF4E77" w14:textId="77777777" w:rsidR="00264BC1" w:rsidRPr="00EC3D00" w:rsidRDefault="00264BC1" w:rsidP="00E50F69">
            <w:pPr>
              <w:pStyle w:val="ProductList-OfferingBody"/>
              <w:jc w:val="center"/>
              <w:rPr>
                <w:rFonts w:ascii="Calibri" w:hAnsi="Calibri" w:cs="Calibri"/>
              </w:rPr>
            </w:pPr>
            <w:r>
              <w:rPr>
                <w:rFonts w:ascii="Calibri" w:hAnsi="Calibri" w:cs="Calibri"/>
              </w:rPr>
              <w:t>10%</w:t>
            </w:r>
          </w:p>
        </w:tc>
      </w:tr>
      <w:tr w:rsidR="00264BC1" w:rsidRPr="00B44CF9" w14:paraId="662A84A3" w14:textId="77777777" w:rsidTr="00E50F69">
        <w:tc>
          <w:tcPr>
            <w:tcW w:w="5040" w:type="dxa"/>
          </w:tcPr>
          <w:p w14:paraId="22F30263" w14:textId="77777777" w:rsidR="00264BC1" w:rsidRPr="00EC3D00" w:rsidRDefault="00264BC1" w:rsidP="00E50F69">
            <w:pPr>
              <w:pStyle w:val="ProductList-OfferingBody"/>
              <w:jc w:val="center"/>
              <w:rPr>
                <w:rFonts w:ascii="Calibri" w:hAnsi="Calibri" w:cs="Calibri"/>
              </w:rPr>
            </w:pPr>
            <w:r>
              <w:rPr>
                <w:rFonts w:ascii="Calibri" w:hAnsi="Calibri" w:cs="Calibri"/>
              </w:rPr>
              <w:t>&lt; 99%</w:t>
            </w:r>
          </w:p>
        </w:tc>
        <w:tc>
          <w:tcPr>
            <w:tcW w:w="5400" w:type="dxa"/>
          </w:tcPr>
          <w:p w14:paraId="5FAF6109" w14:textId="77777777" w:rsidR="00264BC1" w:rsidRPr="00EC3D00" w:rsidRDefault="00264BC1" w:rsidP="00E50F69">
            <w:pPr>
              <w:pStyle w:val="ProductList-OfferingBody"/>
              <w:jc w:val="center"/>
              <w:rPr>
                <w:rFonts w:ascii="Calibri" w:hAnsi="Calibri" w:cs="Calibri"/>
              </w:rPr>
            </w:pPr>
            <w:r>
              <w:rPr>
                <w:rFonts w:ascii="Calibri" w:hAnsi="Calibri" w:cs="Calibri"/>
              </w:rPr>
              <w:t>25%</w:t>
            </w:r>
          </w:p>
        </w:tc>
      </w:tr>
      <w:tr w:rsidR="00264BC1" w:rsidRPr="00B44CF9" w14:paraId="3B5923B5" w14:textId="77777777" w:rsidTr="00E50F69">
        <w:tc>
          <w:tcPr>
            <w:tcW w:w="5040" w:type="dxa"/>
          </w:tcPr>
          <w:p w14:paraId="082F506A" w14:textId="77777777" w:rsidR="00264BC1" w:rsidRPr="00EC3D00" w:rsidRDefault="00264BC1" w:rsidP="00E50F69">
            <w:pPr>
              <w:pStyle w:val="ProductList-OfferingBody"/>
              <w:jc w:val="center"/>
              <w:rPr>
                <w:rFonts w:ascii="Calibri" w:hAnsi="Calibri" w:cs="Calibri"/>
              </w:rPr>
            </w:pPr>
            <w:r>
              <w:rPr>
                <w:rFonts w:ascii="Calibri" w:hAnsi="Calibri" w:cs="Calibri"/>
              </w:rPr>
              <w:t>&lt; 95%</w:t>
            </w:r>
          </w:p>
        </w:tc>
        <w:tc>
          <w:tcPr>
            <w:tcW w:w="5400" w:type="dxa"/>
          </w:tcPr>
          <w:p w14:paraId="1A2C94E7" w14:textId="77777777" w:rsidR="00264BC1" w:rsidRPr="00EC3D00" w:rsidRDefault="00264BC1" w:rsidP="00E50F69">
            <w:pPr>
              <w:pStyle w:val="ProductList-OfferingBody"/>
              <w:jc w:val="center"/>
              <w:rPr>
                <w:rFonts w:ascii="Calibri" w:hAnsi="Calibri" w:cs="Calibri"/>
              </w:rPr>
            </w:pPr>
            <w:r>
              <w:rPr>
                <w:rFonts w:ascii="Calibri" w:hAnsi="Calibri" w:cs="Calibri"/>
              </w:rPr>
              <w:t>100%</w:t>
            </w:r>
          </w:p>
        </w:tc>
      </w:tr>
    </w:tbl>
    <w:p w14:paraId="65BB9CA9" w14:textId="77777777" w:rsidR="00264BC1" w:rsidRPr="00EC3D00" w:rsidRDefault="00264BC1" w:rsidP="00264BC1">
      <w:pPr>
        <w:pStyle w:val="ProductList-Body"/>
        <w:spacing w:before="120"/>
        <w:rPr>
          <w:rFonts w:ascii="Calibri" w:hAnsi="Calibri" w:cs="Calibri"/>
          <w:b/>
          <w:color w:val="00188F"/>
        </w:rPr>
      </w:pPr>
      <w:r>
        <w:rPr>
          <w:rFonts w:ascii="Calibri" w:hAnsi="Calibri" w:cs="Calibri"/>
          <w:b/>
          <w:color w:val="00188F"/>
        </w:rPr>
        <w:t>Cálculo do Período de Disponibilidade e Níveis de Serviço para as Máquinas Virtuais de Instância Única e Máquinas Virtuais que utilizam os mesmos Discos Partilhados</w:t>
      </w:r>
    </w:p>
    <w:p w14:paraId="6975EB4A" w14:textId="77777777" w:rsidR="00264BC1" w:rsidRPr="00EC3D00" w:rsidRDefault="00264BC1" w:rsidP="00264BC1">
      <w:pPr>
        <w:pStyle w:val="ProductList-Body"/>
        <w:ind w:left="360"/>
        <w:rPr>
          <w:rFonts w:ascii="Calibri" w:hAnsi="Calibri" w:cs="Calibri"/>
        </w:rPr>
      </w:pPr>
      <w:r>
        <w:rPr>
          <w:rFonts w:ascii="Calibri" w:hAnsi="Calibri" w:cs="Calibri"/>
        </w:rPr>
        <w:t>“</w:t>
      </w:r>
      <w:r>
        <w:rPr>
          <w:rFonts w:ascii="Calibri" w:hAnsi="Calibri" w:cs="Calibri"/>
          <w:b/>
          <w:color w:val="0072C6"/>
        </w:rPr>
        <w:t>Minutos no Período Aplicável</w:t>
      </w:r>
      <w:r>
        <w:rPr>
          <w:rFonts w:ascii="Calibri" w:hAnsi="Calibri" w:cs="Calibri"/>
        </w:rPr>
        <w:t>” designa o número total de minutos num determinado Período Aplicável.</w:t>
      </w:r>
    </w:p>
    <w:p w14:paraId="6BD0654D" w14:textId="77777777" w:rsidR="00264BC1" w:rsidRPr="00EC3D00" w:rsidRDefault="00264BC1" w:rsidP="00264BC1">
      <w:pPr>
        <w:pStyle w:val="ProductList-Body"/>
        <w:ind w:left="360"/>
        <w:rPr>
          <w:rFonts w:ascii="Calibri" w:hAnsi="Calibri" w:cs="Calibri"/>
        </w:rPr>
      </w:pPr>
      <w:r>
        <w:rPr>
          <w:rFonts w:ascii="Calibri" w:hAnsi="Calibri" w:cs="Calibri"/>
          <w:b/>
          <w:color w:val="0072C6"/>
        </w:rPr>
        <w:t>Período de Indisponibilidade</w:t>
      </w:r>
      <w:r>
        <w:rPr>
          <w:rFonts w:ascii="Calibri" w:hAnsi="Calibri" w:cs="Calibri"/>
        </w:rPr>
        <w:t>: é o total de minutos acumulados que fazem parte dos Minutos no Período Aplicável sem Conectividade da Máquina Virtual.</w:t>
      </w:r>
    </w:p>
    <w:p w14:paraId="34CB18A2" w14:textId="77777777" w:rsidR="00264BC1" w:rsidRDefault="00264BC1" w:rsidP="00264BC1">
      <w:pPr>
        <w:pStyle w:val="ProductList-Body"/>
        <w:ind w:left="360"/>
        <w:rPr>
          <w:rFonts w:ascii="Calibri" w:hAnsi="Calibri" w:cs="Calibri"/>
        </w:rPr>
      </w:pPr>
      <w:r>
        <w:rPr>
          <w:rFonts w:ascii="Calibri" w:hAnsi="Calibri" w:cs="Calibri"/>
          <w:b/>
          <w:color w:val="0072C6"/>
        </w:rPr>
        <w:t>Percentagem de Período de Disponibilidade</w:t>
      </w:r>
      <w:r w:rsidRPr="00620D63">
        <w:rPr>
          <w:rFonts w:ascii="Calibri" w:hAnsi="Calibri" w:cs="Calibri"/>
          <w:b/>
          <w:color w:val="0072C6"/>
        </w:rPr>
        <w:t>:</w:t>
      </w:r>
      <w:r>
        <w:rPr>
          <w:rFonts w:ascii="Calibri" w:hAnsi="Calibri" w:cs="Calibri"/>
        </w:rPr>
        <w:t xml:space="preserve"> é calculada ao subtrair de 100% a percentagem de Minutos no Período Aplicável durante a qual qualquer Máquina Virtual de Instância Única teve Período de Indisponibilidade ou em que todas as Máquinas Virtuais que utilizam o mesmo Disco Partilhado tiveram um Período de Indisponibilidade.</w:t>
      </w:r>
    </w:p>
    <w:p w14:paraId="6E7CDAC9" w14:textId="77777777" w:rsidR="00264BC1" w:rsidRPr="00EF7CF9" w:rsidRDefault="00264BC1" w:rsidP="00AD13B7">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 de Período de Disponibilidade Mensal= </m:t>
          </m:r>
          <m:f>
            <m:fPr>
              <m:ctrlPr>
                <w:rPr>
                  <w:rFonts w:ascii="Cambria Math" w:hAnsi="Cambria Math" w:cs="Tahoma"/>
                  <w:i/>
                  <w:sz w:val="18"/>
                  <w:szCs w:val="18"/>
                </w:rPr>
              </m:ctrlPr>
            </m:fPr>
            <m:num>
              <m:r>
                <m:rPr>
                  <m:nor/>
                </m:rPr>
                <w:rPr>
                  <w:rFonts w:ascii="Cambria Math" w:hAnsi="Cambria Math" w:cs="Tahoma"/>
                  <w:i/>
                  <w:sz w:val="18"/>
                  <w:szCs w:val="18"/>
                </w:rPr>
                <m:t>(Minutos no Período Aplicável - Período de Indisponibilidade)</m:t>
              </m:r>
            </m:num>
            <m:den>
              <m:r>
                <m:rPr>
                  <m:nor/>
                </m:rPr>
                <w:rPr>
                  <w:rFonts w:ascii="Cambria Math" w:hAnsi="Cambria Math" w:cs="Tahoma"/>
                  <w:i/>
                  <w:sz w:val="18"/>
                  <w:szCs w:val="18"/>
                </w:rPr>
                <m:t>Minutos no Período Aplicável</m:t>
              </m:r>
            </m:den>
          </m:f>
          <m:r>
            <w:rPr>
              <w:rFonts w:ascii="Cambria Math" w:hAnsi="Cambria Math" w:cs="Tahoma"/>
              <w:sz w:val="18"/>
              <w:szCs w:val="18"/>
            </w:rPr>
            <m:t xml:space="preserve"> x 100</m:t>
          </m:r>
        </m:oMath>
      </m:oMathPara>
    </w:p>
    <w:p w14:paraId="46E24C5A" w14:textId="77777777" w:rsidR="00264BC1" w:rsidRPr="00EC3D00" w:rsidRDefault="00264BC1" w:rsidP="00264BC1">
      <w:pPr>
        <w:pStyle w:val="ProductList-Body"/>
        <w:ind w:left="360"/>
        <w:rPr>
          <w:rFonts w:ascii="Calibri" w:hAnsi="Calibri" w:cs="Calibri"/>
        </w:rPr>
      </w:pPr>
      <w:r>
        <w:rPr>
          <w:rFonts w:ascii="Calibri" w:hAnsi="Calibri" w:cs="Calibri"/>
          <w:b/>
          <w:color w:val="0072C6"/>
        </w:rPr>
        <w:t>Crédito de Serviço</w:t>
      </w:r>
      <w:r w:rsidRPr="00D81F78">
        <w:rPr>
          <w:rFonts w:ascii="Calibri" w:hAnsi="Calibri" w:cs="Calibri"/>
          <w:b/>
          <w:color w:val="0072C6"/>
        </w:rPr>
        <w:t>:</w:t>
      </w:r>
    </w:p>
    <w:p w14:paraId="7297F1EF" w14:textId="77777777" w:rsidR="00264BC1" w:rsidRDefault="00264BC1" w:rsidP="00264BC1">
      <w:pPr>
        <w:pStyle w:val="ProductList-Body"/>
        <w:ind w:left="360"/>
        <w:rPr>
          <w:rFonts w:ascii="Calibri" w:hAnsi="Calibri" w:cs="Calibri"/>
        </w:rPr>
      </w:pPr>
      <w:r>
        <w:rPr>
          <w:rFonts w:ascii="Calibri" w:hAnsi="Calibri" w:cs="Calibri"/>
        </w:rPr>
        <w:t>Os seguintes Níveis de Serviço e Créditos de Serviço são aplicáveis à utilização que o Cliente faz das Máquinas Virtuais de Instância Única e Máquinas Virtuais que utilizam os mesmos Discos Partilhados por Tipo de disco. Para qualquer Máquina Virtual de Instância Única que utiliza vários tipos de disco e para todas as Máquinas Virtuais que utilizam os mesmos Discos Partilhados de vários tipos*, será aplicável o SLA mais baixo de todos os discos na Máquina Virtual:</w:t>
      </w:r>
    </w:p>
    <w:p w14:paraId="7B10D639" w14:textId="77777777" w:rsidR="00D95212" w:rsidRDefault="00D95212" w:rsidP="00264BC1">
      <w:pPr>
        <w:pStyle w:val="ProductList-Body"/>
        <w:ind w:left="360"/>
        <w:rPr>
          <w:rFonts w:ascii="Calibri" w:hAnsi="Calibri" w:cs="Calibri"/>
        </w:rPr>
      </w:pPr>
    </w:p>
    <w:p w14:paraId="591CDC40" w14:textId="77777777" w:rsidR="00D87086" w:rsidRPr="00EC3D00" w:rsidRDefault="00D87086" w:rsidP="00D87086">
      <w:pPr>
        <w:pStyle w:val="ProductList-Body"/>
        <w:ind w:left="360"/>
        <w:rPr>
          <w:rFonts w:ascii="Calibri" w:hAnsi="Calibri" w:cs="Calibri"/>
        </w:rPr>
      </w:pPr>
      <w:r>
        <w:rPr>
          <w:rFonts w:ascii="Calibri" w:hAnsi="Calibri" w:cs="Calibri"/>
        </w:rPr>
        <w:t>*Por exemplo, dadas duas Máquinas Virtuais VM1 e VM2 com um Disco Partilhado SSD Premium e um Disco Partilhado SSD Padrão, o SLA de período de disponibilidade para VM1 e VM2 será igual ao SLA para uma Máquina Virtual de Instância Única com o SSD Padrão, conforme mostrado abaixo</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D87086" w:rsidRPr="00B44CF9" w14:paraId="0276D147" w14:textId="77777777" w:rsidTr="00E50F69">
        <w:trPr>
          <w:tblHeader/>
        </w:trPr>
        <w:tc>
          <w:tcPr>
            <w:tcW w:w="1164" w:type="pct"/>
            <w:shd w:val="clear" w:color="auto" w:fill="0072C6"/>
          </w:tcPr>
          <w:p w14:paraId="433A6C13" w14:textId="77777777" w:rsidR="00D87086" w:rsidRPr="00EC3D00" w:rsidRDefault="00D87086" w:rsidP="00E50F69">
            <w:pPr>
              <w:pStyle w:val="ProductList-OfferingBody"/>
              <w:rPr>
                <w:rFonts w:ascii="Calibri" w:hAnsi="Calibri" w:cs="Calibri"/>
                <w:color w:val="FFFFFF" w:themeColor="background1"/>
              </w:rPr>
            </w:pPr>
            <w:r>
              <w:rPr>
                <w:rFonts w:ascii="Calibri" w:hAnsi="Calibri" w:cs="Calibri"/>
                <w:color w:val="FFFFFF" w:themeColor="background1"/>
              </w:rPr>
              <w:t>Percentagem de Período de Disponibilidade (SSD Premium, SSD v2 Premium e Ultra Disk)**</w:t>
            </w:r>
          </w:p>
        </w:tc>
        <w:tc>
          <w:tcPr>
            <w:tcW w:w="1252" w:type="pct"/>
            <w:shd w:val="clear" w:color="auto" w:fill="0072C6"/>
          </w:tcPr>
          <w:p w14:paraId="3350F32A" w14:textId="77777777" w:rsidR="00D87086" w:rsidRPr="00EC3D00" w:rsidRDefault="00D87086" w:rsidP="00E50F69">
            <w:pPr>
              <w:pStyle w:val="ProductList-OfferingBody"/>
              <w:jc w:val="center"/>
              <w:rPr>
                <w:rFonts w:ascii="Calibri" w:hAnsi="Calibri" w:cs="Calibri"/>
                <w:color w:val="FFFFFF" w:themeColor="background1"/>
              </w:rPr>
            </w:pPr>
            <w:r>
              <w:rPr>
                <w:rFonts w:ascii="Calibri" w:hAnsi="Calibri" w:cs="Calibri"/>
                <w:color w:val="FFFFFF" w:themeColor="background1"/>
              </w:rPr>
              <w:t>Percentagem de Período de Disponibilidade (Disco Gerido SSD Padrão)</w:t>
            </w:r>
          </w:p>
        </w:tc>
        <w:tc>
          <w:tcPr>
            <w:tcW w:w="1380" w:type="pct"/>
            <w:shd w:val="clear" w:color="auto" w:fill="0072C6"/>
          </w:tcPr>
          <w:p w14:paraId="438D5911" w14:textId="77777777" w:rsidR="00D87086" w:rsidRPr="00EC3D00" w:rsidRDefault="00D87086" w:rsidP="00E50F69">
            <w:pPr>
              <w:pStyle w:val="ProductList-OfferingBody"/>
              <w:jc w:val="center"/>
              <w:rPr>
                <w:rFonts w:ascii="Calibri" w:hAnsi="Calibri" w:cs="Calibri"/>
                <w:color w:val="FFFFFF" w:themeColor="background1"/>
              </w:rPr>
            </w:pPr>
            <w:r>
              <w:rPr>
                <w:rFonts w:ascii="Calibri" w:hAnsi="Calibri" w:cs="Calibri"/>
                <w:color w:val="FFFFFF" w:themeColor="background1"/>
              </w:rPr>
              <w:t>Percentagem de Período de Disponibilidade (Disco Gerido HDD Padrão)</w:t>
            </w:r>
          </w:p>
        </w:tc>
        <w:tc>
          <w:tcPr>
            <w:tcW w:w="1204" w:type="pct"/>
            <w:shd w:val="clear" w:color="auto" w:fill="0072C6"/>
          </w:tcPr>
          <w:p w14:paraId="209EAD9B" w14:textId="77777777" w:rsidR="00D87086" w:rsidRPr="00EC3D00" w:rsidRDefault="00D87086" w:rsidP="00E50F6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D87086" w:rsidRPr="00B44CF9" w14:paraId="5B4937E2" w14:textId="77777777" w:rsidTr="00E50F69">
        <w:tc>
          <w:tcPr>
            <w:tcW w:w="1164" w:type="pct"/>
          </w:tcPr>
          <w:p w14:paraId="23474C96" w14:textId="77777777" w:rsidR="00D87086" w:rsidRPr="00EC3D00" w:rsidRDefault="00D87086" w:rsidP="00E50F69">
            <w:pPr>
              <w:pStyle w:val="ProductList-OfferingBody"/>
              <w:jc w:val="center"/>
              <w:rPr>
                <w:rFonts w:ascii="Calibri" w:hAnsi="Calibri" w:cs="Calibri"/>
              </w:rPr>
            </w:pPr>
            <w:r>
              <w:rPr>
                <w:rFonts w:ascii="Calibri" w:hAnsi="Calibri" w:cs="Calibri"/>
              </w:rPr>
              <w:t>&lt; 99,9%</w:t>
            </w:r>
          </w:p>
        </w:tc>
        <w:tc>
          <w:tcPr>
            <w:tcW w:w="1252" w:type="pct"/>
          </w:tcPr>
          <w:p w14:paraId="0151EE64" w14:textId="77777777" w:rsidR="00D87086" w:rsidRPr="00EC3D00" w:rsidRDefault="00D87086" w:rsidP="00E50F69">
            <w:pPr>
              <w:pStyle w:val="ProductList-OfferingBody"/>
              <w:jc w:val="center"/>
              <w:rPr>
                <w:rFonts w:ascii="Calibri" w:hAnsi="Calibri" w:cs="Calibri"/>
              </w:rPr>
            </w:pPr>
            <w:r>
              <w:rPr>
                <w:rFonts w:ascii="Calibri" w:hAnsi="Calibri" w:cs="Calibri"/>
              </w:rPr>
              <w:t>&lt; 99,5%</w:t>
            </w:r>
          </w:p>
        </w:tc>
        <w:tc>
          <w:tcPr>
            <w:tcW w:w="1380" w:type="pct"/>
          </w:tcPr>
          <w:p w14:paraId="3F3318EB" w14:textId="77777777" w:rsidR="00D87086" w:rsidRPr="00EC3D00" w:rsidRDefault="00D87086" w:rsidP="00E50F69">
            <w:pPr>
              <w:pStyle w:val="ProductList-OfferingBody"/>
              <w:jc w:val="center"/>
              <w:rPr>
                <w:rFonts w:ascii="Calibri" w:hAnsi="Calibri" w:cs="Calibri"/>
              </w:rPr>
            </w:pPr>
            <w:r>
              <w:rPr>
                <w:rFonts w:ascii="Calibri" w:hAnsi="Calibri" w:cs="Calibri"/>
              </w:rPr>
              <w:t>&lt; 95%</w:t>
            </w:r>
          </w:p>
        </w:tc>
        <w:tc>
          <w:tcPr>
            <w:tcW w:w="1204" w:type="pct"/>
          </w:tcPr>
          <w:p w14:paraId="264FB7C1" w14:textId="77777777" w:rsidR="00D87086" w:rsidRPr="00EC3D00" w:rsidRDefault="00D87086" w:rsidP="00E50F69">
            <w:pPr>
              <w:pStyle w:val="ProductList-OfferingBody"/>
              <w:jc w:val="center"/>
              <w:rPr>
                <w:rFonts w:ascii="Calibri" w:hAnsi="Calibri" w:cs="Calibri"/>
              </w:rPr>
            </w:pPr>
            <w:r>
              <w:rPr>
                <w:rFonts w:ascii="Calibri" w:hAnsi="Calibri" w:cs="Calibri"/>
              </w:rPr>
              <w:t>10%</w:t>
            </w:r>
          </w:p>
        </w:tc>
      </w:tr>
      <w:tr w:rsidR="00D87086" w:rsidRPr="00B44CF9" w14:paraId="0D62A738" w14:textId="77777777" w:rsidTr="00E50F69">
        <w:tc>
          <w:tcPr>
            <w:tcW w:w="1164" w:type="pct"/>
          </w:tcPr>
          <w:p w14:paraId="22F1D1F7" w14:textId="77777777" w:rsidR="00D87086" w:rsidRPr="00EC3D00" w:rsidRDefault="00D87086" w:rsidP="00E50F69">
            <w:pPr>
              <w:pStyle w:val="ProductList-OfferingBody"/>
              <w:jc w:val="center"/>
              <w:rPr>
                <w:rFonts w:ascii="Calibri" w:hAnsi="Calibri" w:cs="Calibri"/>
              </w:rPr>
            </w:pPr>
            <w:r>
              <w:rPr>
                <w:rFonts w:ascii="Calibri" w:hAnsi="Calibri" w:cs="Calibri"/>
              </w:rPr>
              <w:t>&lt; 99%</w:t>
            </w:r>
          </w:p>
        </w:tc>
        <w:tc>
          <w:tcPr>
            <w:tcW w:w="1252" w:type="pct"/>
          </w:tcPr>
          <w:p w14:paraId="3210A3AF" w14:textId="77777777" w:rsidR="00D87086" w:rsidRPr="00EC3D00" w:rsidRDefault="00D87086" w:rsidP="00E50F69">
            <w:pPr>
              <w:pStyle w:val="ProductList-OfferingBody"/>
              <w:jc w:val="center"/>
              <w:rPr>
                <w:rFonts w:ascii="Calibri" w:hAnsi="Calibri" w:cs="Calibri"/>
              </w:rPr>
            </w:pPr>
            <w:r>
              <w:rPr>
                <w:rFonts w:ascii="Calibri" w:hAnsi="Calibri" w:cs="Calibri"/>
              </w:rPr>
              <w:t>&lt; 95%</w:t>
            </w:r>
          </w:p>
        </w:tc>
        <w:tc>
          <w:tcPr>
            <w:tcW w:w="1380" w:type="pct"/>
          </w:tcPr>
          <w:p w14:paraId="436437D5" w14:textId="77777777" w:rsidR="00D87086" w:rsidRPr="00EC3D00" w:rsidRDefault="00D87086" w:rsidP="00E50F69">
            <w:pPr>
              <w:pStyle w:val="ProductList-OfferingBody"/>
              <w:jc w:val="center"/>
              <w:rPr>
                <w:rFonts w:ascii="Calibri" w:hAnsi="Calibri" w:cs="Calibri"/>
              </w:rPr>
            </w:pPr>
            <w:r>
              <w:rPr>
                <w:rFonts w:ascii="Calibri" w:hAnsi="Calibri" w:cs="Calibri"/>
              </w:rPr>
              <w:t>&lt; 92%</w:t>
            </w:r>
          </w:p>
        </w:tc>
        <w:tc>
          <w:tcPr>
            <w:tcW w:w="1204" w:type="pct"/>
          </w:tcPr>
          <w:p w14:paraId="76BEB640" w14:textId="77777777" w:rsidR="00D87086" w:rsidRPr="00EC3D00" w:rsidRDefault="00D87086" w:rsidP="00E50F69">
            <w:pPr>
              <w:pStyle w:val="ProductList-OfferingBody"/>
              <w:jc w:val="center"/>
              <w:rPr>
                <w:rFonts w:ascii="Calibri" w:hAnsi="Calibri" w:cs="Calibri"/>
              </w:rPr>
            </w:pPr>
            <w:r>
              <w:rPr>
                <w:rFonts w:ascii="Calibri" w:hAnsi="Calibri" w:cs="Calibri"/>
              </w:rPr>
              <w:t>25%</w:t>
            </w:r>
          </w:p>
        </w:tc>
      </w:tr>
      <w:tr w:rsidR="00D87086" w:rsidRPr="00B44CF9" w14:paraId="5292508A" w14:textId="77777777" w:rsidTr="00E50F69">
        <w:tc>
          <w:tcPr>
            <w:tcW w:w="1164" w:type="pct"/>
          </w:tcPr>
          <w:p w14:paraId="1CB5CD76" w14:textId="77777777" w:rsidR="00D87086" w:rsidRPr="00EC3D00" w:rsidRDefault="00D87086" w:rsidP="00E50F69">
            <w:pPr>
              <w:pStyle w:val="ProductList-OfferingBody"/>
              <w:jc w:val="center"/>
              <w:rPr>
                <w:rFonts w:ascii="Calibri" w:hAnsi="Calibri" w:cs="Calibri"/>
              </w:rPr>
            </w:pPr>
            <w:r>
              <w:rPr>
                <w:rFonts w:ascii="Calibri" w:hAnsi="Calibri" w:cs="Calibri"/>
              </w:rPr>
              <w:t>&lt; 95%</w:t>
            </w:r>
          </w:p>
        </w:tc>
        <w:tc>
          <w:tcPr>
            <w:tcW w:w="1252" w:type="pct"/>
          </w:tcPr>
          <w:p w14:paraId="0597F19A" w14:textId="77777777" w:rsidR="00D87086" w:rsidRPr="00EC3D00" w:rsidRDefault="00D87086" w:rsidP="00E50F69">
            <w:pPr>
              <w:pStyle w:val="ProductList-OfferingBody"/>
              <w:jc w:val="center"/>
              <w:rPr>
                <w:rFonts w:ascii="Calibri" w:hAnsi="Calibri" w:cs="Calibri"/>
              </w:rPr>
            </w:pPr>
            <w:r>
              <w:rPr>
                <w:rFonts w:ascii="Calibri" w:hAnsi="Calibri" w:cs="Calibri"/>
              </w:rPr>
              <w:t>&lt; 90%</w:t>
            </w:r>
          </w:p>
        </w:tc>
        <w:tc>
          <w:tcPr>
            <w:tcW w:w="1380" w:type="pct"/>
          </w:tcPr>
          <w:p w14:paraId="311C4A3B" w14:textId="77777777" w:rsidR="00D87086" w:rsidRPr="00EC3D00" w:rsidRDefault="00D87086" w:rsidP="00E50F69">
            <w:pPr>
              <w:pStyle w:val="ProductList-OfferingBody"/>
              <w:jc w:val="center"/>
              <w:rPr>
                <w:rFonts w:ascii="Calibri" w:hAnsi="Calibri" w:cs="Calibri"/>
              </w:rPr>
            </w:pPr>
            <w:r>
              <w:rPr>
                <w:rFonts w:ascii="Calibri" w:hAnsi="Calibri" w:cs="Calibri"/>
              </w:rPr>
              <w:t>&lt; 90%</w:t>
            </w:r>
          </w:p>
        </w:tc>
        <w:tc>
          <w:tcPr>
            <w:tcW w:w="1204" w:type="pct"/>
          </w:tcPr>
          <w:p w14:paraId="2558967F" w14:textId="77777777" w:rsidR="00D87086" w:rsidRPr="00EC3D00" w:rsidRDefault="00D87086" w:rsidP="00E50F69">
            <w:pPr>
              <w:pStyle w:val="ProductList-OfferingBody"/>
              <w:jc w:val="center"/>
              <w:rPr>
                <w:rFonts w:ascii="Calibri" w:hAnsi="Calibri" w:cs="Calibri"/>
              </w:rPr>
            </w:pPr>
            <w:r>
              <w:rPr>
                <w:rFonts w:ascii="Calibri" w:hAnsi="Calibri" w:cs="Calibri"/>
              </w:rPr>
              <w:t>100%</w:t>
            </w:r>
          </w:p>
        </w:tc>
      </w:tr>
    </w:tbl>
    <w:p w14:paraId="5228A622" w14:textId="2D109305" w:rsidR="00D87086" w:rsidRDefault="00AD13B7" w:rsidP="003F5829">
      <w:pPr>
        <w:spacing w:before="120" w:after="0" w:line="240" w:lineRule="auto"/>
        <w:rPr>
          <w:rFonts w:ascii="Calibri" w:hAnsi="Calibri" w:cs="Calibri"/>
          <w:sz w:val="18"/>
        </w:rPr>
      </w:pPr>
      <w:r>
        <w:rPr>
          <w:rFonts w:ascii="Calibri" w:hAnsi="Calibri" w:cs="Calibri"/>
          <w:sz w:val="18"/>
        </w:rPr>
        <w:t xml:space="preserve">         </w:t>
      </w:r>
      <w:r w:rsidR="00D87086">
        <w:rPr>
          <w:rFonts w:ascii="Calibri" w:hAnsi="Calibri" w:cs="Calibri"/>
          <w:sz w:val="18"/>
        </w:rPr>
        <w:t>**SSD Premium para todos os Discos de Sistema Operativo, e SSD Premium, SSD v2 Premium ou Ultra Disk para todos os Discos de Dados.</w:t>
      </w:r>
    </w:p>
    <w:p w14:paraId="4401C59A"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FD75679" w14:textId="77777777" w:rsidR="00BC2A9C" w:rsidRDefault="00BC2A9C" w:rsidP="0091798B">
      <w:pPr>
        <w:pStyle w:val="ProductList-Offering2Heading"/>
        <w:tabs>
          <w:tab w:val="clear" w:pos="360"/>
        </w:tabs>
        <w:outlineLvl w:val="2"/>
      </w:pPr>
      <w:bookmarkStart w:id="426" w:name="_Toc239176542"/>
      <w:r>
        <w:t>Azure Virtual Network Manager</w:t>
      </w:r>
      <w:bookmarkEnd w:id="426"/>
    </w:p>
    <w:p w14:paraId="431D4064" w14:textId="77777777" w:rsidR="00BC2A9C" w:rsidRDefault="00BC2A9C" w:rsidP="00F01ED6">
      <w:pPr>
        <w:pStyle w:val="ProductList-Body"/>
        <w:rPr>
          <w:b/>
          <w:color w:val="00188F"/>
        </w:rPr>
      </w:pPr>
      <w:r>
        <w:rPr>
          <w:b/>
          <w:color w:val="00188F"/>
        </w:rPr>
        <w:t>Definições Adicionais</w:t>
      </w:r>
    </w:p>
    <w:p w14:paraId="543C0D66" w14:textId="299D7AE1" w:rsidR="00BC2A9C" w:rsidRDefault="00380305" w:rsidP="00F01ED6">
      <w:pPr>
        <w:pStyle w:val="ProductList-Body"/>
      </w:pPr>
      <w:r>
        <w:t>“</w:t>
      </w:r>
      <w:r w:rsidR="00BC2A9C">
        <w:rPr>
          <w:b/>
          <w:bCs/>
          <w:color w:val="00188F"/>
        </w:rPr>
        <w:t>Máximo de Minutos Disponíveis</w:t>
      </w:r>
      <w:r>
        <w:t>”</w:t>
      </w:r>
      <w:r w:rsidR="00BC2A9C">
        <w:t xml:space="preserve"> designa o total de minutos acumulados durante um Período Aplicável durante o qual um determinado Azure Virtual Network Manager tenha sido implementado numa subscrição do Microsoft Azure.</w:t>
      </w:r>
    </w:p>
    <w:p w14:paraId="1EDAF06D" w14:textId="183472C4" w:rsidR="00BC2A9C" w:rsidRDefault="00380305" w:rsidP="00F01ED6">
      <w:pPr>
        <w:pStyle w:val="ProductList-Body"/>
      </w:pPr>
      <w:r>
        <w:t>“</w:t>
      </w:r>
      <w:r w:rsidR="00BC2A9C">
        <w:rPr>
          <w:b/>
          <w:bCs/>
          <w:color w:val="00188F"/>
        </w:rPr>
        <w:t>Período de Indisponibilidade</w:t>
      </w:r>
      <w:r>
        <w:t>”</w:t>
      </w:r>
      <w:r w:rsidR="00BC2A9C">
        <w:t xml:space="preserve"> designa o total acumulado de Máximo de Minutos Disponíveis durante o qual um Azure Virtual Network Manager está indisponível. Considera-se que um minuto está indisponível se todas as tentativas de ligação ao Azure Virtual Network Manager durante esse minuto falharem.</w:t>
      </w:r>
    </w:p>
    <w:p w14:paraId="50464E6D" w14:textId="0640148D" w:rsidR="00BC2A9C" w:rsidRDefault="00380305" w:rsidP="00F01ED6">
      <w:pPr>
        <w:pStyle w:val="ProductList-Body"/>
      </w:pPr>
      <w:r>
        <w:t>“</w:t>
      </w:r>
      <w:r w:rsidR="00BC2A9C">
        <w:rPr>
          <w:b/>
          <w:bCs/>
          <w:color w:val="00188F"/>
        </w:rPr>
        <w:t>Percentagem de Período de Disponibilidade</w:t>
      </w:r>
      <w:r>
        <w:t>”</w:t>
      </w:r>
      <w:r w:rsidR="00BC2A9C">
        <w:t xml:space="preserve"> A Percentagem de Período de Disponibilidade é calculada utilizando a seguinte fórmula:</w:t>
      </w:r>
    </w:p>
    <w:p w14:paraId="6DAB46A1" w14:textId="7FB36EAB" w:rsidR="00BC2A9C" w:rsidRDefault="00000000" w:rsidP="00EC724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5EC17AC2" w14:textId="77777777" w:rsidR="00BC2A9C" w:rsidRDefault="00BC2A9C" w:rsidP="00F01ED6">
      <w:pPr>
        <w:pStyle w:val="ProductList-Body"/>
        <w:keepNext/>
        <w:rPr>
          <w:b/>
          <w:bCs/>
          <w:color w:val="00188F"/>
        </w:rPr>
      </w:pPr>
      <w:r>
        <w:rPr>
          <w:b/>
          <w:bCs/>
          <w:color w:val="00188F"/>
        </w:rPr>
        <w:t>Os seguintes Níveis de Serviço e Créditos de Serviço são aplicáveis à utilização de cada Azure Virtual Network Manager por parte do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rsidP="00F01ED6">
            <w:pPr>
              <w:pStyle w:val="ProductList-OfferingBody"/>
              <w:jc w:val="center"/>
              <w:rPr>
                <w:color w:val="FFFFFF" w:themeColor="background1"/>
              </w:rPr>
            </w:pPr>
            <w:r>
              <w:rPr>
                <w:color w:val="FFFFFF" w:themeColor="background1"/>
              </w:rPr>
              <w:t>Crédito de Serviço</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rsidP="00F01ED6">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rsidP="00F01ED6">
            <w:pPr>
              <w:pStyle w:val="ProductList-OfferingBody"/>
              <w:jc w:val="center"/>
            </w:pPr>
            <w:r>
              <w:t>10%</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rsidP="00F01ED6">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rsidP="00F01ED6">
            <w:pPr>
              <w:pStyle w:val="ProductList-OfferingBody"/>
              <w:jc w:val="center"/>
            </w:pPr>
            <w:r>
              <w:t>25%</w:t>
            </w:r>
          </w:p>
        </w:tc>
      </w:tr>
    </w:tbl>
    <w:p w14:paraId="17F273AA"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E840184" w14:textId="38B665C5" w:rsidR="004005AF" w:rsidRPr="00EF7CF9" w:rsidRDefault="004005AF" w:rsidP="0004612F">
      <w:pPr>
        <w:pStyle w:val="ProductList-Offering2Heading"/>
        <w:pageBreakBefore/>
        <w:tabs>
          <w:tab w:val="clear" w:pos="360"/>
          <w:tab w:val="clear" w:pos="720"/>
          <w:tab w:val="clear" w:pos="1080"/>
        </w:tabs>
        <w:outlineLvl w:val="2"/>
      </w:pPr>
      <w:bookmarkStart w:id="427" w:name="_Toc239176543"/>
      <w:r>
        <w:lastRenderedPageBreak/>
        <w:t>WAN Virtual do Azure</w:t>
      </w:r>
      <w:bookmarkEnd w:id="346"/>
      <w:bookmarkEnd w:id="347"/>
      <w:bookmarkEnd w:id="427"/>
    </w:p>
    <w:p w14:paraId="493AD4D5" w14:textId="77777777" w:rsidR="004005AF" w:rsidRPr="00EF7CF9" w:rsidRDefault="004005AF" w:rsidP="00F01ED6">
      <w:pPr>
        <w:pStyle w:val="ProductList-Body"/>
      </w:pPr>
      <w:r>
        <w:rPr>
          <w:b/>
          <w:color w:val="00188F"/>
        </w:rPr>
        <w:t>Definições Adicionais</w:t>
      </w:r>
      <w:r w:rsidRPr="00473DD3">
        <w:rPr>
          <w:b/>
          <w:color w:val="00188F"/>
        </w:rPr>
        <w:t>:</w:t>
      </w:r>
    </w:p>
    <w:p w14:paraId="7103CBD6" w14:textId="4AA62503" w:rsidR="004005AF" w:rsidRDefault="00380305" w:rsidP="00F01ED6">
      <w:pPr>
        <w:pStyle w:val="ProductList-Body"/>
      </w:pPr>
      <w:r>
        <w:t>“</w:t>
      </w:r>
      <w:r w:rsidR="004005AF">
        <w:rPr>
          <w:b/>
          <w:color w:val="00188F"/>
        </w:rPr>
        <w:t>Máximo de Minutos Disponíveis</w:t>
      </w:r>
      <w:r>
        <w:t>”</w:t>
      </w:r>
      <w:r w:rsidR="004005AF">
        <w:t xml:space="preserve"> designa o total acumulado de minutos num Período Aplicável durante o qual uma determinada WAN Virtual do Azure esteve implementada numa subscrição do Microsoft Azure.</w:t>
      </w:r>
    </w:p>
    <w:p w14:paraId="39AFD67D" w14:textId="5079C1B6" w:rsidR="004005AF" w:rsidRPr="006A28BC" w:rsidRDefault="00380305" w:rsidP="00F01ED6">
      <w:pPr>
        <w:pStyle w:val="ProductList-Body"/>
        <w:rPr>
          <w:spacing w:val="-4"/>
        </w:rPr>
      </w:pPr>
      <w:r>
        <w:rPr>
          <w:spacing w:val="-4"/>
        </w:rPr>
        <w:t>“</w:t>
      </w:r>
      <w:r w:rsidR="004005AF" w:rsidRPr="006A28BC">
        <w:rPr>
          <w:b/>
          <w:color w:val="00188F"/>
          <w:spacing w:val="-4"/>
        </w:rPr>
        <w:t>Período de Indisponibilidade</w:t>
      </w:r>
      <w:r>
        <w:rPr>
          <w:spacing w:val="-4"/>
        </w:rPr>
        <w:t>”</w:t>
      </w:r>
      <w:r w:rsidR="004005AF" w:rsidRPr="006A28BC">
        <w:rPr>
          <w:spacing w:val="-4"/>
        </w:rPr>
        <w:t xml:space="preserve"> designa o total acumulado de Máximo de Minutos Disponíveis durante o qual uma WAN Virtual do Azure está indisponível. Um determinado minuto é considerado indisponível se todas as tentativas de ligação ao WAN Virtual do Azure, durante esse minuto falharem.</w:t>
      </w:r>
    </w:p>
    <w:p w14:paraId="29C45C18" w14:textId="7A7B4D3E" w:rsidR="004005AF"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3A4F939" w14:textId="08CECF87" w:rsidR="004005AF" w:rsidRPr="00EF7CF9" w:rsidRDefault="00000000" w:rsidP="00EC7241">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AF9D3DA" w14:textId="0B0D4954" w:rsidR="004005AF" w:rsidRPr="00EF7CF9" w:rsidRDefault="004005AF"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829481B" w14:textId="77777777" w:rsidR="004005AF" w:rsidRPr="005A3C16"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6A8DFB2D" w14:textId="77777777" w:rsidTr="00277097">
        <w:tc>
          <w:tcPr>
            <w:tcW w:w="5400" w:type="dxa"/>
          </w:tcPr>
          <w:p w14:paraId="5C964DF3" w14:textId="77777777" w:rsidR="004005AF" w:rsidRPr="005A3C16" w:rsidRDefault="004005AF" w:rsidP="00F01ED6">
            <w:pPr>
              <w:pStyle w:val="ProductList-OfferingBody"/>
              <w:jc w:val="center"/>
            </w:pPr>
            <w:r>
              <w:t>&lt; 99,95%</w:t>
            </w:r>
          </w:p>
        </w:tc>
        <w:tc>
          <w:tcPr>
            <w:tcW w:w="5400" w:type="dxa"/>
          </w:tcPr>
          <w:p w14:paraId="0D394EBA" w14:textId="77777777" w:rsidR="004005AF" w:rsidRPr="005A3C16" w:rsidRDefault="004005AF" w:rsidP="00F01ED6">
            <w:pPr>
              <w:pStyle w:val="ProductList-OfferingBody"/>
              <w:jc w:val="center"/>
            </w:pPr>
            <w:r>
              <w:t>10%</w:t>
            </w:r>
          </w:p>
        </w:tc>
      </w:tr>
      <w:tr w:rsidR="004005AF" w:rsidRPr="00B44CF9" w14:paraId="0C0BF9E8" w14:textId="77777777" w:rsidTr="00277097">
        <w:tc>
          <w:tcPr>
            <w:tcW w:w="5400" w:type="dxa"/>
          </w:tcPr>
          <w:p w14:paraId="63E9E3BC" w14:textId="77777777" w:rsidR="004005AF" w:rsidRPr="005A3C16" w:rsidRDefault="004005AF" w:rsidP="00F01ED6">
            <w:pPr>
              <w:pStyle w:val="ProductList-OfferingBody"/>
              <w:jc w:val="center"/>
            </w:pPr>
            <w:r>
              <w:t>&lt; 99%</w:t>
            </w:r>
          </w:p>
        </w:tc>
        <w:tc>
          <w:tcPr>
            <w:tcW w:w="5400" w:type="dxa"/>
          </w:tcPr>
          <w:p w14:paraId="1ED27CD7" w14:textId="77777777" w:rsidR="004005AF" w:rsidRPr="005A3C16" w:rsidRDefault="004005AF" w:rsidP="00F01ED6">
            <w:pPr>
              <w:pStyle w:val="ProductList-OfferingBody"/>
              <w:jc w:val="center"/>
            </w:pPr>
            <w:r>
              <w:t>25%</w:t>
            </w:r>
          </w:p>
        </w:tc>
      </w:tr>
    </w:tbl>
    <w:bookmarkStart w:id="428" w:name="_Toc11149692"/>
    <w:bookmarkStart w:id="429" w:name="_Toc52348995"/>
    <w:bookmarkStart w:id="430" w:name="VisualStudioAppCenter_BuildService"/>
    <w:bookmarkStart w:id="431" w:name="_Hlk496874584"/>
    <w:bookmarkStart w:id="432" w:name="_Toc457821588"/>
    <w:bookmarkStart w:id="433" w:name="_Hlk496876971"/>
    <w:bookmarkStart w:id="434" w:name="VisualStudioTeamServices_BuildService"/>
    <w:bookmarkEnd w:id="348"/>
    <w:p w14:paraId="7A5B0AF6"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46827D04" w14:textId="37100D7D" w:rsidR="003B335C" w:rsidRPr="003B335C" w:rsidRDefault="003B335C" w:rsidP="00840862">
      <w:pPr>
        <w:pStyle w:val="ProductList-Offering2Heading"/>
        <w:keepNext/>
        <w:outlineLvl w:val="2"/>
      </w:pPr>
      <w:bookmarkStart w:id="435" w:name="_Toc239176544"/>
      <w:r>
        <w:t>Azure VMware Solution</w:t>
      </w:r>
      <w:bookmarkEnd w:id="435"/>
    </w:p>
    <w:p w14:paraId="6A14F68D" w14:textId="77777777" w:rsidR="002B538C" w:rsidRPr="00C51C89" w:rsidRDefault="002B538C" w:rsidP="002B538C">
      <w:pPr>
        <w:pStyle w:val="ProductList-Body"/>
        <w:rPr>
          <w:rFonts w:ascii="Calibri" w:hAnsi="Calibri" w:cs="Calibri"/>
          <w:b/>
          <w:color w:val="00188F"/>
        </w:rPr>
      </w:pPr>
      <w:r>
        <w:rPr>
          <w:rFonts w:ascii="Calibri" w:hAnsi="Calibri" w:cs="Calibri"/>
          <w:b/>
          <w:color w:val="00188F"/>
        </w:rPr>
        <w:t>Requisitos Adicionais</w:t>
      </w:r>
    </w:p>
    <w:p w14:paraId="41437A41" w14:textId="77777777" w:rsidR="002B538C" w:rsidRPr="00C25966" w:rsidRDefault="002B538C" w:rsidP="002B538C">
      <w:pPr>
        <w:pStyle w:val="ProductList-Body"/>
        <w:rPr>
          <w:rFonts w:ascii="Calibri" w:hAnsi="Calibri" w:cs="Calibri"/>
        </w:rPr>
      </w:pPr>
      <w:r>
        <w:rPr>
          <w:rFonts w:ascii="Calibri" w:hAnsi="Calibri" w:cs="Calibri"/>
        </w:rPr>
        <w:t>O cliente é obrigado a manter uma configuração mínima de todo o armazenamento da máquina virtual, incluindo:</w:t>
      </w:r>
    </w:p>
    <w:p w14:paraId="54B5F331" w14:textId="77777777" w:rsidR="002B538C" w:rsidRPr="00C25966"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Para clusters padrão: Se o setor tiver entre 3 e 5 anfitriões, o número de falhas a tolerar = 1; e quando o grupo tiver entre 6 e 16 anfitriões, o número de falhas a tolerar = 2.</w:t>
      </w:r>
    </w:p>
    <w:p w14:paraId="633F8800" w14:textId="77777777" w:rsidR="002B538C" w:rsidRPr="00C25966"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Para clusters dispersos: É implementado um mínimo de 6 nós no cluster (3 em cada zona de disponibilidade) e é necessário ter uma política de armazenamento de máquinas virtuais mínima de (i) nível primário de falhas a tolerar de </w:t>
      </w:r>
      <w:r w:rsidRPr="00B24DA4">
        <w:rPr>
          <w:rFonts w:ascii="Calibri" w:hAnsi="Calibri" w:cs="Calibri"/>
        </w:rPr>
        <w:t>“</w:t>
      </w:r>
      <w:r>
        <w:rPr>
          <w:rFonts w:ascii="Calibri" w:hAnsi="Calibri" w:cs="Calibri"/>
        </w:rPr>
        <w:t>Espelhamento de Site Duplo</w:t>
      </w:r>
      <w:r w:rsidRPr="00B24DA4">
        <w:rPr>
          <w:rFonts w:ascii="Calibri" w:hAnsi="Calibri" w:cs="Calibri"/>
        </w:rPr>
        <w:t>”</w:t>
      </w:r>
      <w:r>
        <w:rPr>
          <w:rFonts w:ascii="Calibri" w:hAnsi="Calibri" w:cs="Calibri"/>
        </w:rPr>
        <w:t xml:space="preserve"> e (ii) é utilizado um nível secundário de falhas a tolerar de 1 pelas máquinas virtuais de carga de trabalho.</w:t>
      </w:r>
    </w:p>
    <w:p w14:paraId="175142BE" w14:textId="77777777" w:rsidR="002B538C" w:rsidRPr="00C25966"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A capacidade de armazenamento para o cluster retém um espaço desperdiçado disponível de 25% (conforme descrito no </w:t>
      </w:r>
      <w:hyperlink r:id="rId27" w:anchor="GUID-C0B73B38-F68D-4D7C-BCF4-67CCD1E9875A-en" w:history="1">
        <w:r>
          <w:rPr>
            <w:rStyle w:val="Hyperlink"/>
            <w:rFonts w:ascii="Calibri" w:hAnsi="Calibri" w:cs="Calibri"/>
          </w:rPr>
          <w:t>guia de armazenamento vSAN</w:t>
        </w:r>
      </w:hyperlink>
      <w:r>
        <w:rPr>
          <w:rFonts w:ascii="Calibri" w:hAnsi="Calibri" w:cs="Calibri"/>
        </w:rPr>
        <w:t>).</w:t>
      </w:r>
    </w:p>
    <w:p w14:paraId="237A253A" w14:textId="77777777" w:rsidR="002B538C" w:rsidRPr="00C25966"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O cliente não realizou quaisquer ações no modo Privilégio Elevado que impeçam a Microsoft de cumprir o Compromisso de Disponibilidade.</w:t>
      </w:r>
    </w:p>
    <w:p w14:paraId="1FF2F05F" w14:textId="77777777" w:rsidR="002B538C" w:rsidRPr="00C25966"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Existe capacidade suficiente no setor para suportar a Ligação de uma máquina virtual.</w:t>
      </w:r>
    </w:p>
    <w:p w14:paraId="45FC3F3C" w14:textId="77777777" w:rsidR="002B538C" w:rsidRPr="00C25966"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 manutenção programada é excluída do total dos cálculos do período de disponibilidade disponíveis.</w:t>
      </w:r>
    </w:p>
    <w:p w14:paraId="7912A8A6" w14:textId="77777777" w:rsidR="002B538C" w:rsidRPr="00975B85" w:rsidRDefault="002B538C" w:rsidP="00427A58">
      <w:pPr>
        <w:pStyle w:val="ProductList-Body"/>
        <w:rPr>
          <w:rFonts w:ascii="Calibri" w:hAnsi="Calibri" w:cs="Calibri"/>
          <w:b/>
          <w:color w:val="00188F"/>
        </w:rPr>
      </w:pPr>
      <w:r>
        <w:rPr>
          <w:rFonts w:ascii="Calibri" w:hAnsi="Calibri" w:cs="Calibri"/>
          <w:b/>
          <w:color w:val="00188F"/>
        </w:rPr>
        <w:t>Definições Adicionais</w:t>
      </w:r>
    </w:p>
    <w:p w14:paraId="5BDCEFEC" w14:textId="77777777" w:rsidR="002B538C" w:rsidRPr="00975B85" w:rsidRDefault="002B538C" w:rsidP="002B538C">
      <w:pPr>
        <w:pStyle w:val="ProductList-Body"/>
        <w:rPr>
          <w:rFonts w:ascii="Calibri" w:hAnsi="Calibri" w:cs="Calibri"/>
          <w:b/>
          <w:color w:val="00188F"/>
        </w:rPr>
      </w:pPr>
      <w:r>
        <w:rPr>
          <w:rFonts w:ascii="Calibri" w:hAnsi="Calibri" w:cs="Calibri"/>
          <w:b/>
          <w:color w:val="00188F"/>
        </w:rPr>
        <w:t>Cálculo do Período de Disponibilidade e Níveis de Serviço para a Infraestrutura de Carga de Trabalho do Azure VMware Solution</w:t>
      </w:r>
    </w:p>
    <w:p w14:paraId="45ED283F" w14:textId="77777777" w:rsidR="002B538C" w:rsidRPr="00975B85" w:rsidRDefault="002B538C" w:rsidP="002B538C">
      <w:pPr>
        <w:pStyle w:val="ProductList-Body"/>
        <w:rPr>
          <w:rFonts w:ascii="Calibri" w:hAnsi="Calibri" w:cs="Calibri"/>
        </w:rPr>
      </w:pPr>
      <w:r w:rsidRPr="00A84407">
        <w:rPr>
          <w:rFonts w:ascii="Calibri" w:hAnsi="Calibri" w:cs="Calibri"/>
          <w:b/>
          <w:color w:val="00188F"/>
        </w:rPr>
        <w:t>“</w:t>
      </w:r>
      <w:r>
        <w:rPr>
          <w:rFonts w:ascii="Calibri" w:hAnsi="Calibri" w:cs="Calibri"/>
          <w:b/>
          <w:color w:val="00188F"/>
        </w:rPr>
        <w:t>Máximo de Minutos Disponíveis</w:t>
      </w:r>
      <w:r w:rsidRPr="00A84407">
        <w:rPr>
          <w:rFonts w:ascii="Calibri" w:hAnsi="Calibri" w:cs="Calibri"/>
          <w:b/>
          <w:color w:val="00188F"/>
        </w:rPr>
        <w:t>”</w:t>
      </w:r>
      <w:r>
        <w:rPr>
          <w:rFonts w:ascii="Calibri" w:hAnsi="Calibri" w:cs="Calibri"/>
        </w:rPr>
        <w:t xml:space="preserve"> designa o total de minutos acumulados durante um Período Aplicável para todas as máquinas virtuais num cluster de VMware vSphere, durante o qual a Solução VMware do Azure esteve implementada numa subscrição do Microsoft Azure.</w:t>
      </w:r>
    </w:p>
    <w:p w14:paraId="362DC7DD" w14:textId="77777777" w:rsidR="002B538C" w:rsidRPr="00975B85" w:rsidRDefault="002B538C" w:rsidP="002B538C">
      <w:pPr>
        <w:pStyle w:val="ProductList-Body"/>
        <w:tabs>
          <w:tab w:val="clear" w:pos="360"/>
          <w:tab w:val="clear" w:pos="720"/>
          <w:tab w:val="clear" w:pos="1080"/>
        </w:tabs>
        <w:rPr>
          <w:rFonts w:ascii="Calibri" w:hAnsi="Calibri" w:cs="Calibri"/>
        </w:rPr>
      </w:pPr>
      <w:r w:rsidRPr="00A84407">
        <w:rPr>
          <w:rFonts w:ascii="Calibri" w:hAnsi="Calibri" w:cs="Calibri"/>
          <w:b/>
          <w:color w:val="00188F"/>
        </w:rPr>
        <w:t>“</w:t>
      </w:r>
      <w:r>
        <w:rPr>
          <w:rFonts w:ascii="Calibri" w:hAnsi="Calibri" w:cs="Calibri"/>
          <w:b/>
          <w:color w:val="00188F"/>
        </w:rPr>
        <w:t>Período de Indisponibilidade</w:t>
      </w:r>
      <w:r w:rsidRPr="00A84407">
        <w:rPr>
          <w:rFonts w:ascii="Calibri" w:hAnsi="Calibri" w:cs="Calibri"/>
          <w:b/>
          <w:color w:val="00188F"/>
        </w:rPr>
        <w:t>”</w:t>
      </w:r>
      <w:r>
        <w:rPr>
          <w:rFonts w:ascii="Calibri" w:hAnsi="Calibri" w:cs="Calibri"/>
        </w:rPr>
        <w:t xml:space="preserve"> designa o total acumulado de Máximo de Minutos Disponíveis durante um Período Aplicável de um determinado cluster de VMware vSphere, durante o qual o Serviço está indisponível. Considera-se que um determinado minuto está indisponível se se verificar qualquer uma das seguintes situações:</w:t>
      </w:r>
    </w:p>
    <w:p w14:paraId="15592DFF" w14:textId="77777777" w:rsidR="002B538C" w:rsidRPr="00975B85"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Todas as máquinas virtuais de um setor em execução não tiverem qualquer conectividade durante quatro minutos consecutivos.</w:t>
      </w:r>
    </w:p>
    <w:p w14:paraId="194658C5" w14:textId="77777777" w:rsidR="002B538C" w:rsidRPr="00975B85"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Nenhuma das máquinas virtuais conseguir aceder ao armazenamento durante quatro minutos consecutivos.</w:t>
      </w:r>
    </w:p>
    <w:p w14:paraId="3AC83BD5" w14:textId="77777777" w:rsidR="002B538C" w:rsidRPr="00975B85" w:rsidRDefault="002B538C">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Nenhuma das máquinas virtuais puder ser iniciada durante quatro minutos consecutivos.</w:t>
      </w:r>
    </w:p>
    <w:p w14:paraId="2EAC320C" w14:textId="77777777" w:rsidR="002B538C" w:rsidRPr="00F10635" w:rsidRDefault="002B538C" w:rsidP="002B538C">
      <w:pPr>
        <w:pStyle w:val="ProductList-Body"/>
      </w:pPr>
      <w:r w:rsidRPr="00A84407">
        <w:rPr>
          <w:rFonts w:ascii="Calibri" w:hAnsi="Calibri" w:cs="Calibri"/>
          <w:b/>
          <w:color w:val="00188F"/>
        </w:rPr>
        <w:t>“</w:t>
      </w:r>
      <w:r>
        <w:rPr>
          <w:rFonts w:ascii="Calibri" w:hAnsi="Calibri" w:cs="Calibri"/>
          <w:b/>
          <w:color w:val="00188F"/>
        </w:rPr>
        <w:t>Percentagem de Período de Disponibilidade</w:t>
      </w:r>
      <w:r w:rsidRPr="00A84407">
        <w:rPr>
          <w:rFonts w:ascii="Calibri" w:hAnsi="Calibri" w:cs="Calibri"/>
          <w:b/>
          <w:color w:val="00188F"/>
        </w:rPr>
        <w:t>”</w:t>
      </w:r>
      <w:r>
        <w:t xml:space="preserve"> </w:t>
      </w:r>
      <w:r>
        <w:rPr>
          <w:rFonts w:ascii="Calibri" w:hAnsi="Calibri" w:cs="Calibri"/>
        </w:rPr>
        <w:t>A Percentagem de Período de Disponibilidade é calculada com a seguinte fórmula:</w:t>
      </w:r>
    </w:p>
    <w:p w14:paraId="2D64E604" w14:textId="77777777" w:rsidR="002B538C" w:rsidRPr="00F10635" w:rsidRDefault="00000000" w:rsidP="00357FC6">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Máximo de Minutos Disponíveis - Período de Indisponibilidade</m:t>
              </m:r>
            </m:num>
            <m:den>
              <m:r>
                <w:rPr>
                  <w:rFonts w:ascii="Cambria Math" w:hAnsi="Cambria Math"/>
                  <w:color w:val="000000" w:themeColor="text1"/>
                  <w:sz w:val="18"/>
                </w:rPr>
                <m:t>Máximo de Minutos Disponíveis</m:t>
              </m:r>
            </m:den>
          </m:f>
          <m:r>
            <w:rPr>
              <w:rFonts w:ascii="Cambria Math" w:hAnsi="Cambria Math"/>
              <w:color w:val="000000" w:themeColor="text1"/>
              <w:sz w:val="18"/>
            </w:rPr>
            <m:t xml:space="preserve"> x 100</m:t>
          </m:r>
        </m:oMath>
      </m:oMathPara>
    </w:p>
    <w:p w14:paraId="12D8EAD1" w14:textId="77777777" w:rsidR="002B538C" w:rsidRPr="00F44E97" w:rsidRDefault="002B538C" w:rsidP="002B538C">
      <w:pPr>
        <w:pStyle w:val="ProductList-Body"/>
        <w:rPr>
          <w:rFonts w:ascii="Calibri" w:hAnsi="Calibri" w:cs="Calibri"/>
          <w:b/>
          <w:color w:val="00188F"/>
        </w:rPr>
      </w:pPr>
      <w:r>
        <w:rPr>
          <w:rFonts w:ascii="Calibri" w:hAnsi="Calibri" w:cs="Calibri"/>
          <w:b/>
          <w:color w:val="00188F"/>
        </w:rPr>
        <w:t>Crédito de Serviço</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2B538C" w14:paraId="74CFDD3B" w14:textId="77777777" w:rsidTr="00C33532">
        <w:trPr>
          <w:tblHeader/>
        </w:trPr>
        <w:tc>
          <w:tcPr>
            <w:tcW w:w="5310" w:type="dxa"/>
            <w:shd w:val="clear" w:color="auto" w:fill="0072C6"/>
          </w:tcPr>
          <w:p w14:paraId="26B512B8" w14:textId="77777777" w:rsidR="002B538C" w:rsidRPr="00D768A9" w:rsidRDefault="002B538C"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Percentagem de Período de Disponibilidade</w:t>
            </w:r>
          </w:p>
        </w:tc>
        <w:tc>
          <w:tcPr>
            <w:tcW w:w="5310" w:type="dxa"/>
            <w:shd w:val="clear" w:color="auto" w:fill="0072C6"/>
          </w:tcPr>
          <w:p w14:paraId="0B9BD891" w14:textId="77777777" w:rsidR="002B538C" w:rsidRPr="00D768A9" w:rsidRDefault="002B538C"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2B538C" w14:paraId="07B9CA1B" w14:textId="77777777" w:rsidTr="00C33532">
        <w:tc>
          <w:tcPr>
            <w:tcW w:w="5310" w:type="dxa"/>
          </w:tcPr>
          <w:p w14:paraId="6567273A" w14:textId="77777777" w:rsidR="002B538C" w:rsidRPr="00D768A9" w:rsidRDefault="002B538C" w:rsidP="00C33532">
            <w:pPr>
              <w:pStyle w:val="ProductList-OfferingBody"/>
              <w:jc w:val="center"/>
              <w:rPr>
                <w:rFonts w:ascii="Calibri" w:hAnsi="Calibri" w:cs="Calibri"/>
                <w:szCs w:val="16"/>
              </w:rPr>
            </w:pPr>
            <w:r>
              <w:rPr>
                <w:rFonts w:ascii="Calibri" w:hAnsi="Calibri" w:cs="Calibri"/>
                <w:szCs w:val="16"/>
              </w:rPr>
              <w:t>&lt; 99,9% para clusters padrão</w:t>
            </w:r>
          </w:p>
        </w:tc>
        <w:tc>
          <w:tcPr>
            <w:tcW w:w="5310" w:type="dxa"/>
          </w:tcPr>
          <w:p w14:paraId="4158D395" w14:textId="77777777" w:rsidR="002B538C" w:rsidRPr="00D768A9" w:rsidRDefault="002B538C" w:rsidP="00C33532">
            <w:pPr>
              <w:pStyle w:val="ProductList-OfferingBody"/>
              <w:jc w:val="center"/>
              <w:rPr>
                <w:rFonts w:ascii="Calibri" w:hAnsi="Calibri" w:cs="Calibri"/>
                <w:szCs w:val="16"/>
              </w:rPr>
            </w:pPr>
            <w:r>
              <w:rPr>
                <w:rFonts w:ascii="Calibri" w:hAnsi="Calibri" w:cs="Calibri"/>
                <w:szCs w:val="16"/>
              </w:rPr>
              <w:t>10%</w:t>
            </w:r>
          </w:p>
        </w:tc>
      </w:tr>
      <w:tr w:rsidR="002B538C" w14:paraId="755EB70A" w14:textId="77777777" w:rsidTr="00C33532">
        <w:trPr>
          <w:trHeight w:val="215"/>
        </w:trPr>
        <w:tc>
          <w:tcPr>
            <w:tcW w:w="5310" w:type="dxa"/>
          </w:tcPr>
          <w:p w14:paraId="7D8B3284" w14:textId="77777777" w:rsidR="002B538C" w:rsidRPr="00D768A9" w:rsidRDefault="002B538C" w:rsidP="00C33532">
            <w:pPr>
              <w:pStyle w:val="ProductList-OfferingBody"/>
              <w:jc w:val="center"/>
              <w:rPr>
                <w:rFonts w:ascii="Calibri" w:hAnsi="Calibri" w:cs="Calibri"/>
                <w:szCs w:val="16"/>
              </w:rPr>
            </w:pPr>
            <w:r>
              <w:rPr>
                <w:rFonts w:ascii="Calibri" w:hAnsi="Calibri" w:cs="Calibri"/>
                <w:szCs w:val="16"/>
              </w:rPr>
              <w:t>&lt; 99,99% para clusters dispersos</w:t>
            </w:r>
          </w:p>
        </w:tc>
        <w:tc>
          <w:tcPr>
            <w:tcW w:w="5310" w:type="dxa"/>
          </w:tcPr>
          <w:p w14:paraId="601DE172" w14:textId="77777777" w:rsidR="002B538C" w:rsidRPr="00D768A9" w:rsidRDefault="002B538C" w:rsidP="00C33532">
            <w:pPr>
              <w:pStyle w:val="ProductList-OfferingBody"/>
              <w:jc w:val="center"/>
              <w:rPr>
                <w:rFonts w:ascii="Calibri" w:hAnsi="Calibri" w:cs="Calibri"/>
                <w:szCs w:val="16"/>
              </w:rPr>
            </w:pPr>
            <w:r>
              <w:rPr>
                <w:rFonts w:ascii="Calibri" w:hAnsi="Calibri" w:cs="Calibri"/>
                <w:szCs w:val="16"/>
              </w:rPr>
              <w:t>10%</w:t>
            </w:r>
          </w:p>
        </w:tc>
      </w:tr>
      <w:tr w:rsidR="002B538C" w14:paraId="781F3DCE" w14:textId="77777777" w:rsidTr="00C33532">
        <w:tc>
          <w:tcPr>
            <w:tcW w:w="5310" w:type="dxa"/>
          </w:tcPr>
          <w:p w14:paraId="4DA0F8A9" w14:textId="77777777" w:rsidR="002B538C" w:rsidRPr="00D768A9" w:rsidRDefault="002B538C" w:rsidP="00C33532">
            <w:pPr>
              <w:pStyle w:val="ProductList-OfferingBody"/>
              <w:jc w:val="center"/>
              <w:rPr>
                <w:rFonts w:ascii="Calibri" w:hAnsi="Calibri" w:cs="Calibri"/>
                <w:szCs w:val="16"/>
              </w:rPr>
            </w:pPr>
            <w:r>
              <w:rPr>
                <w:rFonts w:ascii="Calibri" w:hAnsi="Calibri" w:cs="Calibri"/>
                <w:szCs w:val="16"/>
              </w:rPr>
              <w:t>&lt; 99% para qualquer cluster</w:t>
            </w:r>
          </w:p>
        </w:tc>
        <w:tc>
          <w:tcPr>
            <w:tcW w:w="5310" w:type="dxa"/>
          </w:tcPr>
          <w:p w14:paraId="33705951" w14:textId="77777777" w:rsidR="002B538C" w:rsidRPr="00D768A9" w:rsidRDefault="002B538C" w:rsidP="00C33532">
            <w:pPr>
              <w:pStyle w:val="ProductList-OfferingBody"/>
              <w:jc w:val="center"/>
              <w:rPr>
                <w:rFonts w:ascii="Calibri" w:hAnsi="Calibri" w:cs="Calibri"/>
                <w:szCs w:val="16"/>
              </w:rPr>
            </w:pPr>
            <w:r>
              <w:rPr>
                <w:rFonts w:ascii="Calibri" w:hAnsi="Calibri" w:cs="Calibri"/>
                <w:szCs w:val="16"/>
              </w:rPr>
              <w:t>25%</w:t>
            </w:r>
          </w:p>
        </w:tc>
      </w:tr>
    </w:tbl>
    <w:p w14:paraId="61930FAE" w14:textId="77777777" w:rsidR="002B538C" w:rsidRPr="00975B85" w:rsidRDefault="002B538C" w:rsidP="002B538C">
      <w:pPr>
        <w:pStyle w:val="ProductList-Body"/>
        <w:spacing w:before="120"/>
        <w:rPr>
          <w:rFonts w:ascii="Calibri" w:hAnsi="Calibri" w:cs="Calibri"/>
          <w:b/>
          <w:color w:val="00188F"/>
        </w:rPr>
      </w:pPr>
      <w:r>
        <w:rPr>
          <w:rFonts w:ascii="Calibri" w:hAnsi="Calibri" w:cs="Calibri"/>
          <w:b/>
          <w:color w:val="00188F"/>
        </w:rPr>
        <w:t>Cálculo do Período de Disponibilidade e Níveis de Serviço para as ferramentas de Gestão de VMware do Azure</w:t>
      </w:r>
    </w:p>
    <w:p w14:paraId="61CD6C30" w14:textId="77777777" w:rsidR="002B538C" w:rsidRPr="00975B85" w:rsidRDefault="002B538C" w:rsidP="002B538C">
      <w:pPr>
        <w:pStyle w:val="ProductList-Body"/>
        <w:rPr>
          <w:rFonts w:ascii="Calibri" w:hAnsi="Calibri" w:cs="Calibri"/>
        </w:rPr>
      </w:pPr>
      <w:r w:rsidRPr="00A84407">
        <w:rPr>
          <w:rFonts w:ascii="Calibri" w:hAnsi="Calibri" w:cs="Calibri"/>
          <w:b/>
          <w:color w:val="00188F"/>
        </w:rPr>
        <w:t>“</w:t>
      </w:r>
      <w:r>
        <w:rPr>
          <w:rFonts w:ascii="Calibri" w:hAnsi="Calibri" w:cs="Calibri"/>
          <w:b/>
          <w:color w:val="00188F"/>
        </w:rPr>
        <w:t>Máximo de Minutos Disponíveis</w:t>
      </w:r>
      <w:r w:rsidRPr="00A84407">
        <w:rPr>
          <w:rFonts w:ascii="Calibri" w:hAnsi="Calibri" w:cs="Calibri"/>
          <w:b/>
          <w:color w:val="00188F"/>
        </w:rPr>
        <w:t>”</w:t>
      </w:r>
      <w:r>
        <w:rPr>
          <w:rFonts w:ascii="Calibri" w:hAnsi="Calibri" w:cs="Calibri"/>
        </w:rPr>
        <w:t xml:space="preserve"> designa o total acumulado de minutos durante um Período Aplicável para um determinado cluster de VMware vSphere, durante o qual as ferramentas de gestão do VMware do Azure foram implementadas numa subscrição do Microsoft Azure.</w:t>
      </w:r>
    </w:p>
    <w:p w14:paraId="20BC4F72" w14:textId="77777777" w:rsidR="002B538C" w:rsidRPr="00975B85" w:rsidRDefault="002B538C" w:rsidP="002B538C">
      <w:pPr>
        <w:pStyle w:val="ProductList-Body"/>
        <w:rPr>
          <w:rFonts w:ascii="Calibri" w:hAnsi="Calibri" w:cs="Calibri"/>
        </w:rPr>
      </w:pPr>
      <w:r w:rsidRPr="00A84407">
        <w:rPr>
          <w:rFonts w:ascii="Calibri" w:hAnsi="Calibri" w:cs="Calibri"/>
          <w:b/>
          <w:color w:val="00188F"/>
        </w:rPr>
        <w:t>“</w:t>
      </w:r>
      <w:r>
        <w:rPr>
          <w:rFonts w:ascii="Calibri" w:hAnsi="Calibri" w:cs="Calibri"/>
          <w:b/>
          <w:color w:val="00188F"/>
        </w:rPr>
        <w:t>Período de Indisponibilidade</w:t>
      </w:r>
      <w:r w:rsidRPr="00A84407">
        <w:rPr>
          <w:rFonts w:ascii="Calibri" w:hAnsi="Calibri" w:cs="Calibri"/>
          <w:b/>
          <w:color w:val="00188F"/>
        </w:rPr>
        <w:t>”</w:t>
      </w:r>
      <w:r>
        <w:rPr>
          <w:rFonts w:ascii="Calibri" w:hAnsi="Calibri" w:cs="Calibri"/>
        </w:rPr>
        <w:t xml:space="preserve"> designa o total acumulado do Máximo de Minutos Disponíveis durante um Período Aplicável para um determinado cluster de VMware vSphere, durante o qual os Serviços de Gestão (vCenter Server e NSX Manager) estão indisponíveis. Considera-se que um determinado minuto está indisponível se se verificar qualquer uma das seguintes situações:</w:t>
      </w:r>
    </w:p>
    <w:p w14:paraId="7340925E" w14:textId="77777777" w:rsidR="002B538C" w:rsidRPr="00975B85" w:rsidRDefault="002B538C">
      <w:pPr>
        <w:pStyle w:val="ProductList-Body"/>
        <w:numPr>
          <w:ilvl w:val="0"/>
          <w:numId w:val="14"/>
        </w:numPr>
        <w:rPr>
          <w:rFonts w:ascii="Calibri" w:hAnsi="Calibri" w:cs="Calibri"/>
        </w:rPr>
      </w:pPr>
      <w:r>
        <w:rPr>
          <w:rFonts w:ascii="Calibri" w:hAnsi="Calibri" w:cs="Calibri"/>
        </w:rPr>
        <w:lastRenderedPageBreak/>
        <w:t>O vCenter Server não tem qualquer conectividade durante quatro minutos consecutivos.</w:t>
      </w:r>
    </w:p>
    <w:p w14:paraId="0F3C04B5" w14:textId="77777777" w:rsidR="002B538C" w:rsidRPr="00975B85" w:rsidRDefault="002B538C">
      <w:pPr>
        <w:pStyle w:val="ProductList-Body"/>
        <w:numPr>
          <w:ilvl w:val="0"/>
          <w:numId w:val="14"/>
        </w:numPr>
        <w:rPr>
          <w:rFonts w:ascii="Calibri" w:hAnsi="Calibri" w:cs="Calibri"/>
        </w:rPr>
      </w:pPr>
      <w:r>
        <w:rPr>
          <w:rFonts w:ascii="Calibri" w:hAnsi="Calibri" w:cs="Calibri"/>
        </w:rPr>
        <w:t>O NSX Manager não tem qualquer conectividade durante quatro minutos consecutivos.</w:t>
      </w:r>
    </w:p>
    <w:p w14:paraId="7E4C2823" w14:textId="146504BA" w:rsidR="003B335C" w:rsidRDefault="00380305" w:rsidP="00F01ED6">
      <w:pPr>
        <w:pStyle w:val="ProductList-Body"/>
      </w:pPr>
      <w:r>
        <w:t>“</w:t>
      </w:r>
      <w:r w:rsidR="003B335C">
        <w:rPr>
          <w:b/>
          <w:bCs/>
          <w:color w:val="00188F"/>
        </w:rPr>
        <w:t>Percentagem de Período de Disponibilidade</w:t>
      </w:r>
      <w:r>
        <w:t>”</w:t>
      </w:r>
      <w:r w:rsidR="003B335C">
        <w:t xml:space="preserve"> A Percentagem de Período de Disponibilidade é calculada utilizando a seguinte fórmula:</w:t>
      </w:r>
    </w:p>
    <w:p w14:paraId="1F98E7A5" w14:textId="378F3134" w:rsidR="0087490E" w:rsidRPr="0048402F" w:rsidRDefault="00000000" w:rsidP="00AD1888">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Período de Indisponibilidade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0AD71F65" w14:textId="28EDBCF8" w:rsidR="0048402F" w:rsidRPr="0048402F" w:rsidRDefault="0048402F" w:rsidP="00F01ED6">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6CCB8FB" w14:textId="77777777" w:rsidR="0087490E" w:rsidRPr="005A3C16" w:rsidRDefault="0087490E" w:rsidP="00F01ED6">
            <w:pPr>
              <w:pStyle w:val="ProductList-OfferingBody"/>
              <w:jc w:val="center"/>
              <w:rPr>
                <w:color w:val="FFFFFF" w:themeColor="background1"/>
              </w:rPr>
            </w:pPr>
            <w:r>
              <w:rPr>
                <w:color w:val="FFFFFF" w:themeColor="background1"/>
              </w:rPr>
              <w:t>Crédito de Serviço</w:t>
            </w:r>
          </w:p>
        </w:tc>
      </w:tr>
      <w:tr w:rsidR="0087490E" w:rsidRPr="00B44CF9" w14:paraId="41DDA0BF" w14:textId="77777777" w:rsidTr="00277097">
        <w:tc>
          <w:tcPr>
            <w:tcW w:w="5400" w:type="dxa"/>
          </w:tcPr>
          <w:p w14:paraId="57DEA1AF" w14:textId="77777777" w:rsidR="0087490E" w:rsidRPr="005A3C16" w:rsidRDefault="0087490E" w:rsidP="00F01ED6">
            <w:pPr>
              <w:pStyle w:val="ProductList-OfferingBody"/>
              <w:jc w:val="center"/>
            </w:pPr>
            <w:r>
              <w:t>&lt; 99,9%</w:t>
            </w:r>
          </w:p>
        </w:tc>
        <w:tc>
          <w:tcPr>
            <w:tcW w:w="5400" w:type="dxa"/>
          </w:tcPr>
          <w:p w14:paraId="12EDA4F2" w14:textId="77777777" w:rsidR="0087490E" w:rsidRPr="005A3C16" w:rsidRDefault="0087490E" w:rsidP="00F01ED6">
            <w:pPr>
              <w:pStyle w:val="ProductList-OfferingBody"/>
              <w:jc w:val="center"/>
            </w:pPr>
            <w:r>
              <w:t>10%</w:t>
            </w:r>
          </w:p>
        </w:tc>
      </w:tr>
      <w:tr w:rsidR="0087490E" w:rsidRPr="00B44CF9" w14:paraId="73C85E7D" w14:textId="77777777" w:rsidTr="00277097">
        <w:tc>
          <w:tcPr>
            <w:tcW w:w="5400" w:type="dxa"/>
          </w:tcPr>
          <w:p w14:paraId="6E6C8824" w14:textId="77777777" w:rsidR="0087490E" w:rsidRPr="005A3C16" w:rsidRDefault="0087490E" w:rsidP="00F01ED6">
            <w:pPr>
              <w:pStyle w:val="ProductList-OfferingBody"/>
              <w:jc w:val="center"/>
            </w:pPr>
            <w:r>
              <w:t>&lt; 99%</w:t>
            </w:r>
          </w:p>
        </w:tc>
        <w:tc>
          <w:tcPr>
            <w:tcW w:w="5400" w:type="dxa"/>
          </w:tcPr>
          <w:p w14:paraId="54AFB53A" w14:textId="77777777" w:rsidR="0087490E" w:rsidRPr="005A3C16" w:rsidRDefault="0087490E" w:rsidP="00F01ED6">
            <w:pPr>
              <w:pStyle w:val="ProductList-OfferingBody"/>
              <w:jc w:val="center"/>
            </w:pPr>
            <w:r>
              <w:t>25%</w:t>
            </w:r>
          </w:p>
        </w:tc>
      </w:tr>
    </w:tbl>
    <w:p w14:paraId="3312AE09"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030F3AE" w14:textId="6CEF49C8" w:rsidR="00111EE9" w:rsidRPr="00DC1476" w:rsidRDefault="00111EE9" w:rsidP="00F01ED6">
      <w:pPr>
        <w:pStyle w:val="ProductList-Offering2Heading"/>
        <w:keepNext/>
        <w:outlineLvl w:val="2"/>
        <w:rPr>
          <w:lang w:val="en-IN"/>
        </w:rPr>
      </w:pPr>
      <w:bookmarkStart w:id="436" w:name="_Toc239176545"/>
      <w:r w:rsidRPr="00DC1476">
        <w:rPr>
          <w:lang w:val="en-IN"/>
        </w:rPr>
        <w:t>Azure VMware Solution by CloudSimple</w:t>
      </w:r>
      <w:bookmarkEnd w:id="436"/>
    </w:p>
    <w:p w14:paraId="11011C87" w14:textId="77777777" w:rsidR="00111EE9" w:rsidRPr="00111EE9" w:rsidRDefault="00111EE9" w:rsidP="00F01ED6">
      <w:pPr>
        <w:pStyle w:val="ProductList-Body"/>
        <w:rPr>
          <w:b/>
          <w:bCs/>
          <w:color w:val="00188F"/>
        </w:rPr>
      </w:pPr>
      <w:r>
        <w:rPr>
          <w:b/>
          <w:bCs/>
          <w:color w:val="00188F"/>
        </w:rPr>
        <w:t>Requisitos Adicionais</w:t>
      </w:r>
    </w:p>
    <w:p w14:paraId="72B01100" w14:textId="77777777" w:rsidR="00111EE9" w:rsidRDefault="00111EE9" w:rsidP="00F01ED6">
      <w:pPr>
        <w:pStyle w:val="ProductList-Body"/>
      </w:pPr>
      <w:r>
        <w:t>O cliente é obrigado a manter uma configuração mínima de todo o armazenamento da máquina virtual da seguinte forma:</w:t>
      </w:r>
    </w:p>
    <w:p w14:paraId="12FA0843" w14:textId="7F744018" w:rsidR="00111EE9" w:rsidRDefault="00111EE9">
      <w:pPr>
        <w:pStyle w:val="ProductList-Body"/>
        <w:numPr>
          <w:ilvl w:val="0"/>
          <w:numId w:val="15"/>
        </w:numPr>
      </w:pPr>
      <w:r>
        <w:t>Se o setor tiver entre 3 e 5 anfitriões, os números de falhas a tolerar = 1; e quando o grupo tiver entre 6 e 32 anfitriões, o número de</w:t>
      </w:r>
      <w:r w:rsidR="00040DA8">
        <w:t> </w:t>
      </w:r>
      <w:r>
        <w:t>falhas a tolerar = 2</w:t>
      </w:r>
    </w:p>
    <w:p w14:paraId="1D1BBE52" w14:textId="03A08F0E" w:rsidR="00111EE9" w:rsidRDefault="00111EE9">
      <w:pPr>
        <w:pStyle w:val="ProductList-Body"/>
        <w:numPr>
          <w:ilvl w:val="0"/>
          <w:numId w:val="15"/>
        </w:numPr>
      </w:pPr>
      <w:r>
        <w:t xml:space="preserve">A capacidade de armazenamento para o setor retém um espaço desperdiçado disponível de 25% (conforme descrito no guia de armazenamento VSAN) </w:t>
      </w:r>
      <w:hyperlink r:id="rId28" w:history="1">
        <w:r>
          <w:rPr>
            <w:rStyle w:val="Hyperlink"/>
          </w:rPr>
          <w:t>https://docs.vmware.com/en/VMware-vSphere/6.7/vsan-671-administration-guide.pdf</w:t>
        </w:r>
      </w:hyperlink>
    </w:p>
    <w:p w14:paraId="4C610A4F" w14:textId="0B67B1D5" w:rsidR="00111EE9" w:rsidRDefault="00111EE9">
      <w:pPr>
        <w:pStyle w:val="ProductList-Body"/>
        <w:numPr>
          <w:ilvl w:val="0"/>
          <w:numId w:val="15"/>
        </w:numPr>
      </w:pPr>
      <w:r>
        <w:t>Existe capacidade suficiente no setor para suportar o início de uma máquina virtual e o cliente não realizou quaisquer ações no modo de</w:t>
      </w:r>
      <w:r w:rsidR="00040DA8">
        <w:t> </w:t>
      </w:r>
      <w:r>
        <w:t>privilégio escalado que impeçam o fornecedor de cumprir o Compromisso de Disponibilidade.</w:t>
      </w:r>
    </w:p>
    <w:p w14:paraId="41D54D38" w14:textId="419CC854" w:rsidR="00111EE9" w:rsidRDefault="00111EE9">
      <w:pPr>
        <w:pStyle w:val="ProductList-Body"/>
        <w:numPr>
          <w:ilvl w:val="0"/>
          <w:numId w:val="15"/>
        </w:numPr>
      </w:pPr>
      <w:r>
        <w:t>A manutenção programada é excluída do total dos cálculos do período de disponibilidade disponível</w:t>
      </w:r>
    </w:p>
    <w:p w14:paraId="2F0032FD" w14:textId="77777777" w:rsidR="00111EE9" w:rsidRPr="0048402F" w:rsidRDefault="00111EE9" w:rsidP="00F01ED6">
      <w:pPr>
        <w:pStyle w:val="ProductList-Body"/>
        <w:rPr>
          <w:b/>
          <w:bCs/>
          <w:color w:val="00188F"/>
        </w:rPr>
      </w:pPr>
      <w:r>
        <w:rPr>
          <w:b/>
          <w:bCs/>
          <w:color w:val="00188F"/>
        </w:rPr>
        <w:t>Definições Adicionais</w:t>
      </w:r>
    </w:p>
    <w:p w14:paraId="35B0DEFD" w14:textId="377F9BF5" w:rsidR="00111EE9" w:rsidRPr="0048402F" w:rsidRDefault="00EE6E3C" w:rsidP="00F01ED6">
      <w:pPr>
        <w:pStyle w:val="ProductList-Body"/>
        <w:rPr>
          <w:b/>
          <w:bCs/>
          <w:color w:val="00188F"/>
        </w:rPr>
      </w:pPr>
      <w:r>
        <w:rPr>
          <w:b/>
          <w:bCs/>
          <w:color w:val="00188F"/>
        </w:rPr>
        <w:t>Cálculo do Período de Disponibilidade e Níveis de Serviço para a Infraestrutura de Carga de Trabalho das Soluções VMware do Azure</w:t>
      </w:r>
    </w:p>
    <w:p w14:paraId="5D6769E6" w14:textId="1A3EE32A" w:rsidR="00111EE9" w:rsidRDefault="00380305" w:rsidP="00F01ED6">
      <w:pPr>
        <w:pStyle w:val="ProductList-Body"/>
      </w:pPr>
      <w:r>
        <w:t>“</w:t>
      </w:r>
      <w:r w:rsidR="00111EE9">
        <w:rPr>
          <w:b/>
          <w:bCs/>
          <w:color w:val="00188F"/>
        </w:rPr>
        <w:t>Máximo de Minutos Disponíveis</w:t>
      </w:r>
      <w:r>
        <w:t>”</w:t>
      </w:r>
      <w:r w:rsidR="00111EE9">
        <w:t xml:space="preserve"> designa o total de minutos acumulados durante um Período Aplicável para todas as máquinas virtuais de</w:t>
      </w:r>
      <w:r w:rsidR="00CE018F">
        <w:t> </w:t>
      </w:r>
      <w:r w:rsidR="00111EE9">
        <w:t>um</w:t>
      </w:r>
      <w:r w:rsidR="00CE018F">
        <w:t> </w:t>
      </w:r>
      <w:r w:rsidR="00111EE9">
        <w:t>cluster de VMware, em que foram implementadas as Soluções VMware do Azure numa subscrição do Microsoft Azure.</w:t>
      </w:r>
    </w:p>
    <w:p w14:paraId="07E62869" w14:textId="78932D83" w:rsidR="00111EE9" w:rsidRDefault="00380305" w:rsidP="00F01ED6">
      <w:pPr>
        <w:pStyle w:val="ProductList-Body"/>
      </w:pPr>
      <w:r>
        <w:t>“</w:t>
      </w:r>
      <w:r w:rsidR="00111EE9">
        <w:rPr>
          <w:b/>
          <w:bCs/>
          <w:color w:val="00188F"/>
        </w:rPr>
        <w:t>Período de Indisponibilidade</w:t>
      </w:r>
      <w:r>
        <w:t>”</w:t>
      </w:r>
      <w:r w:rsidR="00111EE9">
        <w:t xml:space="preserve"> designa o total acumulado de Máximo de Minutos Disponíveis durante um Período Aplicável de um determinado Cluster de VMware no Azure, durante o qual o Serviço está indisponível. Considera-se que um determinado minuto está indisponível se</w:t>
      </w:r>
    </w:p>
    <w:p w14:paraId="228F9330" w14:textId="77777777" w:rsidR="00111EE9" w:rsidRDefault="00111EE9">
      <w:pPr>
        <w:pStyle w:val="ProductList-Body"/>
        <w:numPr>
          <w:ilvl w:val="0"/>
          <w:numId w:val="16"/>
        </w:numPr>
      </w:pPr>
      <w:r>
        <w:t>Todas as máquinas virtuais de um setor em execução não tiverem qualquer conectividade durante quatro minutos consecutivos.</w:t>
      </w:r>
    </w:p>
    <w:p w14:paraId="790E6190" w14:textId="77777777" w:rsidR="00111EE9" w:rsidRDefault="00111EE9">
      <w:pPr>
        <w:pStyle w:val="ProductList-Body"/>
        <w:numPr>
          <w:ilvl w:val="0"/>
          <w:numId w:val="16"/>
        </w:numPr>
      </w:pPr>
      <w:r>
        <w:t>Nenhuma das máquinas virtuais conseguir aceder ao armazenamento durante quatro minutos consecutivos.</w:t>
      </w:r>
    </w:p>
    <w:p w14:paraId="37C1DC4E" w14:textId="77777777" w:rsidR="00111EE9" w:rsidRDefault="00111EE9">
      <w:pPr>
        <w:pStyle w:val="ProductList-Body"/>
        <w:numPr>
          <w:ilvl w:val="0"/>
          <w:numId w:val="16"/>
        </w:numPr>
      </w:pPr>
      <w:r>
        <w:t>Nenhuma das máquinas virtuais puder ser iniciada durante quatro minutos consecutivos.</w:t>
      </w:r>
    </w:p>
    <w:p w14:paraId="232D7414" w14:textId="2CAF36EC" w:rsidR="00111EE9" w:rsidRDefault="00380305" w:rsidP="00F01ED6">
      <w:pPr>
        <w:pStyle w:val="ProductList-Body"/>
      </w:pPr>
      <w:r>
        <w:t>“</w:t>
      </w:r>
      <w:r w:rsidR="00111EE9">
        <w:rPr>
          <w:b/>
          <w:bCs/>
          <w:color w:val="00188F"/>
        </w:rPr>
        <w:t>Percentagem de Período de Disponibilidade</w:t>
      </w:r>
      <w:r>
        <w:t>”</w:t>
      </w:r>
      <w:r w:rsidR="00111EE9">
        <w:t xml:space="preserve"> A Percentagem de Período de Disponibilidade é calculada utilizando a seguinte fórmula:</w:t>
      </w:r>
    </w:p>
    <w:p w14:paraId="19F1D4EB" w14:textId="228A3559" w:rsidR="0048402F" w:rsidRPr="00EF7CF9" w:rsidRDefault="00000000" w:rsidP="00AD188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Período de Indisponibilidade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3121ECCE" w14:textId="035CFF96" w:rsidR="00111EE9" w:rsidRPr="00C074BC" w:rsidRDefault="0048402F" w:rsidP="00F01ED6">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1FFE87E" w14:textId="77777777" w:rsidR="0048402F" w:rsidRPr="005A3C16" w:rsidRDefault="0048402F" w:rsidP="00F01ED6">
            <w:pPr>
              <w:pStyle w:val="ProductList-OfferingBody"/>
              <w:jc w:val="center"/>
              <w:rPr>
                <w:color w:val="FFFFFF" w:themeColor="background1"/>
              </w:rPr>
            </w:pPr>
            <w:r>
              <w:rPr>
                <w:color w:val="FFFFFF" w:themeColor="background1"/>
              </w:rPr>
              <w:t>Crédito de Serviço</w:t>
            </w:r>
          </w:p>
        </w:tc>
      </w:tr>
      <w:tr w:rsidR="0048402F" w:rsidRPr="00B44CF9" w14:paraId="27355E3D" w14:textId="77777777" w:rsidTr="00277097">
        <w:tc>
          <w:tcPr>
            <w:tcW w:w="5400" w:type="dxa"/>
          </w:tcPr>
          <w:p w14:paraId="16C46BA1" w14:textId="77777777" w:rsidR="0048402F" w:rsidRPr="005A3C16" w:rsidRDefault="0048402F" w:rsidP="00F01ED6">
            <w:pPr>
              <w:pStyle w:val="ProductList-OfferingBody"/>
              <w:jc w:val="center"/>
            </w:pPr>
            <w:r>
              <w:t>&lt; 99,9%</w:t>
            </w:r>
          </w:p>
        </w:tc>
        <w:tc>
          <w:tcPr>
            <w:tcW w:w="5400" w:type="dxa"/>
          </w:tcPr>
          <w:p w14:paraId="0861B3A4" w14:textId="77777777" w:rsidR="0048402F" w:rsidRPr="005A3C16" w:rsidRDefault="0048402F" w:rsidP="00F01ED6">
            <w:pPr>
              <w:pStyle w:val="ProductList-OfferingBody"/>
              <w:jc w:val="center"/>
            </w:pPr>
            <w:r>
              <w:t>10%</w:t>
            </w:r>
          </w:p>
        </w:tc>
      </w:tr>
      <w:tr w:rsidR="0048402F" w:rsidRPr="00B44CF9" w14:paraId="05205DAD" w14:textId="77777777" w:rsidTr="00277097">
        <w:tc>
          <w:tcPr>
            <w:tcW w:w="5400" w:type="dxa"/>
          </w:tcPr>
          <w:p w14:paraId="456D24D3" w14:textId="77777777" w:rsidR="0048402F" w:rsidRPr="005A3C16" w:rsidRDefault="0048402F" w:rsidP="00F01ED6">
            <w:pPr>
              <w:pStyle w:val="ProductList-OfferingBody"/>
              <w:jc w:val="center"/>
            </w:pPr>
            <w:r>
              <w:t>&lt; 99%</w:t>
            </w:r>
          </w:p>
        </w:tc>
        <w:tc>
          <w:tcPr>
            <w:tcW w:w="5400" w:type="dxa"/>
          </w:tcPr>
          <w:p w14:paraId="072A8441" w14:textId="1E9FCDF3" w:rsidR="0048402F" w:rsidRPr="005A3C16" w:rsidRDefault="0048402F" w:rsidP="00F01ED6">
            <w:pPr>
              <w:pStyle w:val="ProductList-OfferingBody"/>
              <w:jc w:val="center"/>
            </w:pPr>
            <w:r>
              <w:t>30%</w:t>
            </w:r>
          </w:p>
        </w:tc>
      </w:tr>
    </w:tbl>
    <w:p w14:paraId="7925C666" w14:textId="5E3EECAE" w:rsidR="00111EE9" w:rsidRPr="0048402F" w:rsidRDefault="00EE6E3C" w:rsidP="00592BC4">
      <w:pPr>
        <w:pStyle w:val="ProductList-Body"/>
        <w:spacing w:before="120"/>
        <w:rPr>
          <w:b/>
          <w:bCs/>
          <w:color w:val="00188F"/>
        </w:rPr>
      </w:pPr>
      <w:r>
        <w:rPr>
          <w:b/>
          <w:bCs/>
          <w:color w:val="00188F"/>
        </w:rPr>
        <w:t>Cálculo do Período de Disponibilidade e Níveis de Serviço para as ferramentas de Gestão de VMware do Azure</w:t>
      </w:r>
    </w:p>
    <w:p w14:paraId="39393875" w14:textId="5687FDD4" w:rsidR="00111EE9" w:rsidRDefault="00380305" w:rsidP="00F01ED6">
      <w:pPr>
        <w:pStyle w:val="ProductList-Body"/>
      </w:pPr>
      <w:r>
        <w:t>“</w:t>
      </w:r>
      <w:r w:rsidR="00111EE9">
        <w:rPr>
          <w:b/>
          <w:bCs/>
          <w:color w:val="00188F"/>
        </w:rPr>
        <w:t>Máximo de Minutos Disponíveis</w:t>
      </w:r>
      <w:r>
        <w:t>”</w:t>
      </w:r>
      <w:r w:rsidR="00111EE9">
        <w:t xml:space="preserve"> designa o total acumulado de minutos durante um Período Aplicável para um determinado cluster de VMware, durante o qual as ferramentas de gestão do VMware do Azure foram implementadas numa subscrição do Microsoft Azure.</w:t>
      </w:r>
    </w:p>
    <w:p w14:paraId="6A3427D0" w14:textId="7DF84B27" w:rsidR="00111EE9" w:rsidRDefault="00380305" w:rsidP="00F01ED6">
      <w:pPr>
        <w:pStyle w:val="ProductList-Body"/>
      </w:pPr>
      <w:r>
        <w:t>“</w:t>
      </w:r>
      <w:r w:rsidR="00111EE9">
        <w:rPr>
          <w:b/>
          <w:bCs/>
          <w:color w:val="00188F"/>
        </w:rPr>
        <w:t>Período de Indisponibilidade</w:t>
      </w:r>
      <w:r>
        <w:t>”</w:t>
      </w:r>
      <w:r w:rsidR="00111EE9">
        <w:t xml:space="preserve"> designa o total acumulado do Máximo de Minutos Disponíveis durante um Período Aplicável para um determinado Cluster de VMware do Azure, durante o qual os Serviços de Gestão (vCenter Server e NSX Manager) estão indisponíveis. Considera-se que um determinado minuto está indisponível se</w:t>
      </w:r>
    </w:p>
    <w:p w14:paraId="03DFBFB1" w14:textId="77777777" w:rsidR="00111EE9" w:rsidRDefault="00111EE9">
      <w:pPr>
        <w:pStyle w:val="ProductList-Body"/>
        <w:keepNext/>
        <w:keepLines/>
        <w:numPr>
          <w:ilvl w:val="0"/>
          <w:numId w:val="17"/>
        </w:numPr>
      </w:pPr>
      <w:r>
        <w:t>O vCenter server não tiver qualquer conectividade durante quatro minutos consecutivos.</w:t>
      </w:r>
    </w:p>
    <w:p w14:paraId="39C99AFB" w14:textId="77777777" w:rsidR="00111EE9" w:rsidRDefault="00111EE9">
      <w:pPr>
        <w:pStyle w:val="ProductList-Body"/>
        <w:numPr>
          <w:ilvl w:val="0"/>
          <w:numId w:val="17"/>
        </w:numPr>
      </w:pPr>
      <w:r>
        <w:t>O NSX Manager não tiver qualquer conectividade durante quatro minutos consecutivos.</w:t>
      </w:r>
    </w:p>
    <w:p w14:paraId="064B5313" w14:textId="5C18C216" w:rsidR="00111EE9" w:rsidRDefault="00380305" w:rsidP="00F01ED6">
      <w:pPr>
        <w:pStyle w:val="ProductList-Body"/>
      </w:pPr>
      <w:r>
        <w:t>“</w:t>
      </w:r>
      <w:r w:rsidR="00111EE9">
        <w:rPr>
          <w:b/>
          <w:bCs/>
          <w:color w:val="00188F"/>
        </w:rPr>
        <w:t>Percentagem de Período de Disponibilidade</w:t>
      </w:r>
      <w:r>
        <w:t>”</w:t>
      </w:r>
      <w:r w:rsidR="00111EE9">
        <w:t xml:space="preserve"> A Percentagem de Período de Disponibilidade é calculada utilizando a seguinte fórmula:</w:t>
      </w:r>
    </w:p>
    <w:p w14:paraId="5E4EF5A0" w14:textId="178FBF51" w:rsidR="0048402F" w:rsidRPr="00EF7CF9" w:rsidRDefault="00000000" w:rsidP="00EC7241">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Período de Indisponibilidade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714D2D4E" w14:textId="30B312FE" w:rsidR="00111EE9" w:rsidRPr="0048402F" w:rsidRDefault="0048402F" w:rsidP="00F01ED6">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08C7392" w14:textId="77777777" w:rsidR="0048402F" w:rsidRPr="005A3C16" w:rsidRDefault="0048402F" w:rsidP="00F01ED6">
            <w:pPr>
              <w:pStyle w:val="ProductList-OfferingBody"/>
              <w:jc w:val="center"/>
              <w:rPr>
                <w:color w:val="FFFFFF" w:themeColor="background1"/>
              </w:rPr>
            </w:pPr>
            <w:r>
              <w:rPr>
                <w:color w:val="FFFFFF" w:themeColor="background1"/>
              </w:rPr>
              <w:t>Crédito de Serviço</w:t>
            </w:r>
          </w:p>
        </w:tc>
      </w:tr>
      <w:tr w:rsidR="0048402F" w:rsidRPr="00B44CF9" w14:paraId="2FA92FBE" w14:textId="77777777" w:rsidTr="00277097">
        <w:tc>
          <w:tcPr>
            <w:tcW w:w="5400" w:type="dxa"/>
          </w:tcPr>
          <w:p w14:paraId="364E37AF" w14:textId="77777777" w:rsidR="0048402F" w:rsidRPr="005A3C16" w:rsidRDefault="0048402F" w:rsidP="00F01ED6">
            <w:pPr>
              <w:pStyle w:val="ProductList-OfferingBody"/>
              <w:jc w:val="center"/>
            </w:pPr>
            <w:r>
              <w:t>&lt; 99,9%</w:t>
            </w:r>
          </w:p>
        </w:tc>
        <w:tc>
          <w:tcPr>
            <w:tcW w:w="5400" w:type="dxa"/>
          </w:tcPr>
          <w:p w14:paraId="71BB0B30" w14:textId="77777777" w:rsidR="0048402F" w:rsidRPr="005A3C16" w:rsidRDefault="0048402F" w:rsidP="00F01ED6">
            <w:pPr>
              <w:pStyle w:val="ProductList-OfferingBody"/>
              <w:jc w:val="center"/>
            </w:pPr>
            <w:r>
              <w:t>10%</w:t>
            </w:r>
          </w:p>
        </w:tc>
      </w:tr>
      <w:tr w:rsidR="0048402F" w:rsidRPr="00B44CF9" w14:paraId="0059F644" w14:textId="77777777" w:rsidTr="00277097">
        <w:tc>
          <w:tcPr>
            <w:tcW w:w="5400" w:type="dxa"/>
          </w:tcPr>
          <w:p w14:paraId="089956E1" w14:textId="77777777" w:rsidR="0048402F" w:rsidRPr="005A3C16" w:rsidRDefault="0048402F" w:rsidP="00F01ED6">
            <w:pPr>
              <w:pStyle w:val="ProductList-OfferingBody"/>
              <w:jc w:val="center"/>
            </w:pPr>
            <w:r>
              <w:t>&lt; 99%</w:t>
            </w:r>
          </w:p>
        </w:tc>
        <w:tc>
          <w:tcPr>
            <w:tcW w:w="5400" w:type="dxa"/>
          </w:tcPr>
          <w:p w14:paraId="7DA6BAD2" w14:textId="77777777" w:rsidR="0048402F" w:rsidRPr="005A3C16" w:rsidRDefault="0048402F" w:rsidP="00F01ED6">
            <w:pPr>
              <w:pStyle w:val="ProductList-OfferingBody"/>
              <w:jc w:val="center"/>
            </w:pPr>
            <w:r>
              <w:t>30%</w:t>
            </w:r>
          </w:p>
        </w:tc>
      </w:tr>
    </w:tbl>
    <w:p w14:paraId="117BC718"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BD958DA" w14:textId="0A34CA75" w:rsidR="00C074BC" w:rsidRPr="00C074BC" w:rsidRDefault="00C074BC" w:rsidP="008929C2">
      <w:pPr>
        <w:pStyle w:val="ProductList-Offering2Heading"/>
        <w:keepNext/>
        <w:outlineLvl w:val="2"/>
      </w:pPr>
      <w:bookmarkStart w:id="437" w:name="_Toc239176546"/>
      <w:r>
        <w:t>Azure VNet NAT</w:t>
      </w:r>
      <w:bookmarkEnd w:id="437"/>
    </w:p>
    <w:p w14:paraId="7C326E58" w14:textId="77777777" w:rsidR="00C074BC" w:rsidRPr="00C074BC" w:rsidRDefault="00C074BC" w:rsidP="00F01ED6">
      <w:pPr>
        <w:pStyle w:val="ProductList-Body"/>
        <w:rPr>
          <w:b/>
          <w:bCs/>
          <w:color w:val="00188F"/>
        </w:rPr>
      </w:pPr>
      <w:r>
        <w:rPr>
          <w:b/>
          <w:bCs/>
          <w:color w:val="00188F"/>
        </w:rPr>
        <w:t>Definições Adicionais</w:t>
      </w:r>
    </w:p>
    <w:p w14:paraId="35C02D4A" w14:textId="3362DB91" w:rsidR="00C074BC" w:rsidRDefault="00C074BC" w:rsidP="00F01ED6">
      <w:pPr>
        <w:pStyle w:val="ProductList-Body"/>
      </w:pPr>
      <w:r>
        <w:t xml:space="preserve">O </w:t>
      </w:r>
      <w:r w:rsidR="00380305">
        <w:t>“</w:t>
      </w:r>
      <w:r>
        <w:rPr>
          <w:b/>
          <w:bCs/>
          <w:color w:val="00188F"/>
        </w:rPr>
        <w:t>Endereço IP Público Estático</w:t>
      </w:r>
      <w:r w:rsidR="00380305">
        <w:t>”</w:t>
      </w:r>
      <w:r>
        <w:t xml:space="preserve"> é um endereço IP que foi configurado para a carga de trabalho de um utilizador. Um endereço IP estático não é</w:t>
      </w:r>
      <w:r w:rsidR="00EC57F2">
        <w:t> </w:t>
      </w:r>
      <w:r>
        <w:t>alterado.</w:t>
      </w:r>
    </w:p>
    <w:p w14:paraId="28DC0CC7" w14:textId="6F109093" w:rsidR="00C074BC" w:rsidRDefault="00380305" w:rsidP="00F01ED6">
      <w:pPr>
        <w:pStyle w:val="ProductList-Body"/>
      </w:pPr>
      <w:r>
        <w:t>“</w:t>
      </w:r>
      <w:r w:rsidR="00C074BC">
        <w:rPr>
          <w:b/>
          <w:bCs/>
          <w:color w:val="00188F"/>
        </w:rPr>
        <w:t>Tradução de Endereços de Rede</w:t>
      </w:r>
      <w:r>
        <w:t>”</w:t>
      </w:r>
      <w:r w:rsidR="00C074BC">
        <w:t xml:space="preserve"> é o processo de conversão de endereços IP privados de uma rede privada para um endereço IP público para permitir que múltiplos recursos informáticos do Azure (ou seja, máquinas virtuais) estabeleçam ligação à Internet através de um único endereço público.</w:t>
      </w:r>
    </w:p>
    <w:p w14:paraId="4957B914" w14:textId="7D77B30C" w:rsidR="00C074BC" w:rsidRDefault="00380305" w:rsidP="00F01ED6">
      <w:pPr>
        <w:pStyle w:val="ProductList-Body"/>
      </w:pPr>
      <w:r>
        <w:t>“</w:t>
      </w:r>
      <w:r w:rsidR="00C074BC">
        <w:rPr>
          <w:b/>
          <w:bCs/>
          <w:color w:val="00188F"/>
        </w:rPr>
        <w:t>Conectividade</w:t>
      </w:r>
      <w:r>
        <w:t>”</w:t>
      </w:r>
      <w:r w:rsidR="00C074BC">
        <w:t xml:space="preserve"> designa o tráfego de rede bidirecional através de protocolos de transporte IP suportados que podem ser enviados e recebidos de</w:t>
      </w:r>
      <w:r w:rsidR="00C4555E">
        <w:t> </w:t>
      </w:r>
      <w:r w:rsidR="00C074BC">
        <w:t>qualquer endereço IP configurado para permitir o tráfego.</w:t>
      </w:r>
    </w:p>
    <w:p w14:paraId="2CF65708" w14:textId="1B5730C9" w:rsidR="00C074BC" w:rsidRDefault="00380305" w:rsidP="00F01ED6">
      <w:pPr>
        <w:pStyle w:val="ProductList-Body"/>
      </w:pPr>
      <w:r>
        <w:t>“</w:t>
      </w:r>
      <w:r w:rsidR="00C074BC">
        <w:rPr>
          <w:b/>
          <w:bCs/>
          <w:color w:val="00188F"/>
        </w:rPr>
        <w:t>Tráfego de rede de saída</w:t>
      </w:r>
      <w:r>
        <w:t>”</w:t>
      </w:r>
      <w:r w:rsidR="00C074BC">
        <w:t xml:space="preserve"> é o tráfego que flui de uma rede privada para um ponto final público através da Internet.</w:t>
      </w:r>
    </w:p>
    <w:p w14:paraId="15FC86BD" w14:textId="79CA3363" w:rsidR="00C074BC" w:rsidRPr="00C074BC" w:rsidRDefault="00EE6E3C" w:rsidP="00F01ED6">
      <w:pPr>
        <w:pStyle w:val="ProductList-Body"/>
        <w:rPr>
          <w:b/>
          <w:bCs/>
          <w:color w:val="00188F"/>
        </w:rPr>
      </w:pPr>
      <w:r>
        <w:rPr>
          <w:b/>
          <w:bCs/>
          <w:color w:val="00188F"/>
        </w:rPr>
        <w:t>Cálculo do Período de Disponibilidade e Níveis de Serviço para NAT de Azure VNet</w:t>
      </w:r>
    </w:p>
    <w:p w14:paraId="13C9C4ED" w14:textId="5ECFE241" w:rsidR="00C074BC" w:rsidRDefault="00380305" w:rsidP="00F01ED6">
      <w:pPr>
        <w:pStyle w:val="ProductList-Body"/>
      </w:pPr>
      <w:r>
        <w:t>“</w:t>
      </w:r>
      <w:r w:rsidR="00C074BC">
        <w:rPr>
          <w:b/>
          <w:bCs/>
          <w:color w:val="00188F"/>
        </w:rPr>
        <w:t>Máximo de Minutos Disponíveis</w:t>
      </w:r>
      <w:r>
        <w:t>”</w:t>
      </w:r>
      <w:r w:rsidR="00C074BC">
        <w:t xml:space="preserve"> é o número total de minutos em que o NAT de Azure VNet (servindo duas ou mais Máquinas Virtuais Saudáveis) foi implementado pelo Cliente numa subscrição do Microsoft Azure durante um Período Aplicável.</w:t>
      </w:r>
    </w:p>
    <w:p w14:paraId="5DA3B703" w14:textId="74212F53" w:rsidR="00C074BC" w:rsidRDefault="00380305" w:rsidP="00F01ED6">
      <w:pPr>
        <w:pStyle w:val="ProductList-Body"/>
      </w:pPr>
      <w:r>
        <w:t>“</w:t>
      </w:r>
      <w:r w:rsidR="00C074BC">
        <w:rPr>
          <w:b/>
          <w:bCs/>
          <w:color w:val="00188F"/>
        </w:rPr>
        <w:t>Período de Indisponibilidade</w:t>
      </w:r>
      <w:r>
        <w:t>”</w:t>
      </w:r>
      <w:r w:rsidR="00C074BC">
        <w:t xml:space="preserve"> designa o número total de minutos no Máximo de Minutos Disponíveis durante o qual um determinado NAT de Azure VNet está indisponível. Um minuto é considerado indisponível se todas as Máquinas Virtuais Saudáveis não têm Conectividade através do ponto final de NAT de VNet. O Período de Indisponibilidade não inclui minutos resultantes de esgotamentos de portas SNAT.</w:t>
      </w:r>
    </w:p>
    <w:p w14:paraId="545A6DFC" w14:textId="6551894A" w:rsidR="00C074BC" w:rsidRDefault="00C074BC" w:rsidP="00F01ED6">
      <w:pPr>
        <w:pStyle w:val="ProductList-Body"/>
      </w:pPr>
      <w:r>
        <w:t xml:space="preserve">A </w:t>
      </w:r>
      <w:r w:rsidR="00380305">
        <w:t>“</w:t>
      </w:r>
      <w:r>
        <w:rPr>
          <w:b/>
          <w:bCs/>
          <w:color w:val="00188F"/>
        </w:rPr>
        <w:t>Percentagem de Período de Disponibilidade</w:t>
      </w:r>
      <w:r w:rsidR="00380305">
        <w:t>”</w:t>
      </w:r>
      <w:r>
        <w:t xml:space="preserve"> para o NAT de Azure VNet é calculada como o Máximo de Minutos Disponíveis menos o Período de Indisponibilidade, dividido pelo Máximo de Minutos Disponíveis num Período Aplicável multiplicado por 100.</w:t>
      </w:r>
    </w:p>
    <w:p w14:paraId="14D300FF" w14:textId="637DBE90" w:rsidR="00C074BC" w:rsidRDefault="00AC48A7" w:rsidP="00F01ED6">
      <w:pPr>
        <w:pStyle w:val="ProductList-Body"/>
      </w:pPr>
      <w:r>
        <w:t>A Percentagem de Período de Disponibilidade é representada pela seguinte fórmula:</w:t>
      </w:r>
    </w:p>
    <w:p w14:paraId="7623F496" w14:textId="0DFF9C0B" w:rsidR="00C074BC" w:rsidRPr="00EF7CF9" w:rsidRDefault="00000000" w:rsidP="008929C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Período de Indisponibilidade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254A7BEA" w14:textId="3F6DCF3A" w:rsidR="00C074BC" w:rsidRDefault="00C074BC" w:rsidP="00F01ED6">
      <w:pPr>
        <w:pStyle w:val="ProductList-Body"/>
      </w:pPr>
      <w:r>
        <w:t>Os seguintes Níveis de Serviço e Crédito de Serviço são aplicáveis ao uso que o Cliente faz do NAT Gateway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569BCB0" w14:textId="77777777" w:rsidR="00C074BC" w:rsidRPr="005A3C16" w:rsidRDefault="00C074BC" w:rsidP="00F01ED6">
            <w:pPr>
              <w:pStyle w:val="ProductList-OfferingBody"/>
              <w:jc w:val="center"/>
              <w:rPr>
                <w:color w:val="FFFFFF" w:themeColor="background1"/>
              </w:rPr>
            </w:pPr>
            <w:r>
              <w:rPr>
                <w:color w:val="FFFFFF" w:themeColor="background1"/>
              </w:rPr>
              <w:t>Crédito de Serviço</w:t>
            </w:r>
          </w:p>
        </w:tc>
      </w:tr>
      <w:tr w:rsidR="00C074BC" w:rsidRPr="00B44CF9" w14:paraId="46D64DFF" w14:textId="77777777" w:rsidTr="00277097">
        <w:tc>
          <w:tcPr>
            <w:tcW w:w="5400" w:type="dxa"/>
          </w:tcPr>
          <w:p w14:paraId="6BE5352A" w14:textId="795C5DE0" w:rsidR="00C074BC" w:rsidRPr="005A3C16" w:rsidRDefault="00C074BC" w:rsidP="00F01ED6">
            <w:pPr>
              <w:pStyle w:val="ProductList-OfferingBody"/>
              <w:jc w:val="center"/>
            </w:pPr>
            <w:r>
              <w:t>&lt; 99,99%</w:t>
            </w:r>
          </w:p>
        </w:tc>
        <w:tc>
          <w:tcPr>
            <w:tcW w:w="5400" w:type="dxa"/>
          </w:tcPr>
          <w:p w14:paraId="53358258" w14:textId="77777777" w:rsidR="00C074BC" w:rsidRPr="005A3C16" w:rsidRDefault="00C074BC" w:rsidP="00F01ED6">
            <w:pPr>
              <w:pStyle w:val="ProductList-OfferingBody"/>
              <w:jc w:val="center"/>
            </w:pPr>
            <w:r>
              <w:t>10%</w:t>
            </w:r>
          </w:p>
        </w:tc>
      </w:tr>
      <w:tr w:rsidR="00C074BC" w:rsidRPr="00B44CF9" w14:paraId="757DE237" w14:textId="77777777" w:rsidTr="00277097">
        <w:tc>
          <w:tcPr>
            <w:tcW w:w="5400" w:type="dxa"/>
          </w:tcPr>
          <w:p w14:paraId="267B1C49" w14:textId="3F6BCC6A" w:rsidR="00C074BC" w:rsidRPr="005A3C16" w:rsidRDefault="00C074BC" w:rsidP="00F01ED6">
            <w:pPr>
              <w:pStyle w:val="ProductList-OfferingBody"/>
              <w:jc w:val="center"/>
            </w:pPr>
            <w:r>
              <w:t>&lt; 99,9%</w:t>
            </w:r>
          </w:p>
        </w:tc>
        <w:tc>
          <w:tcPr>
            <w:tcW w:w="5400" w:type="dxa"/>
          </w:tcPr>
          <w:p w14:paraId="5BF8DE88" w14:textId="6FD720FA" w:rsidR="00C074BC" w:rsidRPr="005A3C16" w:rsidRDefault="00C074BC" w:rsidP="00F01ED6">
            <w:pPr>
              <w:pStyle w:val="ProductList-OfferingBody"/>
              <w:jc w:val="center"/>
            </w:pPr>
            <w:r>
              <w:t>25%</w:t>
            </w:r>
          </w:p>
        </w:tc>
      </w:tr>
    </w:tbl>
    <w:p w14:paraId="70670E97"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30F03E3" w14:textId="78881B1E" w:rsidR="004005AF" w:rsidRPr="00EF7CF9" w:rsidRDefault="004005AF" w:rsidP="0091798B">
      <w:pPr>
        <w:pStyle w:val="ProductList-Offering2Heading"/>
        <w:outlineLvl w:val="2"/>
      </w:pPr>
      <w:bookmarkStart w:id="438" w:name="_Toc239176547"/>
      <w:r>
        <w:t xml:space="preserve">Gateway de </w:t>
      </w:r>
      <w:bookmarkEnd w:id="428"/>
      <w:bookmarkEnd w:id="429"/>
      <w:r w:rsidR="00ED3D56" w:rsidRPr="00ED3D56">
        <w:t>Rede Virtual</w:t>
      </w:r>
      <w:bookmarkEnd w:id="438"/>
    </w:p>
    <w:p w14:paraId="3214EABD" w14:textId="77777777" w:rsidR="004005AF" w:rsidRPr="00EF7CF9" w:rsidRDefault="004005AF" w:rsidP="00F01ED6">
      <w:pPr>
        <w:pStyle w:val="ProductList-Body"/>
      </w:pPr>
      <w:r>
        <w:rPr>
          <w:b/>
          <w:color w:val="00188F"/>
        </w:rPr>
        <w:t>Definições Adicionais</w:t>
      </w:r>
      <w:r w:rsidRPr="00473DD3">
        <w:rPr>
          <w:b/>
          <w:color w:val="00188F"/>
        </w:rPr>
        <w:t>:</w:t>
      </w:r>
    </w:p>
    <w:p w14:paraId="2A63F778" w14:textId="77777777" w:rsidR="00837DB3" w:rsidRPr="00C730A5" w:rsidRDefault="00837DB3" w:rsidP="00837DB3">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sz w:val="18"/>
        </w:rPr>
        <w:t>“</w:t>
      </w:r>
      <w:r w:rsidRPr="00C730A5">
        <w:rPr>
          <w:rFonts w:ascii="Calibri" w:eastAsia="Calibri" w:hAnsi="Calibri" w:cs="Arial"/>
          <w:b/>
          <w:color w:val="00188F"/>
          <w:sz w:val="18"/>
        </w:rPr>
        <w:t>Máximo de Minutos Disponíveis</w:t>
      </w:r>
      <w:r w:rsidRPr="00C730A5">
        <w:rPr>
          <w:rFonts w:ascii="Calibri" w:eastAsia="Calibri" w:hAnsi="Calibri" w:cs="Arial"/>
          <w:sz w:val="18"/>
        </w:rPr>
        <w:t>” designa o total de minutos acumulados durante um Período Aplicável durante o qual um determinado Gateway de Rede Virtual foi implementado numa subscrição do Microsoft Azure.</w:t>
      </w:r>
    </w:p>
    <w:p w14:paraId="58198498" w14:textId="77777777" w:rsidR="00837DB3" w:rsidRPr="00C730A5" w:rsidRDefault="00837DB3" w:rsidP="00837DB3">
      <w:pPr>
        <w:tabs>
          <w:tab w:val="left" w:pos="360"/>
          <w:tab w:val="left" w:pos="720"/>
          <w:tab w:val="left" w:pos="1080"/>
        </w:tabs>
        <w:spacing w:after="40" w:line="240" w:lineRule="auto"/>
        <w:rPr>
          <w:rFonts w:ascii="Calibri" w:eastAsia="Calibri" w:hAnsi="Calibri" w:cs="Arial"/>
          <w:sz w:val="18"/>
        </w:rPr>
      </w:pPr>
      <w:r w:rsidRPr="00C730A5">
        <w:rPr>
          <w:rFonts w:ascii="Calibri" w:eastAsia="Calibri" w:hAnsi="Calibri" w:cs="Arial"/>
          <w:b/>
          <w:color w:val="00188F"/>
          <w:sz w:val="18"/>
        </w:rPr>
        <w:t>Período de Indisponibilidade</w:t>
      </w:r>
      <w:r w:rsidRPr="00C730A5">
        <w:rPr>
          <w:rFonts w:ascii="Calibri" w:eastAsia="Calibri" w:hAnsi="Calibri" w:cs="Arial"/>
          <w:b/>
          <w:bCs/>
          <w:sz w:val="18"/>
        </w:rPr>
        <w:t>:</w:t>
      </w:r>
      <w:r w:rsidRPr="00C730A5">
        <w:rPr>
          <w:rFonts w:ascii="Calibri" w:eastAsia="Calibri" w:hAnsi="Calibri" w:cs="Arial"/>
          <w:sz w:val="18"/>
        </w:rPr>
        <w:t xml:space="preserve"> É o total de Máximo de Minutos Disponíveis acumulados durante os quais o Gateway de Rede Virtual está indisponível. Um minuto é considerado indisponível se todas as tentativas de estabelecer ligação ao Gateway de Rede Virtual numa janela de trinta segundos durante esse minuto não forem bem-sucedidas.</w:t>
      </w:r>
    </w:p>
    <w:p w14:paraId="6600986D" w14:textId="77777777" w:rsidR="00837DB3" w:rsidRPr="00C730A5" w:rsidRDefault="00837DB3" w:rsidP="00837DB3">
      <w:pPr>
        <w:tabs>
          <w:tab w:val="left" w:pos="360"/>
          <w:tab w:val="left" w:pos="720"/>
          <w:tab w:val="left" w:pos="1080"/>
        </w:tabs>
        <w:spacing w:after="0" w:line="240" w:lineRule="auto"/>
        <w:rPr>
          <w:rFonts w:ascii="Calibri" w:eastAsia="Calibri" w:hAnsi="Calibri" w:cs="Arial"/>
          <w:sz w:val="18"/>
        </w:rPr>
      </w:pPr>
      <w:r w:rsidRPr="00C730A5">
        <w:rPr>
          <w:rFonts w:ascii="Calibri" w:eastAsia="Calibri" w:hAnsi="Calibri" w:cs="Arial"/>
          <w:b/>
          <w:color w:val="00188F"/>
          <w:sz w:val="18"/>
        </w:rPr>
        <w:t>Percentagem de Período de Disponibilidade</w:t>
      </w:r>
      <w:r w:rsidRPr="00C730A5">
        <w:rPr>
          <w:rFonts w:ascii="Calibri" w:eastAsia="Calibri" w:hAnsi="Calibri" w:cs="Arial"/>
          <w:b/>
          <w:bCs/>
          <w:sz w:val="18"/>
        </w:rPr>
        <w:t>:</w:t>
      </w:r>
      <w:r w:rsidRPr="00C730A5">
        <w:rPr>
          <w:rFonts w:ascii="Calibri" w:eastAsia="Calibri" w:hAnsi="Calibri" w:cs="Arial"/>
          <w:sz w:val="18"/>
        </w:rPr>
        <w:t xml:space="preserve"> A Percentagem de Período de Disponibilidade para um determinado Gateway de Rede Virtual é calculada como o Máximo de Minutos Disponíveis menos o Período de Indisponibilidade a dividir pelo Máximo de Minutos Disponíveis num Período Aplicável para o Gateway de Rede Virtual. A Percentagem de Período de Disponibilidade é representada pela seguinte fórmula:</w:t>
      </w:r>
    </w:p>
    <w:p w14:paraId="3DE745BB" w14:textId="77777777" w:rsidR="00837DB3" w:rsidRPr="00C730A5" w:rsidRDefault="00000000" w:rsidP="00EC7241">
      <w:pPr>
        <w:spacing w:before="120" w:after="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Máximo de Minutos Disponíveis-Período de Indisponibilidade</m:t>
              </m:r>
            </m:num>
            <m:den>
              <m:r>
                <m:rPr>
                  <m:nor/>
                </m:rPr>
                <w:rPr>
                  <w:rFonts w:ascii="Cambria Math" w:eastAsia="Calibri" w:hAnsi="Cambria Math" w:cs="Tahoma"/>
                  <w:i/>
                  <w:sz w:val="18"/>
                  <w:szCs w:val="18"/>
                </w:rPr>
                <m:t>Máximo de Minutos Disponíveis</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5E6CE48C" w14:textId="77777777" w:rsidR="00837DB3" w:rsidRPr="00C730A5" w:rsidRDefault="00837DB3" w:rsidP="00837DB3">
      <w:pPr>
        <w:tabs>
          <w:tab w:val="left" w:pos="360"/>
          <w:tab w:val="left" w:pos="720"/>
          <w:tab w:val="left" w:pos="1080"/>
        </w:tabs>
        <w:spacing w:after="0" w:line="240" w:lineRule="auto"/>
        <w:rPr>
          <w:rFonts w:ascii="Calibri" w:eastAsia="Calibri" w:hAnsi="Calibri" w:cs="Arial"/>
          <w:sz w:val="18"/>
        </w:rPr>
      </w:pPr>
      <w:r w:rsidRPr="00C730A5">
        <w:rPr>
          <w:rFonts w:ascii="Calibri" w:eastAsia="Calibri" w:hAnsi="Calibri" w:cs="Arial"/>
          <w:b/>
          <w:color w:val="00188F"/>
          <w:sz w:val="18"/>
        </w:rPr>
        <w:t>Os seguintes Níveis de Serviço e Créditos de Serviço são aplicáveis à utilização de cada Gateway de Rede Virtual por parte do Cliente</w:t>
      </w:r>
      <w:r w:rsidRPr="00C730A5">
        <w:rPr>
          <w:rFonts w:ascii="Calibri" w:eastAsia="Calibri" w:hAnsi="Calibri" w:cs="Arial"/>
          <w:sz w:val="18"/>
        </w:rPr>
        <w:t>:</w:t>
      </w:r>
    </w:p>
    <w:p w14:paraId="3E0B3097" w14:textId="77777777" w:rsidR="004005AF" w:rsidRPr="00EF7CF9" w:rsidRDefault="004005AF" w:rsidP="00110FE2">
      <w:pPr>
        <w:pStyle w:val="ProductList-Body"/>
        <w:ind w:left="360"/>
      </w:pPr>
      <w:r>
        <w:rPr>
          <w:b/>
          <w:color w:val="00188F"/>
        </w:rPr>
        <w:t>Crédito de Serviço de Gateway Basic para VPN ou ExpressRoute</w:t>
      </w:r>
      <w:r w:rsidRPr="00473DD3">
        <w:rPr>
          <w:b/>
          <w:color w:val="00188F"/>
        </w:rPr>
        <w:t>:</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90"/>
      </w:tblGrid>
      <w:tr w:rsidR="004005AF" w:rsidRPr="00B44CF9" w14:paraId="25735ADB" w14:textId="77777777" w:rsidTr="00A72CAC">
        <w:trPr>
          <w:tblHeader/>
        </w:trPr>
        <w:tc>
          <w:tcPr>
            <w:tcW w:w="5400" w:type="dxa"/>
            <w:shd w:val="clear" w:color="auto" w:fill="0072C6"/>
          </w:tcPr>
          <w:p w14:paraId="4E53F423" w14:textId="0F0061A5" w:rsidR="004005AF" w:rsidRPr="00EF7CF9" w:rsidRDefault="00AC48A7" w:rsidP="00F01ED6">
            <w:pPr>
              <w:pStyle w:val="ProductList-OfferingBody"/>
              <w:ind w:left="-23" w:firstLine="23"/>
              <w:jc w:val="center"/>
              <w:rPr>
                <w:color w:val="FFFFFF" w:themeColor="background1"/>
              </w:rPr>
            </w:pPr>
            <w:r>
              <w:rPr>
                <w:color w:val="FFFFFF" w:themeColor="background1"/>
              </w:rPr>
              <w:t>Percentagem de Período de Disponibilidade</w:t>
            </w:r>
          </w:p>
        </w:tc>
        <w:tc>
          <w:tcPr>
            <w:tcW w:w="5490" w:type="dxa"/>
            <w:shd w:val="clear" w:color="auto" w:fill="0072C6"/>
          </w:tcPr>
          <w:p w14:paraId="05C9B00B"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5AB7E201" w14:textId="77777777" w:rsidTr="00A72CAC">
        <w:tc>
          <w:tcPr>
            <w:tcW w:w="5400" w:type="dxa"/>
          </w:tcPr>
          <w:p w14:paraId="55715AA0" w14:textId="77777777" w:rsidR="004005AF" w:rsidRPr="00EF7CF9" w:rsidRDefault="004005AF" w:rsidP="00F01ED6">
            <w:pPr>
              <w:pStyle w:val="ProductList-OfferingBody"/>
              <w:ind w:left="-23" w:firstLine="23"/>
              <w:jc w:val="center"/>
            </w:pPr>
            <w:r>
              <w:t>&lt; 99,9%</w:t>
            </w:r>
          </w:p>
        </w:tc>
        <w:tc>
          <w:tcPr>
            <w:tcW w:w="5490" w:type="dxa"/>
          </w:tcPr>
          <w:p w14:paraId="78AE8882" w14:textId="77777777" w:rsidR="004005AF" w:rsidRPr="00EF7CF9" w:rsidRDefault="004005AF" w:rsidP="00F01ED6">
            <w:pPr>
              <w:pStyle w:val="ProductList-OfferingBody"/>
              <w:jc w:val="center"/>
            </w:pPr>
            <w:r>
              <w:t>10%</w:t>
            </w:r>
          </w:p>
        </w:tc>
      </w:tr>
      <w:tr w:rsidR="004005AF" w:rsidRPr="00B44CF9" w14:paraId="2272A8E6" w14:textId="77777777" w:rsidTr="00A72CAC">
        <w:tc>
          <w:tcPr>
            <w:tcW w:w="5400" w:type="dxa"/>
          </w:tcPr>
          <w:p w14:paraId="5B662717" w14:textId="77777777" w:rsidR="004005AF" w:rsidRPr="00EF7CF9" w:rsidRDefault="004005AF" w:rsidP="00F01ED6">
            <w:pPr>
              <w:pStyle w:val="ProductList-OfferingBody"/>
              <w:ind w:left="-23" w:firstLine="23"/>
              <w:jc w:val="center"/>
            </w:pPr>
            <w:r>
              <w:t>&lt; 99%</w:t>
            </w:r>
          </w:p>
        </w:tc>
        <w:tc>
          <w:tcPr>
            <w:tcW w:w="5490" w:type="dxa"/>
          </w:tcPr>
          <w:p w14:paraId="78F67851" w14:textId="77777777" w:rsidR="004005AF" w:rsidRPr="00EF7CF9" w:rsidRDefault="004005AF" w:rsidP="00F01ED6">
            <w:pPr>
              <w:pStyle w:val="ProductList-OfferingBody"/>
              <w:jc w:val="center"/>
            </w:pPr>
            <w:r>
              <w:t>25%</w:t>
            </w:r>
          </w:p>
        </w:tc>
      </w:tr>
    </w:tbl>
    <w:p w14:paraId="07CE327E" w14:textId="77777777" w:rsidR="004005AF" w:rsidRPr="00EF7CF9" w:rsidRDefault="004005AF" w:rsidP="00BC65E9">
      <w:pPr>
        <w:pStyle w:val="ProductList-Body"/>
        <w:spacing w:before="120"/>
        <w:ind w:left="360"/>
      </w:pPr>
      <w:r>
        <w:rPr>
          <w:b/>
          <w:bCs/>
          <w:color w:val="00188F"/>
        </w:rPr>
        <w:t>SKUs de Gateway para VPN e Gateway para ExpressRoute, excluindo o Básico</w:t>
      </w:r>
      <w:r w:rsidRPr="00473DD3">
        <w:rPr>
          <w:b/>
          <w:bCs/>
          <w:color w:val="00188F"/>
        </w:rPr>
        <w:t>:</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90"/>
      </w:tblGrid>
      <w:tr w:rsidR="004005AF" w:rsidRPr="00B44CF9" w14:paraId="3E8F65D1" w14:textId="77777777" w:rsidTr="00A72CAC">
        <w:trPr>
          <w:trHeight w:val="249"/>
          <w:tblHeader/>
        </w:trPr>
        <w:tc>
          <w:tcPr>
            <w:tcW w:w="5400" w:type="dxa"/>
            <w:shd w:val="clear" w:color="auto" w:fill="0072C6"/>
          </w:tcPr>
          <w:p w14:paraId="0C73C4F2" w14:textId="1CAEA70C" w:rsidR="004005A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90" w:type="dxa"/>
            <w:shd w:val="clear" w:color="auto" w:fill="0072C6"/>
          </w:tcPr>
          <w:p w14:paraId="50574218" w14:textId="77777777" w:rsidR="004005AF" w:rsidRPr="00EF7CF9" w:rsidRDefault="004005AF" w:rsidP="00F01ED6">
            <w:pPr>
              <w:pStyle w:val="ProductList-OfferingBody"/>
              <w:jc w:val="center"/>
              <w:rPr>
                <w:color w:val="FFFFFF" w:themeColor="background1"/>
              </w:rPr>
            </w:pPr>
            <w:r>
              <w:rPr>
                <w:color w:val="FFFFFF" w:themeColor="background1"/>
              </w:rPr>
              <w:t>Crédito de Serviço</w:t>
            </w:r>
          </w:p>
        </w:tc>
      </w:tr>
      <w:tr w:rsidR="004005AF" w:rsidRPr="00B44CF9" w14:paraId="20D2E025" w14:textId="77777777" w:rsidTr="00A72CAC">
        <w:trPr>
          <w:trHeight w:val="242"/>
        </w:trPr>
        <w:tc>
          <w:tcPr>
            <w:tcW w:w="5400" w:type="dxa"/>
          </w:tcPr>
          <w:p w14:paraId="1E41C743" w14:textId="77777777" w:rsidR="004005AF" w:rsidRPr="00EF7CF9" w:rsidRDefault="004005AF" w:rsidP="00F01ED6">
            <w:pPr>
              <w:pStyle w:val="ProductList-OfferingBody"/>
              <w:jc w:val="center"/>
            </w:pPr>
            <w:r>
              <w:t>&lt; 99,95%</w:t>
            </w:r>
          </w:p>
        </w:tc>
        <w:tc>
          <w:tcPr>
            <w:tcW w:w="5490" w:type="dxa"/>
          </w:tcPr>
          <w:p w14:paraId="5C8621FD" w14:textId="77777777" w:rsidR="004005AF" w:rsidRPr="00EF7CF9" w:rsidRDefault="004005AF" w:rsidP="00F01ED6">
            <w:pPr>
              <w:pStyle w:val="ProductList-OfferingBody"/>
              <w:jc w:val="center"/>
            </w:pPr>
            <w:r>
              <w:t>10%</w:t>
            </w:r>
          </w:p>
        </w:tc>
      </w:tr>
      <w:tr w:rsidR="004005AF" w:rsidRPr="00B44CF9" w14:paraId="6508444F" w14:textId="77777777" w:rsidTr="00A72CAC">
        <w:trPr>
          <w:trHeight w:val="249"/>
        </w:trPr>
        <w:tc>
          <w:tcPr>
            <w:tcW w:w="5400" w:type="dxa"/>
          </w:tcPr>
          <w:p w14:paraId="54EDC13C" w14:textId="77777777" w:rsidR="004005AF" w:rsidRPr="00EF7CF9" w:rsidRDefault="004005AF" w:rsidP="00F01ED6">
            <w:pPr>
              <w:pStyle w:val="ProductList-OfferingBody"/>
              <w:keepNext/>
              <w:jc w:val="center"/>
            </w:pPr>
            <w:r>
              <w:t>&lt; 99%</w:t>
            </w:r>
          </w:p>
        </w:tc>
        <w:tc>
          <w:tcPr>
            <w:tcW w:w="5490" w:type="dxa"/>
          </w:tcPr>
          <w:p w14:paraId="401AF3D0" w14:textId="77777777" w:rsidR="004005AF" w:rsidRPr="00EF7CF9" w:rsidRDefault="004005AF" w:rsidP="00F01ED6">
            <w:pPr>
              <w:pStyle w:val="ProductList-OfferingBody"/>
              <w:keepNext/>
              <w:jc w:val="center"/>
            </w:pPr>
            <w:r>
              <w:t>25%</w:t>
            </w:r>
          </w:p>
        </w:tc>
      </w:tr>
    </w:tbl>
    <w:bookmarkEnd w:id="430"/>
    <w:bookmarkEnd w:id="431"/>
    <w:bookmarkEnd w:id="432"/>
    <w:bookmarkEnd w:id="433"/>
    <w:bookmarkEnd w:id="434"/>
    <w:p w14:paraId="4BB3D360"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1D0785CF" w14:textId="77777777" w:rsidR="00637D9A" w:rsidRPr="00637D9A" w:rsidRDefault="00637D9A" w:rsidP="00F01ED6">
      <w:pPr>
        <w:pStyle w:val="ProductList-Offering2Heading"/>
        <w:keepNext/>
        <w:outlineLvl w:val="2"/>
      </w:pPr>
      <w:bookmarkStart w:id="439" w:name="_Toc239176548"/>
      <w:r>
        <w:lastRenderedPageBreak/>
        <w:t>Azure Web PubSub</w:t>
      </w:r>
      <w:bookmarkEnd w:id="439"/>
    </w:p>
    <w:p w14:paraId="44A5270C" w14:textId="77777777" w:rsidR="00637D9A" w:rsidRPr="00637D9A" w:rsidRDefault="00637D9A" w:rsidP="00F01ED6">
      <w:pPr>
        <w:pStyle w:val="ProductList-Body"/>
        <w:rPr>
          <w:b/>
          <w:bCs/>
          <w:color w:val="00188F"/>
        </w:rPr>
      </w:pPr>
      <w:r>
        <w:rPr>
          <w:b/>
          <w:bCs/>
          <w:color w:val="00188F"/>
        </w:rPr>
        <w:t>Definições Adicionais</w:t>
      </w:r>
    </w:p>
    <w:p w14:paraId="0ED7D0D4" w14:textId="580148E0" w:rsidR="00637D9A" w:rsidRDefault="00380305" w:rsidP="00F01ED6">
      <w:pPr>
        <w:pStyle w:val="ProductList-Body"/>
      </w:pPr>
      <w:r>
        <w:t>“</w:t>
      </w:r>
      <w:r w:rsidR="00637D9A">
        <w:rPr>
          <w:b/>
          <w:bCs/>
          <w:color w:val="00188F"/>
        </w:rPr>
        <w:t>Ponto Final do serviço Web PubSub</w:t>
      </w:r>
      <w:r>
        <w:t>”</w:t>
      </w:r>
      <w:r w:rsidR="00637D9A">
        <w:t xml:space="preserve"> é o nome do anfitrião a partir do qual o serviço Web PubSub é acedido pelos servidores ou clientes para realizar as transações Web PubSub.</w:t>
      </w:r>
    </w:p>
    <w:p w14:paraId="3F676377" w14:textId="57AB3D97" w:rsidR="00637D9A" w:rsidRDefault="00380305" w:rsidP="00F01ED6">
      <w:pPr>
        <w:pStyle w:val="ProductList-Body"/>
      </w:pPr>
      <w:r>
        <w:t>“</w:t>
      </w:r>
      <w:r w:rsidR="00637D9A">
        <w:rPr>
          <w:b/>
          <w:bCs/>
          <w:color w:val="00188F"/>
        </w:rPr>
        <w:t>Transações Web PubSub</w:t>
      </w:r>
      <w:r>
        <w:t>”</w:t>
      </w:r>
      <w:r w:rsidR="00637D9A">
        <w:t xml:space="preserve"> é um conjunto de pedidos de transação enviado pelo cliente para o servidor ou do servidor para o cliente através de um</w:t>
      </w:r>
      <w:r w:rsidR="00AB03DB">
        <w:t> </w:t>
      </w:r>
      <w:r w:rsidR="00637D9A">
        <w:t>Ponto Final do serviço Web PubSub. Estes pedidos de transação incluem a configuração da ligação entre o servidor/cliente e o Ponto Final de</w:t>
      </w:r>
      <w:r w:rsidR="00AB03DB">
        <w:t> </w:t>
      </w:r>
      <w:r w:rsidR="00637D9A">
        <w:t>serviço do Web PubSub ou o envio das mensagens através do Ponto Final do serviço Web PubSub.</w:t>
      </w:r>
    </w:p>
    <w:p w14:paraId="7A6D697D" w14:textId="734B425C" w:rsidR="00637D9A" w:rsidRPr="00637D9A" w:rsidRDefault="00EE6E3C" w:rsidP="00F01ED6">
      <w:pPr>
        <w:pStyle w:val="ProductList-Body"/>
        <w:rPr>
          <w:b/>
          <w:bCs/>
          <w:color w:val="00188F"/>
        </w:rPr>
      </w:pPr>
      <w:r>
        <w:rPr>
          <w:b/>
          <w:bCs/>
          <w:color w:val="00188F"/>
        </w:rPr>
        <w:t>Cálculo do Período de Disponibilidade e Níveis de Serviço para a Instância do serviço Web PubSub</w:t>
      </w:r>
    </w:p>
    <w:p w14:paraId="5274C6D6" w14:textId="7D135CFF" w:rsidR="00637D9A" w:rsidRDefault="00380305" w:rsidP="00F01ED6">
      <w:pPr>
        <w:pStyle w:val="ProductList-Body"/>
      </w:pPr>
      <w:r>
        <w:t>“</w:t>
      </w:r>
      <w:r w:rsidR="00637D9A">
        <w:rPr>
          <w:b/>
          <w:bCs/>
          <w:color w:val="00188F"/>
        </w:rPr>
        <w:t>Máximo de Minutos Disponíveis</w:t>
      </w:r>
      <w:r>
        <w:t>”</w:t>
      </w:r>
      <w:r w:rsidR="00637D9A">
        <w:t xml:space="preserve"> é o número total de minutos durante os quais foi implementado o serviço Web PubSub pelo Cliente numa subscrição do Microsoft Azure, durante um Período Aplicável.</w:t>
      </w:r>
    </w:p>
    <w:p w14:paraId="54F466A0" w14:textId="4EFE100F" w:rsidR="00637D9A" w:rsidRPr="0074049A" w:rsidRDefault="00380305" w:rsidP="00F01ED6">
      <w:pPr>
        <w:pStyle w:val="ProductList-Body"/>
        <w:rPr>
          <w:spacing w:val="-2"/>
        </w:rPr>
      </w:pPr>
      <w:r>
        <w:rPr>
          <w:spacing w:val="-2"/>
        </w:rPr>
        <w:t>“</w:t>
      </w:r>
      <w:r w:rsidR="00637D9A" w:rsidRPr="0074049A">
        <w:rPr>
          <w:b/>
          <w:bCs/>
          <w:color w:val="00188F"/>
          <w:spacing w:val="-2"/>
        </w:rPr>
        <w:t>Período de Indisponibilidade:</w:t>
      </w:r>
      <w:r>
        <w:rPr>
          <w:spacing w:val="-2"/>
        </w:rPr>
        <w:t>”</w:t>
      </w:r>
      <w:r w:rsidR="00637D9A" w:rsidRPr="0074049A">
        <w:rPr>
          <w:spacing w:val="-2"/>
        </w:rPr>
        <w:t xml:space="preserve"> designa o total acumulado de Máximo de Minutos Disponíveis durante um Período Aplicável para o serviço Web PubSub durante o qual o serviço Web PubSub está indisponível. Considera-se um determinado minuto como indisponível se todas as tentativas de envio de transações Web PubSub durante esse minuto devolverem um Código de Erro ou não resultarem num Código de Sucesso durante um minuto.</w:t>
      </w:r>
    </w:p>
    <w:p w14:paraId="2D69C325" w14:textId="42DD7B43" w:rsidR="00637D9A" w:rsidRDefault="00637D9A" w:rsidP="00F01ED6">
      <w:pPr>
        <w:pStyle w:val="ProductList-Body"/>
      </w:pPr>
      <w:r>
        <w:t xml:space="preserve">A </w:t>
      </w:r>
      <w:r w:rsidR="00380305">
        <w:t>“</w:t>
      </w:r>
      <w:r>
        <w:rPr>
          <w:b/>
          <w:bCs/>
          <w:color w:val="00188F"/>
        </w:rPr>
        <w:t>Percentagem de Período de Disponibilidade</w:t>
      </w:r>
      <w:r w:rsidR="00380305">
        <w:t>”</w:t>
      </w:r>
      <w:r>
        <w:t xml:space="preserve"> para o serviço Web PubSub é calculada como o Máximo de Minutos Disponíveis menos o Período de Indisponibilidade a dividir pelo Máximo de Minutos Disponíveis.</w:t>
      </w:r>
    </w:p>
    <w:p w14:paraId="61D19559" w14:textId="75F68B45" w:rsidR="00637D9A" w:rsidRDefault="00AC48A7" w:rsidP="00F01ED6">
      <w:pPr>
        <w:pStyle w:val="ProductList-Body"/>
      </w:pPr>
      <w:r>
        <w:t>A Percentagem de Período de Disponibilidade é representada pela seguinte fórmula:</w:t>
      </w:r>
    </w:p>
    <w:p w14:paraId="062095F6" w14:textId="588D38CA" w:rsidR="00A21B39" w:rsidRPr="00EF7CF9" w:rsidRDefault="00000000" w:rsidP="003A632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2EDCA498" w14:textId="719E06F0" w:rsidR="00637D9A" w:rsidRPr="00A21B39" w:rsidRDefault="00637D9A" w:rsidP="00F01ED6">
      <w:pPr>
        <w:pStyle w:val="ProductList-Body"/>
        <w:rPr>
          <w:b/>
          <w:bCs/>
          <w:color w:val="00188F"/>
        </w:rPr>
      </w:pPr>
      <w:r>
        <w:rPr>
          <w:b/>
          <w:bCs/>
          <w:color w:val="00188F"/>
        </w:rPr>
        <w:t xml:space="preserve">Os seguintes Níveis de Serviço e Créditos de Serviço são aplicáveis à utilização que o Cliente faz das camadas Standard do serviço Web PubSub.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A72CAC">
        <w:trPr>
          <w:trHeight w:val="249"/>
          <w:tblHeader/>
        </w:trPr>
        <w:tc>
          <w:tcPr>
            <w:tcW w:w="5220" w:type="dxa"/>
            <w:shd w:val="clear" w:color="auto" w:fill="0072C6"/>
          </w:tcPr>
          <w:p w14:paraId="6152B28C" w14:textId="0E49D5BF" w:rsidR="00A21B39"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580" w:type="dxa"/>
            <w:shd w:val="clear" w:color="auto" w:fill="0072C6"/>
          </w:tcPr>
          <w:p w14:paraId="3C987E79" w14:textId="77777777" w:rsidR="00A21B39" w:rsidRPr="00EF7CF9" w:rsidRDefault="00A21B39" w:rsidP="00F01ED6">
            <w:pPr>
              <w:pStyle w:val="ProductList-OfferingBody"/>
              <w:jc w:val="center"/>
              <w:rPr>
                <w:color w:val="FFFFFF" w:themeColor="background1"/>
              </w:rPr>
            </w:pPr>
            <w:r>
              <w:rPr>
                <w:color w:val="FFFFFF" w:themeColor="background1"/>
              </w:rPr>
              <w:t>Crédito de Serviço</w:t>
            </w:r>
          </w:p>
        </w:tc>
      </w:tr>
      <w:tr w:rsidR="00A21B39" w:rsidRPr="00B44CF9" w14:paraId="57CB3DBA" w14:textId="77777777" w:rsidTr="00A72CAC">
        <w:trPr>
          <w:trHeight w:val="242"/>
        </w:trPr>
        <w:tc>
          <w:tcPr>
            <w:tcW w:w="5220" w:type="dxa"/>
          </w:tcPr>
          <w:p w14:paraId="3AD3F0BF" w14:textId="24FDC99B" w:rsidR="00A21B39" w:rsidRPr="00EF7CF9" w:rsidRDefault="00A21B39" w:rsidP="00F01ED6">
            <w:pPr>
              <w:pStyle w:val="ProductList-OfferingBody"/>
              <w:jc w:val="center"/>
            </w:pPr>
            <w:r>
              <w:t>&lt; 99,9%</w:t>
            </w:r>
          </w:p>
        </w:tc>
        <w:tc>
          <w:tcPr>
            <w:tcW w:w="5580" w:type="dxa"/>
          </w:tcPr>
          <w:p w14:paraId="6FC79C7C" w14:textId="77777777" w:rsidR="00A21B39" w:rsidRPr="00EF7CF9" w:rsidRDefault="00A21B39" w:rsidP="00F01ED6">
            <w:pPr>
              <w:pStyle w:val="ProductList-OfferingBody"/>
              <w:jc w:val="center"/>
            </w:pPr>
            <w:r>
              <w:t>10%</w:t>
            </w:r>
          </w:p>
        </w:tc>
      </w:tr>
      <w:tr w:rsidR="00A21B39" w:rsidRPr="00B44CF9" w14:paraId="04DCC853" w14:textId="77777777" w:rsidTr="00A72CAC">
        <w:trPr>
          <w:trHeight w:val="249"/>
        </w:trPr>
        <w:tc>
          <w:tcPr>
            <w:tcW w:w="5220" w:type="dxa"/>
          </w:tcPr>
          <w:p w14:paraId="2B0BEC00" w14:textId="77777777" w:rsidR="00A21B39" w:rsidRPr="00EF7CF9" w:rsidRDefault="00A21B39" w:rsidP="00F01ED6">
            <w:pPr>
              <w:pStyle w:val="ProductList-OfferingBody"/>
              <w:keepNext/>
              <w:jc w:val="center"/>
            </w:pPr>
            <w:r>
              <w:t>&lt; 99%</w:t>
            </w:r>
          </w:p>
        </w:tc>
        <w:tc>
          <w:tcPr>
            <w:tcW w:w="5580" w:type="dxa"/>
          </w:tcPr>
          <w:p w14:paraId="03699744" w14:textId="77777777" w:rsidR="00A21B39" w:rsidRPr="00EF7CF9" w:rsidRDefault="00A21B39" w:rsidP="00F01ED6">
            <w:pPr>
              <w:pStyle w:val="ProductList-OfferingBody"/>
              <w:keepNext/>
              <w:jc w:val="center"/>
            </w:pPr>
            <w:r>
              <w:t>25%</w:t>
            </w:r>
          </w:p>
        </w:tc>
      </w:tr>
    </w:tbl>
    <w:p w14:paraId="5EDF5F69"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E5FA765" w14:textId="7BDB580B" w:rsidR="0054334B" w:rsidRPr="002D6760" w:rsidRDefault="0054334B" w:rsidP="00F01ED6">
      <w:pPr>
        <w:pStyle w:val="ProductList-Offering2Heading"/>
        <w:keepNext/>
        <w:outlineLvl w:val="2"/>
      </w:pPr>
      <w:bookmarkStart w:id="440" w:name="_Toc239176549"/>
      <w:r>
        <w:t>Windows 10 IoT Core Services</w:t>
      </w:r>
      <w:bookmarkEnd w:id="440"/>
    </w:p>
    <w:p w14:paraId="66A5ACEC" w14:textId="438CD4D1" w:rsidR="0054334B" w:rsidRPr="002D6760" w:rsidRDefault="00EE6E3C" w:rsidP="00F01ED6">
      <w:pPr>
        <w:pStyle w:val="ProductList-Body"/>
        <w:rPr>
          <w:b/>
          <w:bCs/>
          <w:color w:val="00188F"/>
        </w:rPr>
      </w:pPr>
      <w:r>
        <w:rPr>
          <w:b/>
          <w:bCs/>
          <w:color w:val="00188F"/>
        </w:rPr>
        <w:t>Cálculo do Período de Disponibilidade e Níveis de Serviço para os Serviços do Windows 10 IoT Core</w:t>
      </w:r>
    </w:p>
    <w:p w14:paraId="7CE7D4D7" w14:textId="17A13404" w:rsidR="0054334B" w:rsidRDefault="00380305" w:rsidP="00F01ED6">
      <w:pPr>
        <w:pStyle w:val="ProductList-Body"/>
      </w:pPr>
      <w:r>
        <w:t>“</w:t>
      </w:r>
      <w:r w:rsidR="0054334B">
        <w:rPr>
          <w:b/>
          <w:bCs/>
          <w:color w:val="00188F"/>
        </w:rPr>
        <w:t>Máximo de Minutos Disponíveis</w:t>
      </w:r>
      <w:r>
        <w:t>”</w:t>
      </w:r>
      <w:r w:rsidR="0054334B">
        <w:t xml:space="preserve"> designa o número total de minutos para um determinado Serviço do Windows 10 IoT Core implementado numa determinada subscrição do Microsoft Azure durante um Período Aplicável.</w:t>
      </w:r>
    </w:p>
    <w:p w14:paraId="64DD26A7" w14:textId="1F78715C" w:rsidR="0054334B" w:rsidRDefault="00380305" w:rsidP="00F01ED6">
      <w:pPr>
        <w:pStyle w:val="ProductList-Body"/>
      </w:pPr>
      <w:r>
        <w:t>“</w:t>
      </w:r>
      <w:r w:rsidR="0054334B">
        <w:rPr>
          <w:b/>
          <w:bCs/>
          <w:color w:val="00188F"/>
        </w:rPr>
        <w:t>Período de Indisponibilidade</w:t>
      </w:r>
      <w:r>
        <w:t>”</w:t>
      </w:r>
      <w:r w:rsidR="0054334B">
        <w:t xml:space="preserve"> designa o número total de minutos no Máximo de Minutos Disponíveis durante o qual os Serviços do Windows 10 IoT Core estão indisponíveis. Um minuto é considerado indisponível para uma determinada instância dos Serviços do Windows 10 IoT Core se todas as tentativas contínuas para iniciar sessão no Centro de Atualização do Dispositivo ou executar Operações no Centro de Atualização do Dispositivo durante esse minuto devolverem um Código de Erro ou não resultarem num Código de Êxito no prazo de dois minutos.</w:t>
      </w:r>
    </w:p>
    <w:p w14:paraId="1320B9E6" w14:textId="1DBBE274" w:rsidR="0054334B" w:rsidRDefault="00380305" w:rsidP="00F01ED6">
      <w:pPr>
        <w:pStyle w:val="ProductList-Body"/>
      </w:pPr>
      <w:r>
        <w:t>“</w:t>
      </w:r>
      <w:r w:rsidR="0054334B">
        <w:rPr>
          <w:b/>
          <w:bCs/>
          <w:color w:val="00188F"/>
        </w:rPr>
        <w:t>Percentagem de Período de Disponibilidade</w:t>
      </w:r>
      <w:r>
        <w:t>”</w:t>
      </w:r>
      <w:r w:rsidR="0054334B">
        <w:t xml:space="preserve"> A Percentagem de Período de Disponibilidade é calculada utilizando a seguinte fórmula:</w:t>
      </w:r>
    </w:p>
    <w:p w14:paraId="32206A53" w14:textId="49B20839" w:rsidR="0054334B" w:rsidRPr="00EF7CF9" w:rsidRDefault="00000000" w:rsidP="003A632A">
      <w:pPr>
        <w:spacing w:before="120" w:after="120" w:line="240" w:lineRule="auto"/>
        <w:jc w:val="both"/>
        <w:rPr>
          <w:sz w:val="18"/>
          <w:szCs w:val="18"/>
        </w:rPr>
      </w:pPr>
      <m:oMathPara>
        <m:oMathParaPr>
          <m:jc m:val="center"/>
        </m:oMathParaPr>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Período de Indisponibilidade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209BD2F6" w14:textId="77777777" w:rsidR="0054334B" w:rsidRPr="00E51CB1" w:rsidRDefault="0054334B" w:rsidP="00F01ED6">
      <w:pPr>
        <w:pStyle w:val="ProductList-Body"/>
        <w:keepNext/>
        <w:rPr>
          <w:b/>
          <w:bCs/>
          <w:color w:val="00188F"/>
        </w:rPr>
      </w:pPr>
      <w:r>
        <w:rPr>
          <w:b/>
          <w:bCs/>
          <w:color w:val="00188F"/>
        </w:rPr>
        <w:t>Os seguintes Níveis de Serviço e Créditos de Serviço são aplicáveis à utilização que o Cliente faz dos Serviços do Windows 10 IoT Core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2DD8B523" w14:textId="77777777" w:rsidR="0054334B" w:rsidRPr="00EF7CF9" w:rsidRDefault="0054334B" w:rsidP="00F01ED6">
            <w:pPr>
              <w:pStyle w:val="ProductList-OfferingBody"/>
              <w:jc w:val="center"/>
              <w:rPr>
                <w:color w:val="FFFFFF" w:themeColor="background1"/>
              </w:rPr>
            </w:pPr>
            <w:r>
              <w:rPr>
                <w:color w:val="FFFFFF" w:themeColor="background1"/>
              </w:rPr>
              <w:t>Crédito de Serviço</w:t>
            </w:r>
          </w:p>
        </w:tc>
      </w:tr>
      <w:tr w:rsidR="0054334B" w:rsidRPr="00B44CF9" w14:paraId="0A48226B" w14:textId="77777777" w:rsidTr="00277097">
        <w:tc>
          <w:tcPr>
            <w:tcW w:w="5400" w:type="dxa"/>
          </w:tcPr>
          <w:p w14:paraId="25C74862" w14:textId="77777777" w:rsidR="0054334B" w:rsidRPr="00EF7CF9" w:rsidRDefault="0054334B" w:rsidP="00F01ED6">
            <w:pPr>
              <w:pStyle w:val="ProductList-OfferingBody"/>
              <w:jc w:val="center"/>
            </w:pPr>
            <w:r>
              <w:t>&lt; 99,9%</w:t>
            </w:r>
          </w:p>
        </w:tc>
        <w:tc>
          <w:tcPr>
            <w:tcW w:w="5400" w:type="dxa"/>
          </w:tcPr>
          <w:p w14:paraId="6930A573" w14:textId="77777777" w:rsidR="0054334B" w:rsidRPr="00EF7CF9" w:rsidRDefault="0054334B" w:rsidP="00F01ED6">
            <w:pPr>
              <w:pStyle w:val="ProductList-OfferingBody"/>
              <w:jc w:val="center"/>
            </w:pPr>
            <w:r>
              <w:t>10%</w:t>
            </w:r>
          </w:p>
        </w:tc>
      </w:tr>
      <w:tr w:rsidR="0054334B" w:rsidRPr="00B44CF9" w14:paraId="729307E9" w14:textId="77777777" w:rsidTr="00277097">
        <w:tc>
          <w:tcPr>
            <w:tcW w:w="5400" w:type="dxa"/>
          </w:tcPr>
          <w:p w14:paraId="0C5D1D18" w14:textId="77777777" w:rsidR="0054334B" w:rsidRPr="00EF7CF9" w:rsidRDefault="0054334B" w:rsidP="00F01ED6">
            <w:pPr>
              <w:pStyle w:val="ProductList-OfferingBody"/>
              <w:jc w:val="center"/>
            </w:pPr>
            <w:r>
              <w:t>&lt; 99%</w:t>
            </w:r>
          </w:p>
        </w:tc>
        <w:tc>
          <w:tcPr>
            <w:tcW w:w="5400" w:type="dxa"/>
          </w:tcPr>
          <w:p w14:paraId="6B31DA5D" w14:textId="77777777" w:rsidR="0054334B" w:rsidRPr="00EF7CF9" w:rsidRDefault="0054334B" w:rsidP="00F01ED6">
            <w:pPr>
              <w:pStyle w:val="ProductList-OfferingBody"/>
              <w:keepNext/>
              <w:jc w:val="center"/>
            </w:pPr>
            <w:r>
              <w:t>25%</w:t>
            </w:r>
          </w:p>
        </w:tc>
      </w:tr>
    </w:tbl>
    <w:p w14:paraId="4D29A508"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1E8BDC16" w14:textId="75A82A64" w:rsidR="003A16EB" w:rsidRPr="00EF7CF9" w:rsidRDefault="003A16EB" w:rsidP="00E55E03">
      <w:pPr>
        <w:pStyle w:val="ProductList-OfferingGroupHeading"/>
        <w:keepNext/>
        <w:pageBreakBefore/>
        <w:tabs>
          <w:tab w:val="clear" w:pos="360"/>
          <w:tab w:val="clear" w:pos="720"/>
          <w:tab w:val="clear" w:pos="1080"/>
        </w:tabs>
        <w:outlineLvl w:val="1"/>
      </w:pPr>
      <w:bookmarkStart w:id="441" w:name="_Toc239176550"/>
      <w:r>
        <w:lastRenderedPageBreak/>
        <w:t>Outros Serviços Online</w:t>
      </w:r>
      <w:bookmarkEnd w:id="114"/>
      <w:bookmarkEnd w:id="441"/>
    </w:p>
    <w:p w14:paraId="7002A494" w14:textId="77777777" w:rsidR="00657A3A" w:rsidRDefault="00657A3A" w:rsidP="00F01ED6">
      <w:pPr>
        <w:pStyle w:val="ProductList-Offering2Heading"/>
        <w:tabs>
          <w:tab w:val="clear" w:pos="360"/>
          <w:tab w:val="clear" w:pos="720"/>
          <w:tab w:val="clear" w:pos="1080"/>
        </w:tabs>
        <w:outlineLvl w:val="2"/>
      </w:pPr>
      <w:bookmarkStart w:id="442" w:name="_Toc55920316"/>
      <w:bookmarkStart w:id="443" w:name="_Toc239176551"/>
      <w:bookmarkStart w:id="444" w:name="MicrosoftDefenderforIdentity"/>
      <w:bookmarkStart w:id="445" w:name="_Toc457821592"/>
      <w:r>
        <w:t>Microsoft Defender para Identidade</w:t>
      </w:r>
      <w:bookmarkEnd w:id="442"/>
      <w:bookmarkEnd w:id="443"/>
    </w:p>
    <w:bookmarkEnd w:id="444"/>
    <w:p w14:paraId="3070A80B" w14:textId="77777777" w:rsidR="00657A3A" w:rsidRPr="00DA6241" w:rsidRDefault="00657A3A" w:rsidP="00F01ED6">
      <w:pPr>
        <w:pStyle w:val="ProductList-Body"/>
      </w:pPr>
      <w:r>
        <w:rPr>
          <w:b/>
          <w:color w:val="00188F"/>
        </w:rPr>
        <w:t>Definições Adicionais</w:t>
      </w:r>
      <w:r w:rsidRPr="00473DD3">
        <w:rPr>
          <w:b/>
          <w:color w:val="00188F"/>
        </w:rPr>
        <w:t>:</w:t>
      </w:r>
    </w:p>
    <w:p w14:paraId="7B084D0A" w14:textId="63002500" w:rsidR="00ED3A16" w:rsidRDefault="00380305" w:rsidP="00F01ED6">
      <w:pPr>
        <w:spacing w:after="0" w:line="240" w:lineRule="auto"/>
        <w:rPr>
          <w:sz w:val="18"/>
        </w:rPr>
      </w:pPr>
      <w:r>
        <w:rPr>
          <w:sz w:val="18"/>
        </w:rPr>
        <w:t>“</w:t>
      </w:r>
      <w:r w:rsidR="00657A3A">
        <w:rPr>
          <w:b/>
          <w:color w:val="00188F"/>
          <w:sz w:val="18"/>
        </w:rPr>
        <w:t>Período de Indisponibilidade:</w:t>
      </w:r>
      <w:r>
        <w:rPr>
          <w:sz w:val="18"/>
        </w:rPr>
        <w:t>”</w:t>
      </w:r>
      <w:r w:rsidR="00657A3A">
        <w:rPr>
          <w:sz w:val="18"/>
        </w:rPr>
        <w:t xml:space="preserve"> designa Qualquer período de tempo durante o qual o administrador não consegue aceder ao portal do Microsoft Defender para Identidade.</w:t>
      </w:r>
    </w:p>
    <w:p w14:paraId="08807E89" w14:textId="069779A6" w:rsidR="00ED3A16" w:rsidRPr="00CE181C" w:rsidRDefault="00AC48A7" w:rsidP="00F01ED6">
      <w:pPr>
        <w:pStyle w:val="ProductList-Body"/>
      </w:pPr>
      <w:r>
        <w:rPr>
          <w:b/>
          <w:bCs/>
          <w:color w:val="00188F"/>
        </w:rPr>
        <w:t>Percentagem de Período de Disponibilidade</w:t>
      </w:r>
      <w:r w:rsidRPr="00473DD3">
        <w:rPr>
          <w:b/>
          <w:bCs/>
          <w:color w:val="00188F"/>
        </w:rPr>
        <w:t>:</w:t>
      </w:r>
      <w:r>
        <w:t xml:space="preserve"> A Percentagem de Período de Disponibilidade é calculada através da seguinte fórmula: </w:t>
      </w:r>
    </w:p>
    <w:p w14:paraId="6E7DBA75" w14:textId="7589C50E" w:rsidR="00ED3A16" w:rsidRDefault="00000000" w:rsidP="008929C2">
      <w:pPr>
        <w:spacing w:before="120" w:after="120" w:line="240" w:lineRule="auto"/>
        <w:jc w:val="both"/>
        <w:rPr>
          <w:sz w:val="18"/>
          <w:szCs w:val="18"/>
        </w:rPr>
      </w:pPr>
      <m:oMathPara>
        <m:oMathParaPr>
          <m:jc m:val="center"/>
        </m:oMathParaPr>
        <m:oMath>
          <m:f>
            <m:fPr>
              <m:ctrlPr>
                <w:rPr>
                  <w:rFonts w:ascii="Cambria Math" w:hAnsi="Cambria Math"/>
                  <w:i/>
                  <w:iCs/>
                  <w:sz w:val="18"/>
                  <w:szCs w:val="18"/>
                </w:rPr>
              </m:ctrlPr>
            </m:fPr>
            <m:num>
              <m:r>
                <m:rPr>
                  <m:nor/>
                </m:rPr>
                <w:rPr>
                  <w:rFonts w:ascii="Cambria Math" w:hAnsi="Cambria Math"/>
                  <w:i/>
                  <w:iCs/>
                  <w:sz w:val="18"/>
                  <w:szCs w:val="18"/>
                </w:rPr>
                <m:t>Minutos de Utilizador - Período de Indisponibilidade</m:t>
              </m:r>
            </m:num>
            <m:den>
              <m:r>
                <m:rPr>
                  <m:nor/>
                </m:rPr>
                <w:rPr>
                  <w:rFonts w:ascii="Cambria Math" w:hAnsi="Cambria Math"/>
                  <w:i/>
                  <w:iCs/>
                  <w:sz w:val="18"/>
                  <w:szCs w:val="18"/>
                </w:rPr>
                <m:t>Minutos de Utilizador</m:t>
              </m:r>
            </m:den>
          </m:f>
          <m:r>
            <w:rPr>
              <w:rFonts w:ascii="Cambria Math" w:hAnsi="Cambria Math"/>
              <w:sz w:val="18"/>
              <w:szCs w:val="18"/>
            </w:rPr>
            <m:t xml:space="preserve"> x 100 </m:t>
          </m:r>
        </m:oMath>
      </m:oMathPara>
    </w:p>
    <w:p w14:paraId="68670114" w14:textId="53FA516C" w:rsidR="00ED3A16" w:rsidRDefault="00AC48A7" w:rsidP="00F01ED6">
      <w:pPr>
        <w:pStyle w:val="ProductList-Body"/>
        <w:ind w:right="135"/>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2BD9DBBE" w14:textId="77777777" w:rsidR="000C15FB" w:rsidRDefault="000C15FB" w:rsidP="00F01ED6">
      <w:pPr>
        <w:pStyle w:val="ProductList-Body"/>
        <w:ind w:right="135"/>
        <w:rPr>
          <w:szCs w:val="18"/>
        </w:rPr>
      </w:pPr>
    </w:p>
    <w:p w14:paraId="117C8F41" w14:textId="77777777" w:rsidR="00ED3A16" w:rsidRDefault="00ED3A16" w:rsidP="00F01ED6">
      <w:pPr>
        <w:pStyle w:val="ProductList-Body"/>
        <w:keepNext/>
      </w:pPr>
      <w:r>
        <w:rPr>
          <w:b/>
          <w:bCs/>
          <w:color w:val="00188F"/>
        </w:rPr>
        <w:t>Crédito de Serviço</w:t>
      </w:r>
      <w:r w:rsidRPr="00473DD3">
        <w:rPr>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F01ED6">
            <w:pPr>
              <w:pStyle w:val="ProductList-OfferingBody"/>
              <w:jc w:val="center"/>
              <w:rPr>
                <w:color w:val="FFFFFF"/>
              </w:rPr>
            </w:pPr>
            <w:r>
              <w:rPr>
                <w:color w:val="FFFFFF"/>
              </w:rPr>
              <w:t>Percentagem de Período de Disponibilidade</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F01ED6">
            <w:pPr>
              <w:pStyle w:val="ProductList-OfferingBody"/>
              <w:jc w:val="center"/>
              <w:rPr>
                <w:color w:val="FFFFFF"/>
              </w:rPr>
            </w:pPr>
            <w:r>
              <w:rPr>
                <w:color w:val="FFFFFF"/>
              </w:rPr>
              <w:t>Crédito de Serviço</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F01ED6">
            <w:pPr>
              <w:pStyle w:val="ProductList-OfferingBody"/>
              <w:jc w:val="center"/>
            </w:pPr>
            <w:r>
              <w:t>&lt; 99,9%</w:t>
            </w:r>
          </w:p>
        </w:tc>
        <w:tc>
          <w:tcPr>
            <w:tcW w:w="5400" w:type="dxa"/>
            <w:tcMar>
              <w:top w:w="0" w:type="dxa"/>
              <w:left w:w="108" w:type="dxa"/>
              <w:bottom w:w="0" w:type="dxa"/>
              <w:right w:w="108" w:type="dxa"/>
            </w:tcMar>
            <w:hideMark/>
          </w:tcPr>
          <w:p w14:paraId="23D3C97D" w14:textId="03623311" w:rsidR="00ED3A16" w:rsidRDefault="00ED3A16" w:rsidP="00F01ED6">
            <w:pPr>
              <w:pStyle w:val="ProductList-OfferingBody"/>
              <w:jc w:val="center"/>
            </w:pPr>
            <w:r>
              <w:t>10%</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F01ED6">
            <w:pPr>
              <w:pStyle w:val="ProductList-OfferingBody"/>
              <w:jc w:val="center"/>
            </w:pPr>
            <w:r>
              <w:t>&lt; 99%</w:t>
            </w:r>
          </w:p>
        </w:tc>
        <w:tc>
          <w:tcPr>
            <w:tcW w:w="5400" w:type="dxa"/>
            <w:tcMar>
              <w:top w:w="0" w:type="dxa"/>
              <w:left w:w="108" w:type="dxa"/>
              <w:bottom w:w="0" w:type="dxa"/>
              <w:right w:w="108" w:type="dxa"/>
            </w:tcMar>
            <w:hideMark/>
          </w:tcPr>
          <w:p w14:paraId="21CE7844" w14:textId="04C132C0" w:rsidR="00ED3A16" w:rsidRDefault="00ED3A16" w:rsidP="00F01ED6">
            <w:pPr>
              <w:pStyle w:val="ProductList-OfferingBody"/>
              <w:jc w:val="center"/>
            </w:pPr>
            <w:r>
              <w:t>25%</w:t>
            </w:r>
          </w:p>
        </w:tc>
      </w:tr>
    </w:tbl>
    <w:p w14:paraId="1737F367"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07EF96CA" w14:textId="324A23F2" w:rsidR="00E856FE" w:rsidRDefault="00E856FE" w:rsidP="00F01ED6">
      <w:pPr>
        <w:pStyle w:val="ProductList-Offering2Heading"/>
        <w:tabs>
          <w:tab w:val="clear" w:pos="360"/>
          <w:tab w:val="clear" w:pos="720"/>
          <w:tab w:val="clear" w:pos="1080"/>
        </w:tabs>
        <w:outlineLvl w:val="2"/>
      </w:pPr>
      <w:bookmarkStart w:id="446" w:name="_Toc239176552"/>
      <w:r>
        <w:t>Microsoft Defender para IoT</w:t>
      </w:r>
      <w:bookmarkEnd w:id="446"/>
    </w:p>
    <w:p w14:paraId="0D787271" w14:textId="77777777" w:rsidR="00E856FE" w:rsidRDefault="00E856FE" w:rsidP="00F01ED6">
      <w:pPr>
        <w:pStyle w:val="ProductList-Body"/>
      </w:pPr>
      <w:r>
        <w:rPr>
          <w:b/>
          <w:color w:val="00188F"/>
        </w:rPr>
        <w:t>Definições Adicionais</w:t>
      </w:r>
      <w:r w:rsidRPr="00473DD3">
        <w:rPr>
          <w:b/>
          <w:color w:val="00188F"/>
        </w:rPr>
        <w:t>:</w:t>
      </w:r>
    </w:p>
    <w:p w14:paraId="30311482" w14:textId="6978BFAD" w:rsidR="0050152D" w:rsidRDefault="00380305" w:rsidP="00F01ED6">
      <w:pPr>
        <w:pStyle w:val="ProductList-Body"/>
      </w:pPr>
      <w:r>
        <w:t>“</w:t>
      </w:r>
      <w:r w:rsidR="0050152D">
        <w:rPr>
          <w:b/>
          <w:bCs/>
          <w:color w:val="00188F"/>
        </w:rPr>
        <w:t>Máximo de Minutos Disponíveis</w:t>
      </w:r>
      <w:r>
        <w:t>”</w:t>
      </w:r>
      <w:r w:rsidR="0050152D">
        <w:t xml:space="preserve"> representa o número total de minutos acumulados durante um Período Aplicável para o portal do Microsoft Defender para IoT. O Máximo de Minutos Disponíveis é calculado desde o momento em que uma Subscrição é criada após a conclusão com êxito do processo de integração.</w:t>
      </w:r>
    </w:p>
    <w:p w14:paraId="65EC79CF" w14:textId="23CD40D1" w:rsidR="0050152D" w:rsidRPr="00F66064" w:rsidRDefault="00380305" w:rsidP="00F01ED6">
      <w:pPr>
        <w:pStyle w:val="ProductList-Body"/>
      </w:pPr>
      <w:r>
        <w:t>“</w:t>
      </w:r>
      <w:r w:rsidR="0050152D">
        <w:rPr>
          <w:b/>
          <w:bCs/>
          <w:color w:val="00188F"/>
        </w:rPr>
        <w:t>Período de Indisponibilidade</w:t>
      </w:r>
      <w:r>
        <w:t>”</w:t>
      </w:r>
      <w:r w:rsidR="0050152D">
        <w:t xml:space="preserve"> O número total de minutos em que um cliente não consegue aceder a qualquer parte de um portal do Microsoft Defender para IoT para o qual tenham as permissões adequadas e tenha uma licença válida ativa. </w:t>
      </w:r>
    </w:p>
    <w:p w14:paraId="3C09ECCD" w14:textId="69F59FA0" w:rsidR="0050152D" w:rsidRDefault="00380305" w:rsidP="00F01ED6">
      <w:pPr>
        <w:pStyle w:val="ProductList-Body"/>
      </w:pPr>
      <w:r w:rsidRPr="00CB7596">
        <w:t>“</w:t>
      </w:r>
      <w:r w:rsidR="0050152D">
        <w:rPr>
          <w:b/>
          <w:color w:val="00188F"/>
        </w:rPr>
        <w:t>Subscrição</w:t>
      </w:r>
      <w:r w:rsidRPr="00CB7596">
        <w:t>”</w:t>
      </w:r>
      <w:r w:rsidR="0050152D">
        <w:rPr>
          <w:rStyle w:val="normaltextrun"/>
          <w:rFonts w:ascii="Calibri" w:hAnsi="Calibri" w:cs="Calibri"/>
          <w:color w:val="000000"/>
          <w:sz w:val="22"/>
          <w:shd w:val="clear" w:color="auto" w:fill="FFFFFF"/>
        </w:rPr>
        <w:t xml:space="preserve"> </w:t>
      </w:r>
      <w:r w:rsidR="0050152D">
        <w:t>indica o ambiente de cloud específico de um determinado cliente para o Microsoft Defender para IoT.</w:t>
      </w:r>
      <w:r w:rsidR="0050152D">
        <w:rPr>
          <w:rStyle w:val="eop"/>
          <w:rFonts w:ascii="Calibri" w:hAnsi="Calibri" w:cs="Calibri"/>
          <w:color w:val="000000"/>
          <w:sz w:val="22"/>
          <w:shd w:val="clear" w:color="auto" w:fill="FFFFFF"/>
        </w:rPr>
        <w:t> </w:t>
      </w:r>
    </w:p>
    <w:p w14:paraId="63CE5A86" w14:textId="053152CA" w:rsidR="0050152D" w:rsidRDefault="00380305" w:rsidP="00F01ED6">
      <w:pPr>
        <w:pStyle w:val="ProductList-Body"/>
      </w:pPr>
      <w:r w:rsidRPr="00CB7596">
        <w:t>“</w:t>
      </w:r>
      <w:r w:rsidR="0050152D">
        <w:rPr>
          <w:b/>
          <w:color w:val="00188F"/>
        </w:rPr>
        <w:t>Percentagem de Período de Disponibilidade</w:t>
      </w:r>
      <w:r w:rsidRPr="00CB7596">
        <w:t>”</w:t>
      </w:r>
      <w:r w:rsidR="0050152D">
        <w:t xml:space="preserve"> O Período de Indisponibilidade é medido em minutos do utilizador. Ou seja, para um Período Aplicável, o Período de Indisponibilidade será a soma da duração (em minutos) de cada Incidente durante esse Período Aplicável, multiplicado pelo</w:t>
      </w:r>
      <w:r w:rsidR="00EF27AF">
        <w:t> </w:t>
      </w:r>
      <w:r w:rsidR="0050152D">
        <w:t>número de utilizadores afetados por esse Incidente. A Percentagem de Período de Disponibilidade é calculada através da seguinte fórmula:</w:t>
      </w:r>
    </w:p>
    <w:p w14:paraId="38A08E23" w14:textId="397D3EC7" w:rsidR="00591147" w:rsidRPr="00614354" w:rsidRDefault="00000000" w:rsidP="003A632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98D8363" w14:textId="77777777" w:rsidR="00EC1B71" w:rsidRDefault="00EC1B71" w:rsidP="00F01ED6">
      <w:pPr>
        <w:pStyle w:val="ProductList-Body"/>
        <w:keepNext/>
      </w:pPr>
      <w:r>
        <w:rPr>
          <w:b/>
          <w:bCs/>
          <w:color w:val="00188F"/>
        </w:rPr>
        <w:t>Crédito de Serviço</w:t>
      </w:r>
      <w:r w:rsidRPr="00473DD3">
        <w:rPr>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F01ED6">
            <w:pPr>
              <w:pStyle w:val="ProductList-OfferingBody"/>
              <w:jc w:val="center"/>
              <w:rPr>
                <w:color w:val="FFFFFF"/>
              </w:rPr>
            </w:pPr>
            <w:r>
              <w:rPr>
                <w:color w:val="FFFFFF"/>
              </w:rPr>
              <w:t>Percentagem de Período de Disponibilidade</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F01ED6">
            <w:pPr>
              <w:pStyle w:val="ProductList-OfferingBody"/>
              <w:jc w:val="center"/>
              <w:rPr>
                <w:color w:val="FFFFFF"/>
              </w:rPr>
            </w:pPr>
            <w:r>
              <w:rPr>
                <w:color w:val="FFFFFF"/>
              </w:rPr>
              <w:t>Crédito de Serviço</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F01ED6">
            <w:pPr>
              <w:pStyle w:val="ProductList-OfferingBody"/>
              <w:jc w:val="center"/>
            </w:pPr>
            <w:r>
              <w:t>&lt; 99,9%</w:t>
            </w:r>
          </w:p>
        </w:tc>
        <w:tc>
          <w:tcPr>
            <w:tcW w:w="5400" w:type="dxa"/>
            <w:tcMar>
              <w:top w:w="0" w:type="dxa"/>
              <w:left w:w="108" w:type="dxa"/>
              <w:bottom w:w="0" w:type="dxa"/>
              <w:right w:w="108" w:type="dxa"/>
            </w:tcMar>
            <w:hideMark/>
          </w:tcPr>
          <w:p w14:paraId="2BA31D50" w14:textId="77777777" w:rsidR="00EC1B71" w:rsidRDefault="00EC1B71" w:rsidP="00F01ED6">
            <w:pPr>
              <w:pStyle w:val="ProductList-OfferingBody"/>
              <w:jc w:val="center"/>
            </w:pPr>
            <w:r>
              <w:t>10%</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F01ED6">
            <w:pPr>
              <w:pStyle w:val="ProductList-OfferingBody"/>
              <w:jc w:val="center"/>
            </w:pPr>
            <w:r>
              <w:t>&lt; 99%</w:t>
            </w:r>
          </w:p>
        </w:tc>
        <w:tc>
          <w:tcPr>
            <w:tcW w:w="5400" w:type="dxa"/>
            <w:tcMar>
              <w:top w:w="0" w:type="dxa"/>
              <w:left w:w="108" w:type="dxa"/>
              <w:bottom w:w="0" w:type="dxa"/>
              <w:right w:w="108" w:type="dxa"/>
            </w:tcMar>
            <w:hideMark/>
          </w:tcPr>
          <w:p w14:paraId="10898D10" w14:textId="77777777" w:rsidR="00EC1B71" w:rsidRDefault="00EC1B71" w:rsidP="00F01ED6">
            <w:pPr>
              <w:pStyle w:val="ProductList-OfferingBody"/>
              <w:jc w:val="center"/>
            </w:pPr>
            <w:r>
              <w:t>25%</w:t>
            </w:r>
          </w:p>
        </w:tc>
      </w:tr>
    </w:tbl>
    <w:p w14:paraId="5071DA77" w14:textId="19FD1D3A" w:rsidR="00E15FC0" w:rsidRDefault="00F81546" w:rsidP="00653932">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Exceções de Nível de Serviço</w:t>
      </w:r>
      <w:r w:rsidRPr="00473DD3">
        <w:rPr>
          <w:rStyle w:val="normaltextrun"/>
          <w:rFonts w:ascii="Calibri" w:hAnsi="Calibri" w:cs="Calibri"/>
          <w:b/>
          <w:bCs/>
          <w:color w:val="00188F"/>
          <w:sz w:val="18"/>
          <w:szCs w:val="18"/>
        </w:rPr>
        <w:t>:</w:t>
      </w:r>
      <w:r>
        <w:rPr>
          <w:rStyle w:val="normaltextrun"/>
          <w:rFonts w:ascii="Calibri" w:hAnsi="Calibri" w:cs="Calibri"/>
          <w:sz w:val="18"/>
          <w:szCs w:val="18"/>
        </w:rPr>
        <w:t xml:space="preserve"> Este SLA não se aplica aos componentes no local, tais como sensores e agentes de segurança.</w:t>
      </w:r>
    </w:p>
    <w:p w14:paraId="7CAC1577"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686F9ED" w14:textId="6EB05967" w:rsidR="003A16EB" w:rsidRPr="00EF7CF9" w:rsidRDefault="003A16EB" w:rsidP="00D6770D">
      <w:pPr>
        <w:pStyle w:val="ProductList-Offering2Heading"/>
        <w:keepNext/>
        <w:tabs>
          <w:tab w:val="clear" w:pos="360"/>
          <w:tab w:val="clear" w:pos="720"/>
          <w:tab w:val="clear" w:pos="1080"/>
        </w:tabs>
        <w:outlineLvl w:val="2"/>
      </w:pPr>
      <w:bookmarkStart w:id="447" w:name="_Toc239176553"/>
      <w:r>
        <w:t>Bing Maps Enterprise Platform</w:t>
      </w:r>
      <w:bookmarkEnd w:id="445"/>
      <w:bookmarkEnd w:id="447"/>
    </w:p>
    <w:p w14:paraId="6227B95F" w14:textId="50A804E6" w:rsidR="00515EF4" w:rsidRPr="0074049A" w:rsidRDefault="003A16EB" w:rsidP="00F01ED6">
      <w:pPr>
        <w:pStyle w:val="ProductList-Body"/>
        <w:rPr>
          <w:spacing w:val="-3"/>
        </w:rPr>
      </w:pPr>
      <w:r w:rsidRPr="0074049A">
        <w:rPr>
          <w:b/>
          <w:color w:val="00188F"/>
          <w:spacing w:val="-3"/>
        </w:rPr>
        <w:t>Período de Indisponibilidade</w:t>
      </w:r>
      <w:r w:rsidRPr="00473DD3">
        <w:rPr>
          <w:b/>
          <w:color w:val="00188F"/>
          <w:spacing w:val="-3"/>
        </w:rPr>
        <w:t>:</w:t>
      </w:r>
      <w:r w:rsidRPr="0074049A">
        <w:rPr>
          <w:spacing w:val="-3"/>
        </w:rPr>
        <w:t xml:space="preserve"> Qualquer período de tempo durante o qual o Serviço não está disponível, conforme medido nos datacenters da Microsoft, desde que o Cliente aceda ao Serviço através dos métodos de acesso, autenticação e controlo documentados nos SDKs do Bing Maps Platform.</w:t>
      </w:r>
    </w:p>
    <w:p w14:paraId="332EF34F" w14:textId="4CD8429C" w:rsidR="003A16EB"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44E374EC" w14:textId="3737C997" w:rsidR="00515EF4" w:rsidRPr="00EF7CF9" w:rsidRDefault="00000000" w:rsidP="008929C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Número total de minutos num Período Aplicável - Período de Indisponibilidade</m:t>
              </m:r>
            </m:num>
            <m:den>
              <m:r>
                <m:rPr>
                  <m:nor/>
                </m:rPr>
                <w:rPr>
                  <w:rFonts w:ascii="Cambria Math" w:hAnsi="Cambria Math" w:cs="Calibri"/>
                  <w:i/>
                  <w:iCs/>
                  <w:sz w:val="18"/>
                  <w:szCs w:val="18"/>
                </w:rPr>
                <m:t>Número total de minutos num Período Aplicável</m:t>
              </m:r>
            </m:den>
          </m:f>
          <m:r>
            <w:rPr>
              <w:rFonts w:ascii="Cambria Math" w:hAnsi="Cambria Math" w:cs="Calibri"/>
              <w:sz w:val="18"/>
              <w:szCs w:val="18"/>
            </w:rPr>
            <m:t xml:space="preserve"> x 100</m:t>
          </m:r>
        </m:oMath>
      </m:oMathPara>
    </w:p>
    <w:p w14:paraId="73896EC6" w14:textId="5C58694F" w:rsidR="008E5959" w:rsidRDefault="00515EF4" w:rsidP="00F01ED6">
      <w:pPr>
        <w:pStyle w:val="ProductList-Body"/>
      </w:pPr>
      <w:r>
        <w:t>em que o Período de Indisponibilidade é medido como o número total de minutos durante o Período Aplicável quando os aspetos do Servidor estabelecidos acima estão indisponíveis.</w:t>
      </w:r>
    </w:p>
    <w:p w14:paraId="43F37A26" w14:textId="77777777" w:rsidR="000C15FB" w:rsidRDefault="000C15FB" w:rsidP="00F01ED6">
      <w:pPr>
        <w:pStyle w:val="ProductList-Body"/>
      </w:pPr>
    </w:p>
    <w:p w14:paraId="26174FF9" w14:textId="7B753AAA" w:rsidR="00515EF4" w:rsidRPr="00EF7CF9" w:rsidRDefault="00515EF4"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F01ED6">
            <w:pPr>
              <w:pStyle w:val="ProductList-OfferingBody"/>
              <w:jc w:val="center"/>
              <w:rPr>
                <w:color w:val="FFFFFF" w:themeColor="background1"/>
              </w:rPr>
            </w:pPr>
            <w:r>
              <w:rPr>
                <w:color w:val="FFFFFF" w:themeColor="background1"/>
              </w:rPr>
              <w:lastRenderedPageBreak/>
              <w:t>Percentagem de Período de Disponibilidade</w:t>
            </w:r>
          </w:p>
        </w:tc>
        <w:tc>
          <w:tcPr>
            <w:tcW w:w="5400" w:type="dxa"/>
            <w:shd w:val="clear" w:color="auto" w:fill="0072C6"/>
          </w:tcPr>
          <w:p w14:paraId="796A899A" w14:textId="77777777" w:rsidR="00515EF4" w:rsidRPr="00EF7CF9" w:rsidRDefault="00515EF4" w:rsidP="00F01ED6">
            <w:pPr>
              <w:pStyle w:val="ProductList-OfferingBody"/>
              <w:jc w:val="center"/>
              <w:rPr>
                <w:color w:val="FFFFFF" w:themeColor="background1"/>
              </w:rPr>
            </w:pPr>
            <w:r>
              <w:rPr>
                <w:color w:val="FFFFFF" w:themeColor="background1"/>
              </w:rPr>
              <w:t>Crédito de Serviço</w:t>
            </w:r>
          </w:p>
        </w:tc>
      </w:tr>
      <w:tr w:rsidR="00515EF4" w:rsidRPr="00B44CF9" w14:paraId="3FB6EA7D" w14:textId="77777777" w:rsidTr="00515EF4">
        <w:tc>
          <w:tcPr>
            <w:tcW w:w="5400" w:type="dxa"/>
          </w:tcPr>
          <w:p w14:paraId="04CAFA50" w14:textId="61E959DE" w:rsidR="00515EF4" w:rsidRPr="00EF7CF9" w:rsidRDefault="00515EF4" w:rsidP="00F01ED6">
            <w:pPr>
              <w:pStyle w:val="ProductList-OfferingBody"/>
              <w:jc w:val="center"/>
            </w:pPr>
            <w:r>
              <w:t>&lt; 99,9%</w:t>
            </w:r>
          </w:p>
        </w:tc>
        <w:tc>
          <w:tcPr>
            <w:tcW w:w="5400" w:type="dxa"/>
          </w:tcPr>
          <w:p w14:paraId="79F178DF" w14:textId="7F10E0CE" w:rsidR="00515EF4" w:rsidRPr="00EF7CF9" w:rsidRDefault="00515EF4" w:rsidP="00F01ED6">
            <w:pPr>
              <w:pStyle w:val="ProductList-OfferingBody"/>
              <w:jc w:val="center"/>
            </w:pPr>
            <w:r>
              <w:t>25%</w:t>
            </w:r>
          </w:p>
        </w:tc>
      </w:tr>
      <w:tr w:rsidR="00515EF4" w:rsidRPr="00B44CF9" w14:paraId="777F4AA6" w14:textId="77777777" w:rsidTr="00515EF4">
        <w:tc>
          <w:tcPr>
            <w:tcW w:w="5400" w:type="dxa"/>
          </w:tcPr>
          <w:p w14:paraId="674E9167" w14:textId="50297AE8" w:rsidR="00515EF4" w:rsidRPr="00EF7CF9" w:rsidRDefault="00515EF4" w:rsidP="00F01ED6">
            <w:pPr>
              <w:pStyle w:val="ProductList-OfferingBody"/>
              <w:jc w:val="center"/>
            </w:pPr>
            <w:r>
              <w:t>&lt; 99%</w:t>
            </w:r>
          </w:p>
        </w:tc>
        <w:tc>
          <w:tcPr>
            <w:tcW w:w="5400" w:type="dxa"/>
          </w:tcPr>
          <w:p w14:paraId="4C2D0E02" w14:textId="661EED97" w:rsidR="00515EF4" w:rsidRPr="00EF7CF9" w:rsidRDefault="00515EF4" w:rsidP="00F01ED6">
            <w:pPr>
              <w:pStyle w:val="ProductList-OfferingBody"/>
              <w:jc w:val="center"/>
            </w:pPr>
            <w:r>
              <w:t>50%</w:t>
            </w:r>
          </w:p>
        </w:tc>
      </w:tr>
      <w:tr w:rsidR="00515EF4" w:rsidRPr="00B44CF9" w14:paraId="4EB982B3" w14:textId="77777777" w:rsidTr="00515EF4">
        <w:tc>
          <w:tcPr>
            <w:tcW w:w="5400" w:type="dxa"/>
          </w:tcPr>
          <w:p w14:paraId="1CE067A9" w14:textId="625CE747" w:rsidR="00515EF4" w:rsidRPr="00EF7CF9" w:rsidRDefault="00515EF4" w:rsidP="00F01ED6">
            <w:pPr>
              <w:pStyle w:val="ProductList-OfferingBody"/>
              <w:jc w:val="center"/>
            </w:pPr>
            <w:r>
              <w:t>&lt; 95%</w:t>
            </w:r>
          </w:p>
        </w:tc>
        <w:tc>
          <w:tcPr>
            <w:tcW w:w="5400" w:type="dxa"/>
          </w:tcPr>
          <w:p w14:paraId="67F575EA" w14:textId="0AACC5D0" w:rsidR="00515EF4" w:rsidRPr="00EF7CF9" w:rsidRDefault="00515EF4" w:rsidP="00F01ED6">
            <w:pPr>
              <w:pStyle w:val="ProductList-OfferingBody"/>
              <w:jc w:val="center"/>
            </w:pPr>
            <w:r>
              <w:t>100%</w:t>
            </w:r>
          </w:p>
        </w:tc>
      </w:tr>
    </w:tbl>
    <w:p w14:paraId="66593B86" w14:textId="77777777" w:rsidR="001E0407" w:rsidRPr="00494F85" w:rsidRDefault="001E0407" w:rsidP="00F01ED6">
      <w:pPr>
        <w:pStyle w:val="ProductList-Body"/>
        <w:rPr>
          <w:sz w:val="12"/>
          <w:szCs w:val="12"/>
        </w:rPr>
      </w:pPr>
    </w:p>
    <w:p w14:paraId="087D7891" w14:textId="25FE396F" w:rsidR="00515EF4" w:rsidRPr="00EF7CF9" w:rsidRDefault="00515EF4" w:rsidP="00F01ED6">
      <w:pPr>
        <w:pStyle w:val="ProductList-Body"/>
      </w:pPr>
      <w:r>
        <w:rPr>
          <w:b/>
          <w:color w:val="00188F"/>
        </w:rPr>
        <w:t>Exceções de Nível de Serviço</w:t>
      </w:r>
      <w:r w:rsidRPr="00473DD3">
        <w:rPr>
          <w:b/>
          <w:color w:val="00188F"/>
        </w:rPr>
        <w:t>:</w:t>
      </w:r>
      <w:r>
        <w:t xml:space="preserve"> Este SLA não é aplicável ao Bing Maps Enterprise Platform comprado através dos contratos de licenciamento em volume Open Value e Open Value Subscription.</w:t>
      </w:r>
    </w:p>
    <w:p w14:paraId="39219096" w14:textId="77777777" w:rsidR="00515EF4" w:rsidRPr="00F643EA" w:rsidRDefault="00515EF4" w:rsidP="00F01ED6">
      <w:pPr>
        <w:pStyle w:val="ProductList-Body"/>
        <w:rPr>
          <w:sz w:val="12"/>
          <w:szCs w:val="12"/>
        </w:rPr>
      </w:pPr>
    </w:p>
    <w:p w14:paraId="084D7DBE" w14:textId="56267753" w:rsidR="001E0407" w:rsidRPr="00EF7CF9" w:rsidRDefault="00515EF4" w:rsidP="00F01ED6">
      <w:pPr>
        <w:pStyle w:val="ProductList-Body"/>
      </w:pPr>
      <w:r>
        <w:t>Os Créditos de Serviço não serão aplicáveis se: (i) o Cliente não implementar quaisquer atualizações de Serviços durante o período especificado nos</w:t>
      </w:r>
      <w:r w:rsidR="000D5314">
        <w:t> </w:t>
      </w:r>
      <w:r>
        <w:t>Termos de Utilização da API Bing Maps Platform; e (ii) o Cliente não enviar à Microsoft, com pelo menos noventa (90) dias de antecedência, uma notificação de qualquer aumento conhecido de volume de utilização significativo, com um aumento de volume de utilização significativo de</w:t>
      </w:r>
      <w:r w:rsidR="000D5314">
        <w:t> </w:t>
      </w:r>
      <w:r>
        <w:t>50% ou mais em relação à utilização do Período Aplicável anterior.</w:t>
      </w:r>
    </w:p>
    <w:bookmarkStart w:id="448" w:name="_Toc413421605"/>
    <w:bookmarkStart w:id="449" w:name="_Toc457821593"/>
    <w:p w14:paraId="0A1F392F"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710B993D" w14:textId="77777777" w:rsidR="00FD7891" w:rsidRPr="00EF7CF9" w:rsidRDefault="00FD7891" w:rsidP="00F01ED6">
      <w:pPr>
        <w:pStyle w:val="ProductList-Offering2Heading"/>
        <w:keepNext/>
        <w:outlineLvl w:val="2"/>
      </w:pPr>
      <w:bookmarkStart w:id="450" w:name="_Toc239176554"/>
      <w:r>
        <w:t>Bing Maps Mobile Asset Management</w:t>
      </w:r>
      <w:bookmarkEnd w:id="448"/>
      <w:bookmarkEnd w:id="449"/>
      <w:bookmarkEnd w:id="450"/>
    </w:p>
    <w:p w14:paraId="65029C5D" w14:textId="606DEF1A" w:rsidR="00FD7891" w:rsidRPr="0074049A" w:rsidRDefault="00FD7891" w:rsidP="00F01ED6">
      <w:pPr>
        <w:pStyle w:val="ProductList-Body"/>
        <w:rPr>
          <w:spacing w:val="-3"/>
        </w:rPr>
      </w:pPr>
      <w:r w:rsidRPr="0074049A">
        <w:rPr>
          <w:b/>
          <w:color w:val="00188F"/>
          <w:spacing w:val="-3"/>
        </w:rPr>
        <w:t>Período de Indisponibilidade</w:t>
      </w:r>
      <w:r w:rsidRPr="00473DD3">
        <w:rPr>
          <w:b/>
          <w:color w:val="00188F"/>
          <w:spacing w:val="-3"/>
        </w:rPr>
        <w:t>:</w:t>
      </w:r>
      <w:r w:rsidRPr="0074049A">
        <w:rPr>
          <w:spacing w:val="-3"/>
        </w:rPr>
        <w:t xml:space="preserve"> Qualquer período de tempo durante o qual o Serviço não está disponível, conforme medido nos datacenters da Microsoft, desde que o Cliente aceda ao Serviço através dos métodos de acesso, autenticação e controlo documentados nos SDKs do Bing Maps Platform.</w:t>
      </w:r>
    </w:p>
    <w:p w14:paraId="10C2AC36" w14:textId="7B6AEA68" w:rsidR="00FD7891"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D1C7AD3" w14:textId="4077EA0B" w:rsidR="00FD7891" w:rsidRPr="00EF7CF9" w:rsidRDefault="00000000" w:rsidP="008929C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Número total de minutos num Período Aplicável - Período de Indisponibilidade</m:t>
              </m:r>
            </m:num>
            <m:den>
              <m:r>
                <m:rPr>
                  <m:nor/>
                </m:rPr>
                <w:rPr>
                  <w:rFonts w:ascii="Cambria Math" w:hAnsi="Cambria Math" w:cs="Calibri"/>
                  <w:i/>
                  <w:iCs/>
                  <w:sz w:val="18"/>
                  <w:szCs w:val="18"/>
                </w:rPr>
                <m:t>Número total de minutos num Período Aplicável</m:t>
              </m:r>
            </m:den>
          </m:f>
          <m:r>
            <w:rPr>
              <w:rFonts w:ascii="Cambria Math" w:hAnsi="Cambria Math" w:cs="Calibri"/>
              <w:sz w:val="18"/>
              <w:szCs w:val="18"/>
            </w:rPr>
            <m:t xml:space="preserve"> x 100</m:t>
          </m:r>
        </m:oMath>
      </m:oMathPara>
    </w:p>
    <w:p w14:paraId="08A0B750" w14:textId="3A875414" w:rsidR="00FD7891" w:rsidRDefault="00FD7891" w:rsidP="00F01ED6">
      <w:pPr>
        <w:pStyle w:val="ProductList-Body"/>
      </w:pPr>
      <w:r>
        <w:t>em que o Período de Indisponibilidade é medido como o número total de minutos durante o Período Aplicável quando os aspetos do Servidor estabelecidos acima estão indisponíveis.</w:t>
      </w:r>
    </w:p>
    <w:p w14:paraId="5270583C" w14:textId="77777777" w:rsidR="000C15FB" w:rsidRDefault="000C15FB" w:rsidP="00F01ED6">
      <w:pPr>
        <w:pStyle w:val="ProductList-Body"/>
      </w:pPr>
    </w:p>
    <w:p w14:paraId="152AABCC" w14:textId="6C944870" w:rsidR="00FD7891" w:rsidRPr="00EF7CF9" w:rsidRDefault="00FD7891"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AFAF31B" w14:textId="77777777" w:rsidR="00FD7891" w:rsidRPr="00EF7CF9" w:rsidRDefault="00FD7891" w:rsidP="00F01ED6">
            <w:pPr>
              <w:pStyle w:val="ProductList-OfferingBody"/>
              <w:jc w:val="center"/>
              <w:rPr>
                <w:color w:val="FFFFFF" w:themeColor="background1"/>
              </w:rPr>
            </w:pPr>
            <w:r>
              <w:rPr>
                <w:color w:val="FFFFFF" w:themeColor="background1"/>
              </w:rPr>
              <w:t>Crédito de Serviço</w:t>
            </w:r>
          </w:p>
        </w:tc>
      </w:tr>
      <w:tr w:rsidR="00FD7891" w:rsidRPr="00B44CF9" w14:paraId="50ECA16C" w14:textId="77777777" w:rsidTr="00085A0D">
        <w:tc>
          <w:tcPr>
            <w:tcW w:w="5400" w:type="dxa"/>
          </w:tcPr>
          <w:p w14:paraId="2EC30703" w14:textId="77777777" w:rsidR="00FD7891" w:rsidRPr="00EF7CF9" w:rsidRDefault="00FD7891" w:rsidP="00F01ED6">
            <w:pPr>
              <w:pStyle w:val="ProductList-OfferingBody"/>
              <w:jc w:val="center"/>
            </w:pPr>
            <w:r>
              <w:t>&lt; 99,9%</w:t>
            </w:r>
          </w:p>
        </w:tc>
        <w:tc>
          <w:tcPr>
            <w:tcW w:w="5400" w:type="dxa"/>
          </w:tcPr>
          <w:p w14:paraId="0AF0BF6E" w14:textId="77777777" w:rsidR="00FD7891" w:rsidRPr="00EF7CF9" w:rsidRDefault="00FD7891" w:rsidP="00F01ED6">
            <w:pPr>
              <w:pStyle w:val="ProductList-OfferingBody"/>
              <w:jc w:val="center"/>
            </w:pPr>
            <w:r>
              <w:t>25%</w:t>
            </w:r>
          </w:p>
        </w:tc>
      </w:tr>
      <w:tr w:rsidR="00FD7891" w:rsidRPr="00B44CF9" w14:paraId="43224057" w14:textId="77777777" w:rsidTr="00085A0D">
        <w:tc>
          <w:tcPr>
            <w:tcW w:w="5400" w:type="dxa"/>
          </w:tcPr>
          <w:p w14:paraId="20F98A7F" w14:textId="77777777" w:rsidR="00FD7891" w:rsidRPr="00EF7CF9" w:rsidRDefault="00FD7891" w:rsidP="00F01ED6">
            <w:pPr>
              <w:pStyle w:val="ProductList-OfferingBody"/>
              <w:jc w:val="center"/>
            </w:pPr>
            <w:r>
              <w:t>&lt; 99%</w:t>
            </w:r>
          </w:p>
        </w:tc>
        <w:tc>
          <w:tcPr>
            <w:tcW w:w="5400" w:type="dxa"/>
          </w:tcPr>
          <w:p w14:paraId="2042F0F2" w14:textId="77777777" w:rsidR="00FD7891" w:rsidRPr="00EF7CF9" w:rsidRDefault="00FD7891" w:rsidP="00F01ED6">
            <w:pPr>
              <w:pStyle w:val="ProductList-OfferingBody"/>
              <w:jc w:val="center"/>
            </w:pPr>
            <w:r>
              <w:t>50%</w:t>
            </w:r>
          </w:p>
        </w:tc>
      </w:tr>
      <w:tr w:rsidR="00FD7891" w:rsidRPr="00B44CF9" w14:paraId="464E7413" w14:textId="77777777" w:rsidTr="00085A0D">
        <w:tc>
          <w:tcPr>
            <w:tcW w:w="5400" w:type="dxa"/>
          </w:tcPr>
          <w:p w14:paraId="140B2DF0" w14:textId="77777777" w:rsidR="00FD7891" w:rsidRPr="00EF7CF9" w:rsidRDefault="00FD7891" w:rsidP="00F01ED6">
            <w:pPr>
              <w:pStyle w:val="ProductList-OfferingBody"/>
              <w:jc w:val="center"/>
            </w:pPr>
            <w:r>
              <w:t>&lt; 95%</w:t>
            </w:r>
          </w:p>
        </w:tc>
        <w:tc>
          <w:tcPr>
            <w:tcW w:w="5400" w:type="dxa"/>
          </w:tcPr>
          <w:p w14:paraId="0BEE0BFC" w14:textId="77777777" w:rsidR="00FD7891" w:rsidRPr="00EF7CF9" w:rsidRDefault="00FD7891" w:rsidP="00F01ED6">
            <w:pPr>
              <w:pStyle w:val="ProductList-OfferingBody"/>
              <w:jc w:val="center"/>
            </w:pPr>
            <w:r>
              <w:t>100%</w:t>
            </w:r>
          </w:p>
        </w:tc>
      </w:tr>
    </w:tbl>
    <w:p w14:paraId="4AC7D937" w14:textId="77777777" w:rsidR="00FD7891" w:rsidRPr="00494F85" w:rsidRDefault="00FD7891" w:rsidP="00F01ED6">
      <w:pPr>
        <w:pStyle w:val="ProductList-Body"/>
        <w:rPr>
          <w:sz w:val="12"/>
          <w:szCs w:val="12"/>
        </w:rPr>
      </w:pPr>
    </w:p>
    <w:p w14:paraId="6FE4E46D" w14:textId="773326ED" w:rsidR="00FD7891" w:rsidRPr="00EF7CF9" w:rsidRDefault="00FD7891" w:rsidP="00F01ED6">
      <w:pPr>
        <w:pStyle w:val="ProductList-Body"/>
      </w:pPr>
      <w:r>
        <w:rPr>
          <w:b/>
          <w:color w:val="00188F"/>
        </w:rPr>
        <w:t>Exceções de Nível de Serviço</w:t>
      </w:r>
      <w:r w:rsidRPr="00473DD3">
        <w:rPr>
          <w:b/>
          <w:color w:val="00188F"/>
        </w:rPr>
        <w:t>:</w:t>
      </w:r>
      <w:r>
        <w:t xml:space="preserve"> Este SLA não é aplicável ao Bing Maps Enterprise Platform comprado através dos contratos de licenciamento em volume Open Value e Open Value Subscription.</w:t>
      </w:r>
    </w:p>
    <w:p w14:paraId="3B8E2082" w14:textId="77777777" w:rsidR="0074049A" w:rsidRPr="00F643EA" w:rsidRDefault="0074049A" w:rsidP="00F01ED6">
      <w:pPr>
        <w:pStyle w:val="ProductList-Body"/>
        <w:rPr>
          <w:sz w:val="12"/>
          <w:szCs w:val="12"/>
        </w:rPr>
      </w:pPr>
    </w:p>
    <w:p w14:paraId="3F493427" w14:textId="7423D6AC" w:rsidR="00FD7891" w:rsidRPr="00EF7CF9" w:rsidRDefault="00FD7891" w:rsidP="00DC1476">
      <w:pPr>
        <w:pStyle w:val="ProductList-Body"/>
        <w:keepNext/>
        <w:keepLines/>
      </w:pPr>
      <w:r>
        <w:t>Os Créditos de Serviço não serão aplicáveis se: (i) o Cliente não implementar quaisquer atualizações de Serviços durante o período especificado nos</w:t>
      </w:r>
      <w:r w:rsidR="00D43685">
        <w:t> </w:t>
      </w:r>
      <w:r>
        <w:t>Termos de Utilização da API Bing Maps Platform; e (ii) o Cliente não enviar à Microsoft, com pelo menos noventa (90) dias de antecedência, uma notificação de qualquer aumento conhecido de volume de utilização significativo, com um aumento de volume de utilização significativo de</w:t>
      </w:r>
      <w:r w:rsidR="00D43685">
        <w:t> </w:t>
      </w:r>
      <w:r>
        <w:t>50% ou mais em relação à utilização do Período Aplicável anterior.</w:t>
      </w:r>
    </w:p>
    <w:bookmarkStart w:id="451" w:name="Intune"/>
    <w:bookmarkStart w:id="452" w:name="PowerBIPro"/>
    <w:p w14:paraId="3BAFC071"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55C15C4F" w14:textId="77777777" w:rsidR="00F06C94" w:rsidRPr="00EF7CF9" w:rsidRDefault="00F06C94" w:rsidP="00796E1C">
      <w:pPr>
        <w:pStyle w:val="ProductList-Offering2Heading"/>
        <w:keepNext/>
        <w:tabs>
          <w:tab w:val="clear" w:pos="360"/>
          <w:tab w:val="clear" w:pos="720"/>
          <w:tab w:val="clear" w:pos="1080"/>
        </w:tabs>
        <w:outlineLvl w:val="2"/>
      </w:pPr>
      <w:bookmarkStart w:id="453" w:name="_Toc239176555"/>
      <w:r>
        <w:t>Microsoft Cloud App Security</w:t>
      </w:r>
      <w:bookmarkEnd w:id="453"/>
    </w:p>
    <w:p w14:paraId="75FF14F8" w14:textId="5F93533E" w:rsidR="00F06C94" w:rsidRPr="007F2936" w:rsidRDefault="00F06C94" w:rsidP="00F01ED6">
      <w:pPr>
        <w:pStyle w:val="ProductList-Body"/>
        <w:rPr>
          <w:spacing w:val="-2"/>
        </w:rPr>
      </w:pPr>
      <w:r w:rsidRPr="007F2936">
        <w:rPr>
          <w:b/>
          <w:color w:val="00188F"/>
          <w:spacing w:val="-2"/>
        </w:rPr>
        <w:t>Período de Indisponibilidade:</w:t>
      </w:r>
      <w:r w:rsidRPr="007F2936">
        <w:rPr>
          <w:spacing w:val="-2"/>
        </w:rPr>
        <w:t xml:space="preserve"> Qualquer período de tempo durante o qual o administrador de TI de um Cliente ou os utilizadores autorizados pelo Cliente não conseguem iniciar sessão com credenciais corretas. O Período de Indisponibilidade Agendado não excederá 10 horas por ano de calendário.</w:t>
      </w:r>
    </w:p>
    <w:p w14:paraId="4E621058" w14:textId="55CFFED2" w:rsidR="00F06C94"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2319D5B0" w14:textId="56AD2689" w:rsidR="00F06C94" w:rsidRPr="009E2B16" w:rsidRDefault="00000000" w:rsidP="008929C2">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Minutos de Utilizador - Período de Indisponibilidade</m:t>
              </m:r>
            </m:num>
            <m:den>
              <m:r>
                <m:rPr>
                  <m:nor/>
                </m:rPr>
                <w:rPr>
                  <w:rFonts w:ascii="Cambria Math" w:hAnsi="Cambria Math" w:cs="Calibri"/>
                  <w:i/>
                  <w:sz w:val="18"/>
                  <w:szCs w:val="18"/>
                </w:rPr>
                <m:t>Minutos de Utilizador</m:t>
              </m:r>
            </m:den>
          </m:f>
          <m:r>
            <w:rPr>
              <w:rFonts w:ascii="Cambria Math" w:hAnsi="Cambria Math" w:cs="Calibri"/>
              <w:sz w:val="18"/>
              <w:szCs w:val="18"/>
            </w:rPr>
            <m:t xml:space="preserve"> x 100</m:t>
          </m:r>
        </m:oMath>
      </m:oMathPara>
    </w:p>
    <w:p w14:paraId="563EA36A" w14:textId="03030F6F" w:rsidR="00F06C94" w:rsidRDefault="00AC48A7" w:rsidP="00F01ED6">
      <w:pPr>
        <w:pStyle w:val="ProductList-Body"/>
        <w:ind w:right="162"/>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032B71E4" w14:textId="77777777" w:rsidR="000C15FB" w:rsidRPr="00EF7CF9" w:rsidRDefault="000C15FB" w:rsidP="00F01ED6">
      <w:pPr>
        <w:pStyle w:val="ProductList-Body"/>
        <w:ind w:right="162"/>
      </w:pPr>
    </w:p>
    <w:p w14:paraId="4BE32466" w14:textId="740D7E57" w:rsidR="00F06C94" w:rsidRPr="00EF7CF9" w:rsidRDefault="00F06C94" w:rsidP="00F01ED6">
      <w:pPr>
        <w:pStyle w:val="ProductList-Body"/>
      </w:pPr>
      <w:r>
        <w:rPr>
          <w:b/>
          <w:bCs/>
          <w:color w:val="00188F"/>
        </w:rPr>
        <w:t>Crédito de Serviço</w:t>
      </w:r>
      <w:r w:rsidRPr="00473DD3">
        <w:rPr>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F01ED6">
            <w:pPr>
              <w:pStyle w:val="ProductList-OfferingBody"/>
              <w:jc w:val="center"/>
              <w:rPr>
                <w:color w:val="FFFFFF"/>
              </w:rPr>
            </w:pPr>
            <w:r>
              <w:rPr>
                <w:color w:val="FFFFFF"/>
              </w:rPr>
              <w:t>Percentagem de Período de Disponibilidade</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F01ED6">
            <w:pPr>
              <w:pStyle w:val="ProductList-OfferingBody"/>
              <w:jc w:val="center"/>
              <w:rPr>
                <w:color w:val="FFFFFF"/>
              </w:rPr>
            </w:pPr>
            <w:r>
              <w:rPr>
                <w:color w:val="FFFFFF"/>
              </w:rPr>
              <w:t>Crédito de Serviço</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F01ED6">
            <w:pPr>
              <w:pStyle w:val="ProductList-OfferingBody"/>
              <w:jc w:val="center"/>
            </w:pPr>
            <w:r>
              <w:t>&lt; 99,9%</w:t>
            </w:r>
          </w:p>
        </w:tc>
        <w:tc>
          <w:tcPr>
            <w:tcW w:w="5400" w:type="dxa"/>
            <w:tcMar>
              <w:top w:w="0" w:type="dxa"/>
              <w:left w:w="108" w:type="dxa"/>
              <w:bottom w:w="0" w:type="dxa"/>
              <w:right w:w="108" w:type="dxa"/>
            </w:tcMar>
            <w:hideMark/>
          </w:tcPr>
          <w:p w14:paraId="44FCA89A" w14:textId="77777777" w:rsidR="00F06C94" w:rsidRPr="00EF7CF9" w:rsidRDefault="00F06C94" w:rsidP="00F01ED6">
            <w:pPr>
              <w:pStyle w:val="ProductList-OfferingBody"/>
              <w:jc w:val="center"/>
            </w:pPr>
            <w:r>
              <w:t>10%</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F01ED6">
            <w:pPr>
              <w:pStyle w:val="ProductList-OfferingBody"/>
              <w:jc w:val="center"/>
            </w:pPr>
            <w:r>
              <w:t>&lt; 99%</w:t>
            </w:r>
          </w:p>
        </w:tc>
        <w:tc>
          <w:tcPr>
            <w:tcW w:w="5400" w:type="dxa"/>
            <w:tcMar>
              <w:top w:w="0" w:type="dxa"/>
              <w:left w:w="108" w:type="dxa"/>
              <w:bottom w:w="0" w:type="dxa"/>
              <w:right w:w="108" w:type="dxa"/>
            </w:tcMar>
            <w:hideMark/>
          </w:tcPr>
          <w:p w14:paraId="3F5F7E1E" w14:textId="77777777" w:rsidR="00F06C94" w:rsidRPr="00EF7CF9" w:rsidRDefault="00F06C94" w:rsidP="00F01ED6">
            <w:pPr>
              <w:pStyle w:val="ProductList-OfferingBody"/>
              <w:jc w:val="center"/>
            </w:pPr>
            <w:r>
              <w:t>25%</w:t>
            </w:r>
          </w:p>
        </w:tc>
      </w:tr>
    </w:tbl>
    <w:p w14:paraId="467D963B" w14:textId="77777777" w:rsidR="00F06C94" w:rsidRPr="00494F85" w:rsidRDefault="00F06C94" w:rsidP="00F01ED6">
      <w:pPr>
        <w:pStyle w:val="ProductList-Body"/>
        <w:rPr>
          <w:sz w:val="12"/>
          <w:szCs w:val="12"/>
        </w:rPr>
      </w:pPr>
    </w:p>
    <w:p w14:paraId="5AF92A53" w14:textId="388987C2" w:rsidR="00F06C94" w:rsidRPr="00EF7CF9" w:rsidRDefault="00F06C94" w:rsidP="00F01ED6">
      <w:pPr>
        <w:pStyle w:val="ProductList-Body"/>
        <w:spacing w:after="40"/>
      </w:pPr>
      <w:r>
        <w:rPr>
          <w:b/>
          <w:color w:val="00188F"/>
        </w:rPr>
        <w:lastRenderedPageBreak/>
        <w:t>Exceções de Nível de Serviço</w:t>
      </w:r>
      <w:r w:rsidRPr="00473DD3">
        <w:rPr>
          <w:b/>
          <w:color w:val="00188F"/>
        </w:rPr>
        <w:t>:</w:t>
      </w:r>
      <w:r>
        <w:t xml:space="preserve"> Este Nível de Serviço não se aplica a: (i) software no local licenciado como parte da subscrição do Serviço, ou (ii)</w:t>
      </w:r>
      <w:r w:rsidR="006415DD">
        <w:t> </w:t>
      </w:r>
      <w:r>
        <w:t>serviços baseados na Internet (excluindo Microsoft Cloud App Security) que forneçam atualizações através da API (interface de programação de</w:t>
      </w:r>
      <w:r w:rsidR="006415DD">
        <w:t> </w:t>
      </w:r>
      <w:r>
        <w:t>aplicações) a quaisquer serviços licenciado como parte da subscrição do Serviço.</w:t>
      </w:r>
    </w:p>
    <w:p w14:paraId="1FF7B0B2"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9D3E044" w14:textId="728CC8BA" w:rsidR="00C801FD" w:rsidRDefault="002F5BDB" w:rsidP="00F01ED6">
      <w:pPr>
        <w:pStyle w:val="ProductList-Offering2Heading"/>
        <w:tabs>
          <w:tab w:val="clear" w:pos="360"/>
          <w:tab w:val="clear" w:pos="720"/>
          <w:tab w:val="clear" w:pos="1080"/>
        </w:tabs>
        <w:outlineLvl w:val="2"/>
      </w:pPr>
      <w:bookmarkStart w:id="454" w:name="_Toc239176556"/>
      <w:r>
        <w:t xml:space="preserve">Microsoft </w:t>
      </w:r>
      <w:r w:rsidR="00C801FD">
        <w:t>Dragon Copilot</w:t>
      </w:r>
      <w:bookmarkEnd w:id="454"/>
    </w:p>
    <w:p w14:paraId="3F335B4A" w14:textId="77777777" w:rsidR="00793E43" w:rsidRPr="00C130F5" w:rsidRDefault="00793E43" w:rsidP="00793E43">
      <w:pPr>
        <w:pStyle w:val="ProductList-Body"/>
        <w:rPr>
          <w:rFonts w:ascii="Calibri" w:hAnsi="Calibri" w:cs="Calibri"/>
          <w:b/>
          <w:color w:val="00188F"/>
        </w:rPr>
      </w:pPr>
      <w:r>
        <w:rPr>
          <w:rFonts w:ascii="Calibri" w:hAnsi="Calibri" w:cs="Calibri"/>
          <w:b/>
          <w:color w:val="00188F"/>
        </w:rPr>
        <w:t>Definições Adicionais:</w:t>
      </w:r>
    </w:p>
    <w:p w14:paraId="11F3D0BA" w14:textId="77777777" w:rsidR="00E57CE5" w:rsidRDefault="00E57CE5" w:rsidP="00E57CE5">
      <w:pPr>
        <w:pStyle w:val="ProductList-Body"/>
        <w:rPr>
          <w:rFonts w:ascii="Calibri" w:hAnsi="Calibri" w:cs="Calibri"/>
          <w:bCs/>
        </w:rPr>
      </w:pPr>
      <w:r w:rsidRPr="002478F7">
        <w:rPr>
          <w:rFonts w:ascii="Calibri" w:hAnsi="Calibri" w:cs="Calibri"/>
          <w:b/>
          <w:color w:val="00188F"/>
        </w:rPr>
        <w:t>“</w:t>
      </w:r>
      <w:r>
        <w:rPr>
          <w:rFonts w:ascii="Calibri" w:hAnsi="Calibri" w:cs="Calibri"/>
          <w:b/>
          <w:color w:val="00188F"/>
        </w:rPr>
        <w:t>Reconhecimento de Voz Ambiente</w:t>
      </w:r>
      <w:r w:rsidRPr="002478F7">
        <w:rPr>
          <w:rFonts w:ascii="Calibri" w:hAnsi="Calibri" w:cs="Calibri"/>
          <w:b/>
          <w:color w:val="00188F"/>
        </w:rPr>
        <w:t>”</w:t>
      </w:r>
      <w:r>
        <w:rPr>
          <w:rFonts w:ascii="Calibri" w:hAnsi="Calibri" w:cs="Calibri"/>
          <w:b/>
          <w:color w:val="00188F"/>
        </w:rPr>
        <w:t xml:space="preserve"> </w:t>
      </w:r>
      <w:r>
        <w:rPr>
          <w:rFonts w:ascii="Calibri" w:hAnsi="Calibri" w:cs="Calibri"/>
          <w:bCs/>
        </w:rPr>
        <w:t>designa a capacidade de registar um encontro de cuidados de saúde ou outra narração de voz para gerar Conteúdo de Saída e/ou Documentação do Encontro.</w:t>
      </w:r>
    </w:p>
    <w:p w14:paraId="6E13585A" w14:textId="77777777" w:rsidR="00793E43" w:rsidRPr="00C130F5" w:rsidRDefault="00793E43" w:rsidP="00793E43">
      <w:pPr>
        <w:pStyle w:val="ProductList-Body"/>
        <w:rPr>
          <w:rFonts w:ascii="Calibri" w:hAnsi="Calibri" w:cs="Calibri"/>
          <w:b/>
          <w:color w:val="00188F"/>
        </w:rPr>
      </w:pPr>
      <w:r>
        <w:rPr>
          <w:rFonts w:ascii="Calibri" w:hAnsi="Calibri" w:cs="Calibri"/>
          <w:b/>
          <w:color w:val="00188F"/>
        </w:rPr>
        <w:t xml:space="preserve">“Período de Indisponibilidade do Reconhecimento de Voz Ambiente” </w:t>
      </w:r>
      <w:r>
        <w:rPr>
          <w:rFonts w:ascii="Calibri" w:hAnsi="Calibri" w:cs="Calibri"/>
          <w:bCs/>
        </w:rPr>
        <w:t>designa o Período de Indisponibilidade aplicável ao Reconhecimento de Voz Ambiente. O Período de Indisponibilidade do Reconhecimento de Voz Ambiente é o período de tempo em minutos durante o qual o Reconhecimento de Voz Ambiente está materialmente degradado ou indisponível devido a uma falha, avaria ou outra interrupção de serviço pela qual a Microsoft é responsável. O Reconhecimento de Voz Ambiente será considerado materialmente degradado se o serviço não conseguir dar uma resposta no prazo de 15 minutos em condições normais de rede.</w:t>
      </w:r>
    </w:p>
    <w:p w14:paraId="773168FB" w14:textId="77777777" w:rsidR="00793E43" w:rsidRPr="00C130F5" w:rsidRDefault="00793E43" w:rsidP="00793E43">
      <w:pPr>
        <w:pStyle w:val="ProductList-Body"/>
        <w:rPr>
          <w:rFonts w:ascii="Calibri" w:hAnsi="Calibri" w:cs="Calibri"/>
          <w:b/>
          <w:color w:val="00188F"/>
        </w:rPr>
      </w:pPr>
      <w:r>
        <w:rPr>
          <w:rFonts w:ascii="Calibri" w:hAnsi="Calibri" w:cs="Calibri"/>
          <w:b/>
          <w:color w:val="00188F"/>
        </w:rPr>
        <w:t xml:space="preserve">“Reconhecimento de Voz Front-End” </w:t>
      </w:r>
      <w:r>
        <w:rPr>
          <w:rFonts w:ascii="Calibri" w:hAnsi="Calibri" w:cs="Calibri"/>
          <w:bCs/>
        </w:rPr>
        <w:t>designa a capacidade de ditar informações para a aplicação alvo e de desencadear ações específicas através de comandos de voz explícitos.</w:t>
      </w:r>
    </w:p>
    <w:p w14:paraId="3D9561CA" w14:textId="77777777" w:rsidR="00793E43" w:rsidRPr="00C130F5" w:rsidRDefault="00793E43" w:rsidP="00793E43">
      <w:pPr>
        <w:pStyle w:val="ProductList-Body"/>
        <w:rPr>
          <w:rFonts w:ascii="Calibri" w:hAnsi="Calibri" w:cs="Calibri"/>
          <w:b/>
          <w:color w:val="00188F"/>
        </w:rPr>
      </w:pPr>
      <w:r>
        <w:rPr>
          <w:rFonts w:ascii="Calibri" w:hAnsi="Calibri" w:cs="Calibri"/>
          <w:b/>
          <w:color w:val="00188F"/>
        </w:rPr>
        <w:t>“Período de Indisponibilidade do Reconhecimento de Voz Front-End”</w:t>
      </w:r>
      <w:r>
        <w:rPr>
          <w:rFonts w:ascii="Calibri" w:hAnsi="Calibri" w:cs="Calibri"/>
          <w:bCs/>
        </w:rPr>
        <w:t xml:space="preserve"> designa o Período de Indisponibilidade aplicável ao Reconhecimento de Voz Front-End. O Período de Indisponibilidade do Reconhecimento de Voz Front-End é o período de tempo em minutos durante o qual o Reconhecimento de Voz Front-End está materialmente degradado ou indisponível devido a uma falha, avaria ou outra interrupção de serviço pela qual a Microsoft é responsável. O Reconhecimento de Voz Front-End será considerado materialmente degradado se o serviço não conseguir dar uma resposta no prazo de 2 minutos em condições normais de rede.</w:t>
      </w:r>
    </w:p>
    <w:p w14:paraId="26D55EEC" w14:textId="77777777" w:rsidR="00793E43" w:rsidRPr="00C130F5" w:rsidRDefault="00793E43" w:rsidP="00793E43">
      <w:pPr>
        <w:pStyle w:val="ProductList-Body"/>
        <w:rPr>
          <w:rFonts w:ascii="Calibri" w:hAnsi="Calibri" w:cs="Calibri"/>
          <w:b/>
          <w:color w:val="00188F"/>
        </w:rPr>
      </w:pPr>
      <w:r>
        <w:rPr>
          <w:rFonts w:ascii="Calibri" w:hAnsi="Calibri" w:cs="Calibri"/>
          <w:b/>
          <w:color w:val="00188F"/>
        </w:rPr>
        <w:t xml:space="preserve">Percentagem de Período de Disponibilidade: </w:t>
      </w:r>
      <w:r>
        <w:rPr>
          <w:rFonts w:ascii="Calibri" w:hAnsi="Calibri" w:cs="Calibri"/>
          <w:bCs/>
        </w:rPr>
        <w:t>A Percentagem de Período de Disponibilidade para o Reconhecimento de Voz Ambiente é calculada com a seguinte fórmula:</w:t>
      </w:r>
    </w:p>
    <w:p w14:paraId="62A743B9" w14:textId="77777777" w:rsidR="00793E43" w:rsidRDefault="00000000" w:rsidP="00793E43">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Minutos de Utilizador - Período de Indisponibilidade do Reconhecimento de Voz Ambiente </m:t>
              </m:r>
            </m:num>
            <m:den>
              <m:r>
                <w:rPr>
                  <w:rFonts w:ascii="Cambria Math" w:hAnsi="Cambria Math"/>
                  <w:sz w:val="18"/>
                  <w:szCs w:val="18"/>
                </w:rPr>
                <m:t>Minutos de Utilizador</m:t>
              </m:r>
            </m:den>
          </m:f>
          <m:r>
            <w:rPr>
              <w:rFonts w:ascii="Cambria Math" w:hAnsi="Cambria Math"/>
              <w:sz w:val="18"/>
              <w:szCs w:val="18"/>
            </w:rPr>
            <m:t> x 100</m:t>
          </m:r>
        </m:oMath>
      </m:oMathPara>
    </w:p>
    <w:p w14:paraId="45DDEEB1" w14:textId="77777777" w:rsidR="00793E43" w:rsidRPr="005D7F76" w:rsidRDefault="00793E43" w:rsidP="00793E43">
      <w:pPr>
        <w:pStyle w:val="ProductList-Body"/>
        <w:rPr>
          <w:rFonts w:ascii="Calibri" w:hAnsi="Calibri" w:cs="Calibri"/>
          <w:bCs/>
        </w:rPr>
      </w:pPr>
      <w:r>
        <w:rPr>
          <w:rFonts w:ascii="Calibri" w:hAnsi="Calibri" w:cs="Calibri"/>
          <w:bCs/>
        </w:rPr>
        <w:t>em que o Período de Indisponibilidade do Reconhecimento de Voz Ambiente é medido em minutos de utilizador, ou seja, para cada Período Aplicável, o Período de Indisponibilidade do Reconhecimento de Voz Ambiente é a soma da duração (em minutos) de cada Incidente que ocorre durante o Período Aplicável multiplicada pelo número de utilizadores afetados por esse Incidente.</w:t>
      </w:r>
    </w:p>
    <w:p w14:paraId="6E1AD803" w14:textId="77777777" w:rsidR="00793E43" w:rsidRPr="005D7F76" w:rsidRDefault="00793E43" w:rsidP="00793E43">
      <w:pPr>
        <w:tabs>
          <w:tab w:val="left" w:pos="360"/>
          <w:tab w:val="left" w:pos="720"/>
          <w:tab w:val="left" w:pos="1080"/>
        </w:tabs>
        <w:spacing w:after="0" w:line="240" w:lineRule="auto"/>
        <w:rPr>
          <w:rFonts w:ascii="Calibri" w:hAnsi="Calibri" w:cs="Calibri"/>
          <w:bCs/>
          <w:sz w:val="18"/>
        </w:rPr>
      </w:pPr>
    </w:p>
    <w:p w14:paraId="16DDD185" w14:textId="77777777" w:rsidR="00793E43" w:rsidRPr="005D7F76" w:rsidRDefault="00793E43" w:rsidP="00793E43">
      <w:pPr>
        <w:pStyle w:val="ProductList-Body"/>
        <w:rPr>
          <w:rFonts w:ascii="Calibri" w:hAnsi="Calibri" w:cs="Calibri"/>
          <w:bCs/>
        </w:rPr>
      </w:pPr>
      <w:r>
        <w:rPr>
          <w:rFonts w:ascii="Calibri" w:hAnsi="Calibri" w:cs="Calibri"/>
          <w:bCs/>
        </w:rPr>
        <w:t>A Percentagem de Período de Disponibilidade para o Reconhecimento de Voz Front-End é calculada com a seguinte fórmula:</w:t>
      </w:r>
    </w:p>
    <w:p w14:paraId="56BB9A7B" w14:textId="77777777" w:rsidR="00793E43" w:rsidRDefault="00000000" w:rsidP="00793E43">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Minutos de Utilizador - Período de Indisponibilidade do Reconhecimento de Voz Front End </m:t>
              </m:r>
            </m:num>
            <m:den>
              <m:r>
                <w:rPr>
                  <w:rFonts w:ascii="Cambria Math" w:hAnsi="Cambria Math"/>
                  <w:sz w:val="18"/>
                  <w:szCs w:val="18"/>
                </w:rPr>
                <m:t>Minutos de Utilizador</m:t>
              </m:r>
            </m:den>
          </m:f>
          <m:r>
            <w:rPr>
              <w:rFonts w:ascii="Cambria Math" w:hAnsi="Cambria Math"/>
              <w:sz w:val="18"/>
              <w:szCs w:val="18"/>
            </w:rPr>
            <m:t> x 100</m:t>
          </m:r>
        </m:oMath>
      </m:oMathPara>
    </w:p>
    <w:p w14:paraId="76223F3D" w14:textId="77777777" w:rsidR="00793E43" w:rsidRPr="005D7F76" w:rsidRDefault="00793E43" w:rsidP="00793E43">
      <w:pPr>
        <w:pStyle w:val="ProductList-Body"/>
        <w:rPr>
          <w:rFonts w:ascii="Calibri" w:hAnsi="Calibri" w:cs="Calibri"/>
          <w:bCs/>
        </w:rPr>
      </w:pPr>
      <w:r>
        <w:rPr>
          <w:rFonts w:ascii="Calibri" w:hAnsi="Calibri" w:cs="Calibri"/>
          <w:bCs/>
        </w:rPr>
        <w:t>em que o Período de Indisponibilidade do Reconhecimento de Voz Front-End é medido em minutos de utilizador, ou seja, para cada Período Aplicável, o Período de Indisponibilidade do Reconhecimento de Voz Front-End é a soma da duração (em minutos) de cada Incidente que ocorre durante o Período Aplicável multiplicada pelo número de utilizadores afetados por esse Incidente.</w:t>
      </w:r>
    </w:p>
    <w:p w14:paraId="1AE11035" w14:textId="77777777" w:rsidR="00793E43" w:rsidRPr="000C6829" w:rsidRDefault="00793E43" w:rsidP="00793E43">
      <w:pPr>
        <w:tabs>
          <w:tab w:val="left" w:pos="360"/>
          <w:tab w:val="left" w:pos="720"/>
          <w:tab w:val="left" w:pos="1080"/>
        </w:tabs>
        <w:spacing w:after="0" w:line="240" w:lineRule="auto"/>
        <w:rPr>
          <w:rFonts w:ascii="Calibri" w:eastAsia="Aptos" w:hAnsi="Calibri" w:cs="Calibri"/>
          <w:color w:val="00188F"/>
          <w:sz w:val="18"/>
          <w:szCs w:val="18"/>
        </w:rPr>
      </w:pPr>
    </w:p>
    <w:p w14:paraId="47377D45" w14:textId="77777777" w:rsidR="00793E43" w:rsidRPr="000C6829" w:rsidRDefault="00793E43" w:rsidP="00793E43">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Crédito de Serviço para Reconhecimento de Voz Ambiente:</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793E43" w14:paraId="7F91525D"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36CDACDD" w14:textId="77777777" w:rsidR="00793E43" w:rsidRPr="00DA45B3" w:rsidRDefault="00793E43"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Percentagem de Período de Disponibilidade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0B6D6A3D" w14:textId="77777777" w:rsidR="00793E43" w:rsidRPr="00DA45B3" w:rsidRDefault="00793E43"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Crédito de Serviço</w:t>
            </w:r>
          </w:p>
        </w:tc>
      </w:tr>
      <w:tr w:rsidR="00793E43" w14:paraId="277CCFFD"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11C06F" w14:textId="37E695AF" w:rsidR="00793E43" w:rsidRPr="00FB7EE5" w:rsidRDefault="00793E43" w:rsidP="00CD184E">
            <w:pPr>
              <w:pStyle w:val="ProductList-OfferingBody"/>
              <w:jc w:val="center"/>
              <w:rPr>
                <w:rFonts w:ascii="Calibri" w:eastAsia="Aptos" w:hAnsi="Calibri" w:cs="Calibri"/>
                <w:szCs w:val="16"/>
              </w:rPr>
            </w:pPr>
            <w:r>
              <w:rPr>
                <w:rFonts w:ascii="Calibri" w:eastAsia="Aptos" w:hAnsi="Calibri" w:cs="Calibri"/>
                <w:szCs w:val="16"/>
              </w:rPr>
              <w:t>&lt; 99</w:t>
            </w:r>
            <w:r w:rsidR="00551E1F">
              <w:rPr>
                <w:rFonts w:ascii="Calibri" w:eastAsia="Aptos" w:hAnsi="Calibri" w:cs="Calibri"/>
                <w:szCs w:val="16"/>
              </w:rPr>
              <w:t>,9</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10258A" w14:textId="77777777" w:rsidR="00793E43" w:rsidRPr="00FB7EE5" w:rsidRDefault="00793E43"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793E43" w14:paraId="134C41B4"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43E0DE" w14:textId="50C6AB91" w:rsidR="00793E43" w:rsidRPr="00FB7EE5" w:rsidRDefault="00793E43" w:rsidP="00CD184E">
            <w:pPr>
              <w:pStyle w:val="ProductList-OfferingBody"/>
              <w:jc w:val="center"/>
              <w:rPr>
                <w:rFonts w:ascii="Calibri" w:eastAsia="Aptos" w:hAnsi="Calibri" w:cs="Calibri"/>
                <w:szCs w:val="16"/>
              </w:rPr>
            </w:pPr>
            <w:r>
              <w:rPr>
                <w:rFonts w:ascii="Calibri" w:eastAsia="Aptos" w:hAnsi="Calibri" w:cs="Calibri"/>
                <w:szCs w:val="16"/>
              </w:rPr>
              <w:t>&lt; 98</w:t>
            </w:r>
            <w:r w:rsidR="00551E1F">
              <w:rPr>
                <w:rFonts w:ascii="Calibri" w:eastAsia="Aptos" w:hAnsi="Calibri" w:cs="Calibri"/>
                <w:szCs w:val="16"/>
              </w:rPr>
              <w:t>,5</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169B30" w14:textId="77777777" w:rsidR="00793E43" w:rsidRPr="00FB7EE5" w:rsidRDefault="00793E43"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6F8151E2" w14:textId="77777777" w:rsidR="00793E43" w:rsidRPr="000C6829" w:rsidRDefault="00793E43" w:rsidP="00793E43">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Crédito de Serviço para Reconhecimento de Voz Front-End:</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793E43" w14:paraId="304B8281"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F2F2D7B" w14:textId="77777777" w:rsidR="00793E43" w:rsidRPr="00FB7EE5" w:rsidRDefault="00793E43"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Percentagem de Período de Disponibilidade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FF0B48E" w14:textId="77777777" w:rsidR="00793E43" w:rsidRPr="00FB7EE5" w:rsidRDefault="00793E43"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Crédito de Serviço</w:t>
            </w:r>
          </w:p>
        </w:tc>
      </w:tr>
      <w:tr w:rsidR="00793E43" w14:paraId="5C1AC6D2"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DA5D50" w14:textId="77777777" w:rsidR="00793E43" w:rsidRPr="00FB7EE5" w:rsidRDefault="00793E43" w:rsidP="00CD184E">
            <w:pPr>
              <w:pStyle w:val="ProductList-OfferingBody"/>
              <w:jc w:val="center"/>
              <w:rPr>
                <w:rFonts w:ascii="Calibri" w:eastAsia="Aptos" w:hAnsi="Calibri" w:cs="Calibri"/>
                <w:szCs w:val="16"/>
              </w:rPr>
            </w:pPr>
            <w:r>
              <w:rPr>
                <w:rFonts w:ascii="Calibri" w:eastAsia="Aptos" w:hAnsi="Calibri" w:cs="Calibri"/>
                <w:szCs w:val="16"/>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3AA6B8" w14:textId="77777777" w:rsidR="00793E43" w:rsidRPr="00FB7EE5" w:rsidRDefault="00793E43"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793E43" w14:paraId="2D1359DE"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4A484D" w14:textId="77777777" w:rsidR="00793E43" w:rsidRPr="00FB7EE5" w:rsidRDefault="00793E43" w:rsidP="00CD184E">
            <w:pPr>
              <w:pStyle w:val="ProductList-OfferingBody"/>
              <w:jc w:val="center"/>
              <w:rPr>
                <w:rFonts w:ascii="Calibri" w:eastAsia="Aptos" w:hAnsi="Calibri" w:cs="Calibri"/>
                <w:szCs w:val="16"/>
              </w:rPr>
            </w:pPr>
            <w:r>
              <w:rPr>
                <w:rFonts w:ascii="Calibri" w:eastAsia="Aptos" w:hAnsi="Calibri" w:cs="Calibri"/>
                <w:szCs w:val="16"/>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C45590" w14:textId="77777777" w:rsidR="00793E43" w:rsidRPr="00FB7EE5" w:rsidRDefault="00793E43"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5A6B6A58" w14:textId="77777777" w:rsidR="00793E43" w:rsidRPr="000C6829" w:rsidRDefault="00793E43" w:rsidP="00793E43">
      <w:pPr>
        <w:pStyle w:val="ProductList-Body"/>
        <w:spacing w:before="120"/>
        <w:rPr>
          <w:rFonts w:ascii="Calibri" w:hAnsi="Calibri" w:cs="Calibri"/>
          <w:b/>
          <w:color w:val="00188F"/>
        </w:rPr>
      </w:pPr>
      <w:r>
        <w:rPr>
          <w:rFonts w:ascii="Calibri" w:hAnsi="Calibri" w:cs="Calibri"/>
          <w:b/>
          <w:color w:val="00188F"/>
        </w:rPr>
        <w:t xml:space="preserve">Termos Adicionais: </w:t>
      </w:r>
    </w:p>
    <w:p w14:paraId="65DBA3DC" w14:textId="77777777" w:rsidR="00793E43" w:rsidRPr="000C6829" w:rsidRDefault="00793E43" w:rsidP="00793E43">
      <w:pPr>
        <w:spacing w:after="0" w:line="240" w:lineRule="auto"/>
        <w:rPr>
          <w:rFonts w:ascii="Calibri" w:hAnsi="Calibri" w:cs="Calibri"/>
          <w:sz w:val="18"/>
          <w:szCs w:val="18"/>
        </w:rPr>
      </w:pPr>
      <w:r>
        <w:rPr>
          <w:rFonts w:ascii="Calibri" w:hAnsi="Calibri" w:cs="Calibri"/>
          <w:sz w:val="18"/>
          <w:szCs w:val="18"/>
        </w:rPr>
        <w:t xml:space="preserve">Só é permitido um Crédito de Serviço para o Dragon Copilot durante um Período Aplicável. Quando um Cliente for, a qualquer outro título, elegível tanto para um Crédito de Serviço para Reconhecimento de Voz Front-End como para um Crédito de Serviço para Reconhecimento de Voz Ambiente, o Cliente pode reclamar o Crédito de Serviço de maior montante. </w:t>
      </w:r>
    </w:p>
    <w:p w14:paraId="227D5997" w14:textId="77777777" w:rsidR="00614A89" w:rsidRPr="00EF7CF9" w:rsidRDefault="00614A89" w:rsidP="00614A8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A85610C" w14:textId="6D5931C7" w:rsidR="005C2F5C" w:rsidRPr="00EF7CF9" w:rsidRDefault="005C2F5C" w:rsidP="008022E5">
      <w:pPr>
        <w:pStyle w:val="ProductList-Offering2Heading"/>
        <w:keepNext/>
        <w:pageBreakBefore/>
        <w:tabs>
          <w:tab w:val="clear" w:pos="360"/>
          <w:tab w:val="clear" w:pos="720"/>
          <w:tab w:val="clear" w:pos="1080"/>
        </w:tabs>
        <w:outlineLvl w:val="2"/>
      </w:pPr>
      <w:bookmarkStart w:id="455" w:name="_Toc239176557"/>
      <w:r>
        <w:lastRenderedPageBreak/>
        <w:t>Microsoft Power Automate</w:t>
      </w:r>
      <w:bookmarkEnd w:id="455"/>
    </w:p>
    <w:p w14:paraId="49E8FEB2" w14:textId="5E66464B" w:rsidR="005C2F5C" w:rsidRPr="00EF7CF9" w:rsidRDefault="005C2F5C" w:rsidP="00F01ED6">
      <w:pPr>
        <w:pStyle w:val="ProductList-Body"/>
      </w:pPr>
      <w:r>
        <w:rPr>
          <w:b/>
          <w:color w:val="00188F"/>
        </w:rPr>
        <w:t>Período de Indisponibilidade</w:t>
      </w:r>
      <w:r w:rsidRPr="00473DD3">
        <w:rPr>
          <w:b/>
          <w:color w:val="00188F"/>
        </w:rPr>
        <w:t>:</w:t>
      </w:r>
      <w:r>
        <w:t xml:space="preserve"> </w:t>
      </w:r>
      <w:r>
        <w:rPr>
          <w:szCs w:val="18"/>
        </w:rPr>
        <w:t>Qualquer período de tempo em que os fluxos dos utilizadores não têm conectividade ao gateway para a Internet da</w:t>
      </w:r>
      <w:r w:rsidR="0074049A">
        <w:rPr>
          <w:szCs w:val="18"/>
        </w:rPr>
        <w:t> </w:t>
      </w:r>
      <w:r>
        <w:rPr>
          <w:szCs w:val="18"/>
        </w:rPr>
        <w:t>Microsoft.</w:t>
      </w:r>
    </w:p>
    <w:p w14:paraId="666A64CA" w14:textId="402497D7" w:rsidR="005C2F5C"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35410C1" w14:textId="49E92E2F" w:rsidR="005C2F5C" w:rsidRPr="00EF7CF9" w:rsidRDefault="00000000" w:rsidP="008929C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Número total de minutos num mês – Período de Indisponibilidade</m:t>
              </m:r>
            </m:num>
            <m:den>
              <m:r>
                <m:rPr>
                  <m:nor/>
                </m:rPr>
                <w:rPr>
                  <w:rFonts w:ascii="Cambria Math" w:hAnsi="Cambria Math" w:cs="Calibri"/>
                  <w:i/>
                  <w:iCs/>
                  <w:sz w:val="18"/>
                  <w:szCs w:val="18"/>
                </w:rPr>
                <m:t>Número total de minutos num mês</m:t>
              </m:r>
            </m:den>
          </m:f>
          <m:r>
            <w:rPr>
              <w:rFonts w:ascii="Cambria Math" w:hAnsi="Cambria Math" w:cs="Calibri"/>
              <w:sz w:val="18"/>
              <w:szCs w:val="18"/>
            </w:rPr>
            <m:t xml:space="preserve"> x 100</m:t>
          </m:r>
        </m:oMath>
      </m:oMathPara>
    </w:p>
    <w:p w14:paraId="7B13A9E1" w14:textId="32A264BA" w:rsidR="005C2F5C" w:rsidRDefault="00AC48A7" w:rsidP="00F01ED6">
      <w:pPr>
        <w:pStyle w:val="ProductList-Body"/>
        <w:ind w:right="153"/>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4E8AA1C9" w14:textId="77777777" w:rsidR="000C15FB" w:rsidRDefault="000C15FB" w:rsidP="00F01ED6">
      <w:pPr>
        <w:pStyle w:val="ProductList-Body"/>
        <w:ind w:right="153"/>
      </w:pPr>
    </w:p>
    <w:p w14:paraId="28235451" w14:textId="77777777" w:rsidR="005C2F5C" w:rsidRPr="00EF7CF9" w:rsidRDefault="005C2F5C"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9D96925" w14:textId="77777777" w:rsidR="005C2F5C" w:rsidRPr="00EF7CF9" w:rsidRDefault="005C2F5C" w:rsidP="00F01ED6">
            <w:pPr>
              <w:pStyle w:val="ProductList-OfferingBody"/>
              <w:jc w:val="center"/>
              <w:rPr>
                <w:color w:val="FFFFFF" w:themeColor="background1"/>
              </w:rPr>
            </w:pPr>
            <w:r>
              <w:rPr>
                <w:color w:val="FFFFFF" w:themeColor="background1"/>
              </w:rPr>
              <w:t>Crédito de Serviço</w:t>
            </w:r>
          </w:p>
        </w:tc>
      </w:tr>
      <w:tr w:rsidR="005C2F5C" w:rsidRPr="00B44CF9" w14:paraId="23AD7662" w14:textId="77777777" w:rsidTr="00170FD9">
        <w:tc>
          <w:tcPr>
            <w:tcW w:w="5400" w:type="dxa"/>
          </w:tcPr>
          <w:p w14:paraId="24F0904F" w14:textId="77777777" w:rsidR="005C2F5C" w:rsidRPr="00EF7CF9" w:rsidRDefault="005C2F5C" w:rsidP="00F01ED6">
            <w:pPr>
              <w:pStyle w:val="ProductList-OfferingBody"/>
              <w:jc w:val="center"/>
            </w:pPr>
            <w:r>
              <w:t>&lt; 99,9%</w:t>
            </w:r>
          </w:p>
        </w:tc>
        <w:tc>
          <w:tcPr>
            <w:tcW w:w="5400" w:type="dxa"/>
          </w:tcPr>
          <w:p w14:paraId="3BDCE0EB" w14:textId="77777777" w:rsidR="005C2F5C" w:rsidRPr="00EF7CF9" w:rsidRDefault="005C2F5C" w:rsidP="00F01ED6">
            <w:pPr>
              <w:pStyle w:val="ProductList-OfferingBody"/>
              <w:jc w:val="center"/>
            </w:pPr>
            <w:r>
              <w:t>25%</w:t>
            </w:r>
          </w:p>
        </w:tc>
      </w:tr>
      <w:tr w:rsidR="005C2F5C" w:rsidRPr="00B44CF9" w14:paraId="44163FA5" w14:textId="77777777" w:rsidTr="00170FD9">
        <w:tc>
          <w:tcPr>
            <w:tcW w:w="5400" w:type="dxa"/>
          </w:tcPr>
          <w:p w14:paraId="50A34D5D" w14:textId="77777777" w:rsidR="005C2F5C" w:rsidRPr="00EF7CF9" w:rsidRDefault="005C2F5C" w:rsidP="00F01ED6">
            <w:pPr>
              <w:pStyle w:val="ProductList-OfferingBody"/>
              <w:jc w:val="center"/>
            </w:pPr>
            <w:r>
              <w:t>&lt; 99%</w:t>
            </w:r>
          </w:p>
        </w:tc>
        <w:tc>
          <w:tcPr>
            <w:tcW w:w="5400" w:type="dxa"/>
          </w:tcPr>
          <w:p w14:paraId="23DBD8BB" w14:textId="77777777" w:rsidR="005C2F5C" w:rsidRPr="00EF7CF9" w:rsidRDefault="005C2F5C" w:rsidP="00F01ED6">
            <w:pPr>
              <w:pStyle w:val="ProductList-OfferingBody"/>
              <w:jc w:val="center"/>
            </w:pPr>
            <w:r>
              <w:t>50%</w:t>
            </w:r>
          </w:p>
        </w:tc>
      </w:tr>
      <w:tr w:rsidR="005C2F5C" w:rsidRPr="00B44CF9" w14:paraId="1964C12E" w14:textId="77777777" w:rsidTr="00170FD9">
        <w:tc>
          <w:tcPr>
            <w:tcW w:w="5400" w:type="dxa"/>
          </w:tcPr>
          <w:p w14:paraId="2494823F" w14:textId="77777777" w:rsidR="005C2F5C" w:rsidRPr="00EF7CF9" w:rsidRDefault="005C2F5C" w:rsidP="00F01ED6">
            <w:pPr>
              <w:pStyle w:val="ProductList-OfferingBody"/>
              <w:jc w:val="center"/>
            </w:pPr>
            <w:r>
              <w:t>&lt; 95%</w:t>
            </w:r>
          </w:p>
        </w:tc>
        <w:tc>
          <w:tcPr>
            <w:tcW w:w="5400" w:type="dxa"/>
          </w:tcPr>
          <w:p w14:paraId="7055748A" w14:textId="77777777" w:rsidR="005C2F5C" w:rsidRPr="00EF7CF9" w:rsidRDefault="005C2F5C" w:rsidP="00F01ED6">
            <w:pPr>
              <w:pStyle w:val="ProductList-OfferingBody"/>
              <w:jc w:val="center"/>
            </w:pPr>
            <w:r>
              <w:t>100%</w:t>
            </w:r>
          </w:p>
        </w:tc>
      </w:tr>
    </w:tbl>
    <w:p w14:paraId="3CE8FC5E"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457EA08" w14:textId="3C267C6A" w:rsidR="00C22AAF" w:rsidRPr="00EF7CF9" w:rsidRDefault="00C22AAF" w:rsidP="00C22AAF">
      <w:pPr>
        <w:pStyle w:val="ProductList-Offering2Heading"/>
        <w:tabs>
          <w:tab w:val="clear" w:pos="360"/>
          <w:tab w:val="clear" w:pos="720"/>
          <w:tab w:val="clear" w:pos="1080"/>
        </w:tabs>
        <w:outlineLvl w:val="2"/>
      </w:pPr>
      <w:bookmarkStart w:id="456" w:name="_Toc239176558"/>
      <w:r>
        <w:t>Microsoft Power Pages</w:t>
      </w:r>
      <w:bookmarkEnd w:id="456"/>
    </w:p>
    <w:p w14:paraId="0679D084" w14:textId="77777777" w:rsidR="00AF563D" w:rsidRPr="00AF563D" w:rsidRDefault="00AF563D" w:rsidP="00AF563D">
      <w:pPr>
        <w:shd w:val="clear" w:color="auto" w:fill="FFFFFF"/>
        <w:spacing w:after="0" w:line="240" w:lineRule="auto"/>
        <w:rPr>
          <w:rFonts w:eastAsia="Times New Roman" w:cstheme="minorHAnsi"/>
          <w:color w:val="242424"/>
          <w:sz w:val="18"/>
          <w:szCs w:val="18"/>
        </w:rPr>
      </w:pPr>
      <w:r w:rsidRPr="00AF563D">
        <w:rPr>
          <w:rFonts w:eastAsia="Times New Roman" w:cstheme="minorHAnsi"/>
          <w:color w:val="242424"/>
          <w:sz w:val="18"/>
          <w:szCs w:val="18"/>
          <w:bdr w:val="none" w:sz="0" w:space="0" w:color="auto" w:frame="1"/>
        </w:rPr>
        <w:t>Este SLA é aplicável ao Web site do utilizador final que é publicado através do Power Pages se forem cumpridos os seguintes critérios: o site deve estar em modo de produção, ter a visibilidade do site definida como pública e estar associado a um ambiente de produção.</w:t>
      </w:r>
    </w:p>
    <w:p w14:paraId="0A411A1E" w14:textId="77777777" w:rsidR="00AF563D" w:rsidRPr="00AF563D" w:rsidRDefault="00AF563D" w:rsidP="00AF563D">
      <w:pPr>
        <w:shd w:val="clear" w:color="auto" w:fill="FFFFFF"/>
        <w:spacing w:after="0" w:line="240" w:lineRule="auto"/>
        <w:rPr>
          <w:rFonts w:eastAsia="Times New Roman" w:cstheme="minorHAnsi"/>
          <w:color w:val="242424"/>
          <w:sz w:val="18"/>
          <w:szCs w:val="18"/>
        </w:rPr>
      </w:pPr>
      <w:r w:rsidRPr="00AF563D">
        <w:rPr>
          <w:rFonts w:eastAsia="Times New Roman" w:cstheme="minorHAnsi"/>
          <w:b/>
          <w:bCs/>
          <w:color w:val="00188F"/>
          <w:sz w:val="18"/>
          <w:szCs w:val="18"/>
          <w:bdr w:val="none" w:sz="0" w:space="0" w:color="auto" w:frame="1"/>
        </w:rPr>
        <w:t>Definições Adicionais:</w:t>
      </w:r>
    </w:p>
    <w:p w14:paraId="7E93B348" w14:textId="77777777" w:rsidR="00AF563D" w:rsidRPr="00AF563D" w:rsidRDefault="00AF563D" w:rsidP="00AF563D">
      <w:pPr>
        <w:shd w:val="clear" w:color="auto" w:fill="FFFFFF"/>
        <w:spacing w:after="0" w:line="240" w:lineRule="auto"/>
        <w:rPr>
          <w:rFonts w:eastAsia="Times New Roman" w:cstheme="minorHAnsi"/>
          <w:color w:val="242424"/>
          <w:sz w:val="18"/>
          <w:szCs w:val="18"/>
        </w:rPr>
      </w:pPr>
      <w:r w:rsidRPr="00AF563D">
        <w:rPr>
          <w:rFonts w:eastAsia="Times New Roman" w:cstheme="minorHAnsi"/>
          <w:b/>
          <w:bCs/>
          <w:color w:val="00188F"/>
          <w:sz w:val="18"/>
          <w:szCs w:val="18"/>
          <w:bdr w:val="none" w:sz="0" w:space="0" w:color="auto" w:frame="1"/>
        </w:rPr>
        <w:t>“Total de Pedidos do Web Site”</w:t>
      </w:r>
      <w:r w:rsidRPr="00AF563D">
        <w:rPr>
          <w:rFonts w:eastAsia="Times New Roman" w:cstheme="minorHAnsi"/>
          <w:color w:val="000000"/>
          <w:sz w:val="18"/>
          <w:szCs w:val="18"/>
          <w:bdr w:val="none" w:sz="0" w:space="0" w:color="auto" w:frame="1"/>
        </w:rPr>
        <w:t xml:space="preserve"> designa o número total de pedidos do Web site feitos pelos utilizadores finais autorizados (autenticados ou anónimos) para um Web site do Power Pages durante um Período Aplicável.</w:t>
      </w:r>
    </w:p>
    <w:p w14:paraId="0351CED1" w14:textId="77777777" w:rsidR="00AF563D" w:rsidRPr="00AF563D" w:rsidRDefault="00AF563D" w:rsidP="00AF563D">
      <w:pPr>
        <w:shd w:val="clear" w:color="auto" w:fill="FFFFFF"/>
        <w:spacing w:after="0" w:line="240" w:lineRule="auto"/>
        <w:rPr>
          <w:rFonts w:eastAsia="Times New Roman" w:cstheme="minorHAnsi"/>
          <w:color w:val="242424"/>
          <w:sz w:val="18"/>
          <w:szCs w:val="18"/>
        </w:rPr>
      </w:pPr>
      <w:r w:rsidRPr="00AF563D">
        <w:rPr>
          <w:rFonts w:eastAsia="Times New Roman" w:cstheme="minorHAnsi"/>
          <w:b/>
          <w:bCs/>
          <w:color w:val="00188F"/>
          <w:sz w:val="18"/>
          <w:szCs w:val="18"/>
          <w:bdr w:val="none" w:sz="0" w:space="0" w:color="auto" w:frame="1"/>
        </w:rPr>
        <w:t>“Pedidos do Web Site com Falhas”</w:t>
      </w:r>
      <w:r w:rsidRPr="00AF563D">
        <w:rPr>
          <w:rFonts w:eastAsia="Times New Roman" w:cstheme="minorHAnsi"/>
          <w:color w:val="000000"/>
          <w:sz w:val="18"/>
          <w:szCs w:val="18"/>
          <w:bdr w:val="none" w:sz="0" w:space="0" w:color="auto" w:frame="1"/>
        </w:rPr>
        <w:t> designa o número total de pedidos entre o Total de Pedidos do Web Site para os quais o Power Pages envia uma resposta de erro devido a um erro de sistema no Power Pages. Os erros de utilizadores, os problemas devido a um licenciamento inadequado ou os erros que resultam da configuração ou da personalização do cliente não estão incluídos nos Pedidos do Web Site com Falhas.</w:t>
      </w:r>
    </w:p>
    <w:p w14:paraId="32EFA9B3" w14:textId="77777777" w:rsidR="00AF563D" w:rsidRPr="00AF563D" w:rsidRDefault="00AF563D" w:rsidP="00AF563D">
      <w:pPr>
        <w:shd w:val="clear" w:color="auto" w:fill="FFFFFF"/>
        <w:spacing w:after="0" w:line="240" w:lineRule="auto"/>
        <w:rPr>
          <w:rFonts w:eastAsia="Times New Roman" w:cstheme="minorHAnsi"/>
          <w:color w:val="242424"/>
          <w:sz w:val="18"/>
          <w:szCs w:val="18"/>
          <w:bdr w:val="none" w:sz="0" w:space="0" w:color="auto" w:frame="1"/>
        </w:rPr>
      </w:pPr>
      <w:r w:rsidRPr="00AF563D">
        <w:rPr>
          <w:rFonts w:eastAsia="Times New Roman" w:cstheme="minorHAnsi"/>
          <w:b/>
          <w:bCs/>
          <w:color w:val="00188F"/>
          <w:sz w:val="18"/>
          <w:szCs w:val="18"/>
          <w:bdr w:val="none" w:sz="0" w:space="0" w:color="auto" w:frame="1"/>
        </w:rPr>
        <w:t>Percentagem de Período de Disponibilidade:</w:t>
      </w:r>
      <w:r w:rsidRPr="00AF563D">
        <w:rPr>
          <w:rFonts w:eastAsia="Times New Roman" w:cstheme="minorHAnsi"/>
          <w:color w:val="242424"/>
          <w:sz w:val="18"/>
          <w:szCs w:val="18"/>
          <w:bdr w:val="none" w:sz="0" w:space="0" w:color="auto" w:frame="1"/>
        </w:rPr>
        <w:t xml:space="preserve"> A Percentagem de Período de Disponibilidade é calculada através da seguinte fórmula:</w:t>
      </w:r>
    </w:p>
    <w:p w14:paraId="60414CA1" w14:textId="77777777" w:rsidR="00AF563D" w:rsidRPr="00F8560A" w:rsidRDefault="00000000" w:rsidP="008929C2">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Total de Pedidos do Web Site-Pedidos do Web Site com Falhas</m:t>
              </m:r>
            </m:num>
            <m:den>
              <m:r>
                <w:rPr>
                  <w:rFonts w:ascii="Cambria Math" w:eastAsia="Calibri" w:hAnsi="Cambria Math" w:cs="Calibri"/>
                  <w:sz w:val="18"/>
                  <w:szCs w:val="18"/>
                </w:rPr>
                <m:t>Total de Pedidos de Web Sites</m:t>
              </m:r>
            </m:den>
          </m:f>
          <m:r>
            <w:rPr>
              <w:rFonts w:ascii="Cambria Math" w:eastAsia="Calibri" w:hAnsi="Cambria Math" w:cs="Calibri"/>
              <w:sz w:val="18"/>
              <w:szCs w:val="18"/>
            </w:rPr>
            <m:t xml:space="preserve"> x 100</m:t>
          </m:r>
        </m:oMath>
      </m:oMathPara>
    </w:p>
    <w:p w14:paraId="752C7655" w14:textId="166E6CF7" w:rsidR="00AF563D" w:rsidRPr="00AF563D" w:rsidRDefault="00AF563D" w:rsidP="00AF563D">
      <w:pPr>
        <w:shd w:val="clear" w:color="auto" w:fill="FFFFFF"/>
        <w:spacing w:after="0" w:line="240" w:lineRule="auto"/>
        <w:rPr>
          <w:rFonts w:eastAsia="Times New Roman" w:cstheme="minorHAnsi"/>
          <w:color w:val="242424"/>
          <w:sz w:val="18"/>
          <w:szCs w:val="18"/>
        </w:rPr>
      </w:pPr>
      <w:r w:rsidRPr="00AF563D">
        <w:rPr>
          <w:rFonts w:eastAsia="Times New Roman" w:cstheme="minorHAnsi"/>
          <w:b/>
          <w:bCs/>
          <w:color w:val="00188F"/>
          <w:sz w:val="18"/>
          <w:szCs w:val="18"/>
          <w:bdr w:val="none" w:sz="0" w:space="0" w:color="auto" w:frame="1"/>
        </w:rPr>
        <w:t>Crédito de Serviço: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F563D" w:rsidRPr="00F8560A" w14:paraId="4B79FBAD" w14:textId="77777777" w:rsidTr="00EA2F1A">
        <w:trPr>
          <w:tblHeader/>
        </w:trPr>
        <w:tc>
          <w:tcPr>
            <w:tcW w:w="5400" w:type="dxa"/>
            <w:shd w:val="clear" w:color="auto" w:fill="0072C6"/>
          </w:tcPr>
          <w:p w14:paraId="45C4A45F" w14:textId="77777777" w:rsidR="00AF563D" w:rsidRPr="00AF563D" w:rsidRDefault="00AF563D"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AF563D">
              <w:rPr>
                <w:rFonts w:eastAsia="Calibri" w:cstheme="minorHAnsi"/>
                <w:color w:val="FFFFFF"/>
                <w:sz w:val="16"/>
              </w:rPr>
              <w:t>Percentagem de Período de Disponibilidade</w:t>
            </w:r>
          </w:p>
        </w:tc>
        <w:tc>
          <w:tcPr>
            <w:tcW w:w="5400" w:type="dxa"/>
            <w:shd w:val="clear" w:color="auto" w:fill="0072C6"/>
          </w:tcPr>
          <w:p w14:paraId="23E2B657" w14:textId="77777777" w:rsidR="00AF563D" w:rsidRPr="00AF563D" w:rsidRDefault="00AF563D"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AF563D">
              <w:rPr>
                <w:rFonts w:eastAsia="Calibri" w:cstheme="minorHAnsi"/>
                <w:color w:val="FFFFFF"/>
                <w:sz w:val="16"/>
              </w:rPr>
              <w:t>Crédito de Serviço</w:t>
            </w:r>
          </w:p>
        </w:tc>
      </w:tr>
      <w:tr w:rsidR="00AF563D" w:rsidRPr="00F8560A" w14:paraId="2BB23337" w14:textId="77777777" w:rsidTr="00EA2F1A">
        <w:tc>
          <w:tcPr>
            <w:tcW w:w="5400" w:type="dxa"/>
          </w:tcPr>
          <w:p w14:paraId="21B8EE0C" w14:textId="77777777" w:rsidR="00AF563D" w:rsidRPr="00AF563D" w:rsidRDefault="00AF563D" w:rsidP="00EA2F1A">
            <w:pPr>
              <w:tabs>
                <w:tab w:val="left" w:pos="360"/>
                <w:tab w:val="left" w:pos="720"/>
                <w:tab w:val="left" w:pos="1080"/>
              </w:tabs>
              <w:spacing w:before="20" w:after="20" w:line="240" w:lineRule="auto"/>
              <w:ind w:left="-14" w:right="-101"/>
              <w:jc w:val="center"/>
              <w:rPr>
                <w:rFonts w:eastAsia="Calibri" w:cstheme="minorHAnsi"/>
                <w:sz w:val="16"/>
              </w:rPr>
            </w:pPr>
            <w:r w:rsidRPr="00AF563D">
              <w:rPr>
                <w:rFonts w:eastAsia="Calibri" w:cstheme="minorHAnsi"/>
                <w:sz w:val="16"/>
              </w:rPr>
              <w:t>&lt; 99,9%</w:t>
            </w:r>
          </w:p>
        </w:tc>
        <w:tc>
          <w:tcPr>
            <w:tcW w:w="5400" w:type="dxa"/>
          </w:tcPr>
          <w:p w14:paraId="4E90FFCD" w14:textId="77777777" w:rsidR="00AF563D" w:rsidRPr="00AF563D" w:rsidRDefault="00AF563D" w:rsidP="00EA2F1A">
            <w:pPr>
              <w:tabs>
                <w:tab w:val="left" w:pos="360"/>
                <w:tab w:val="left" w:pos="720"/>
                <w:tab w:val="left" w:pos="1080"/>
              </w:tabs>
              <w:spacing w:before="20" w:after="20" w:line="240" w:lineRule="auto"/>
              <w:ind w:left="-14" w:right="-101"/>
              <w:jc w:val="center"/>
              <w:rPr>
                <w:rFonts w:eastAsia="Calibri" w:cstheme="minorHAnsi"/>
                <w:sz w:val="16"/>
              </w:rPr>
            </w:pPr>
            <w:r w:rsidRPr="00AF563D">
              <w:rPr>
                <w:rFonts w:eastAsia="Calibri" w:cstheme="minorHAnsi"/>
                <w:sz w:val="16"/>
              </w:rPr>
              <w:t>10%</w:t>
            </w:r>
          </w:p>
        </w:tc>
      </w:tr>
    </w:tbl>
    <w:p w14:paraId="471C36B5" w14:textId="77777777" w:rsidR="00AF563D" w:rsidRPr="00EF7CF9" w:rsidRDefault="00AF563D" w:rsidP="00AF56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0DA652E1" w14:textId="76735D7E" w:rsidR="00040759" w:rsidRPr="00EF7CF9" w:rsidRDefault="00040759" w:rsidP="00AD1888">
      <w:pPr>
        <w:pStyle w:val="ProductList-Offering2Heading"/>
        <w:tabs>
          <w:tab w:val="clear" w:pos="360"/>
          <w:tab w:val="clear" w:pos="720"/>
          <w:tab w:val="clear" w:pos="1080"/>
        </w:tabs>
        <w:outlineLvl w:val="2"/>
      </w:pPr>
      <w:bookmarkStart w:id="457" w:name="_Toc239176559"/>
      <w:r>
        <w:t>Microsoft Intune</w:t>
      </w:r>
      <w:bookmarkEnd w:id="451"/>
      <w:bookmarkEnd w:id="457"/>
    </w:p>
    <w:p w14:paraId="40C62B19" w14:textId="77445B94" w:rsidR="00040759" w:rsidRPr="0074049A" w:rsidRDefault="00040759" w:rsidP="00F01ED6">
      <w:pPr>
        <w:pStyle w:val="ProductList-Body"/>
        <w:rPr>
          <w:spacing w:val="-3"/>
        </w:rPr>
      </w:pPr>
      <w:r w:rsidRPr="0074049A">
        <w:rPr>
          <w:b/>
          <w:color w:val="00188F"/>
          <w:spacing w:val="-3"/>
        </w:rPr>
        <w:t>Período de Indisponibilidade</w:t>
      </w:r>
      <w:r w:rsidRPr="00473DD3">
        <w:rPr>
          <w:b/>
          <w:color w:val="00188F"/>
          <w:spacing w:val="-3"/>
        </w:rPr>
        <w:t>:</w:t>
      </w:r>
      <w:r w:rsidRPr="0074049A">
        <w:rPr>
          <w:spacing w:val="-3"/>
        </w:rPr>
        <w:t xml:space="preserve"> </w:t>
      </w:r>
      <w:r w:rsidRPr="0074049A">
        <w:rPr>
          <w:spacing w:val="-3"/>
          <w:szCs w:val="18"/>
        </w:rPr>
        <w:t>Qualquer período de tempo durante o qual o administrador de TI de um Cliente ou os utilizadores autorizados pelo Cliente não conseguem iniciar sessão com credenciais corretas. O Período de Indisponibilidade Agendado não excederá 10 horas por ano de calendário.</w:t>
      </w:r>
    </w:p>
    <w:p w14:paraId="26A518D2" w14:textId="675F9BA8" w:rsidR="00040759" w:rsidRPr="00EF7CF9" w:rsidRDefault="00AC48A7" w:rsidP="00F01ED6">
      <w:pPr>
        <w:pStyle w:val="ProductList-Body"/>
        <w:keepNext/>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2D1D4ECA" w14:textId="1722D0B6" w:rsidR="00040759" w:rsidRPr="00EF7CF9" w:rsidRDefault="00000000" w:rsidP="008929C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5864548D" w14:textId="0222B506" w:rsidR="00040759" w:rsidRDefault="00AC48A7" w:rsidP="00F01ED6">
      <w:pPr>
        <w:pStyle w:val="ProductList-Body"/>
        <w:ind w:right="153"/>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7EA55B33" w14:textId="77777777" w:rsidR="000C15FB" w:rsidRDefault="000C15FB" w:rsidP="00F01ED6">
      <w:pPr>
        <w:pStyle w:val="ProductList-Body"/>
        <w:ind w:right="153"/>
      </w:pPr>
    </w:p>
    <w:p w14:paraId="29DA534D" w14:textId="3B9D6918" w:rsidR="00040759" w:rsidRPr="00EF7CF9" w:rsidRDefault="00040759"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733245B" w14:textId="77777777" w:rsidR="00040759" w:rsidRPr="00EF7CF9" w:rsidRDefault="00040759" w:rsidP="00F01ED6">
            <w:pPr>
              <w:pStyle w:val="ProductList-OfferingBody"/>
              <w:jc w:val="center"/>
              <w:rPr>
                <w:color w:val="FFFFFF" w:themeColor="background1"/>
              </w:rPr>
            </w:pPr>
            <w:r>
              <w:rPr>
                <w:color w:val="FFFFFF" w:themeColor="background1"/>
              </w:rPr>
              <w:t>Crédito de Serviço</w:t>
            </w:r>
          </w:p>
        </w:tc>
      </w:tr>
      <w:tr w:rsidR="00040759" w:rsidRPr="00B44CF9" w14:paraId="71BA356A" w14:textId="77777777" w:rsidTr="00085CEE">
        <w:tc>
          <w:tcPr>
            <w:tcW w:w="5400" w:type="dxa"/>
          </w:tcPr>
          <w:p w14:paraId="20268779" w14:textId="77777777" w:rsidR="00040759" w:rsidRPr="00EF7CF9" w:rsidRDefault="00040759" w:rsidP="00F01ED6">
            <w:pPr>
              <w:pStyle w:val="ProductList-OfferingBody"/>
              <w:jc w:val="center"/>
            </w:pPr>
            <w:r>
              <w:t>&lt; 99,9%</w:t>
            </w:r>
          </w:p>
        </w:tc>
        <w:tc>
          <w:tcPr>
            <w:tcW w:w="5400" w:type="dxa"/>
          </w:tcPr>
          <w:p w14:paraId="0127DF9D" w14:textId="77777777" w:rsidR="00040759" w:rsidRPr="00EF7CF9" w:rsidRDefault="00040759" w:rsidP="00F01ED6">
            <w:pPr>
              <w:pStyle w:val="ProductList-OfferingBody"/>
              <w:jc w:val="center"/>
            </w:pPr>
            <w:r>
              <w:t>25%</w:t>
            </w:r>
          </w:p>
        </w:tc>
      </w:tr>
      <w:tr w:rsidR="00040759" w:rsidRPr="00B44CF9" w14:paraId="03609D59" w14:textId="77777777" w:rsidTr="00085CEE">
        <w:tc>
          <w:tcPr>
            <w:tcW w:w="5400" w:type="dxa"/>
          </w:tcPr>
          <w:p w14:paraId="0FA02A3C" w14:textId="77777777" w:rsidR="00040759" w:rsidRPr="00EF7CF9" w:rsidRDefault="00040759" w:rsidP="00F01ED6">
            <w:pPr>
              <w:pStyle w:val="ProductList-OfferingBody"/>
              <w:jc w:val="center"/>
            </w:pPr>
            <w:r>
              <w:t>&lt; 99%</w:t>
            </w:r>
          </w:p>
        </w:tc>
        <w:tc>
          <w:tcPr>
            <w:tcW w:w="5400" w:type="dxa"/>
          </w:tcPr>
          <w:p w14:paraId="0E80EF14" w14:textId="77777777" w:rsidR="00040759" w:rsidRPr="00EF7CF9" w:rsidRDefault="00040759" w:rsidP="00F01ED6">
            <w:pPr>
              <w:pStyle w:val="ProductList-OfferingBody"/>
              <w:jc w:val="center"/>
            </w:pPr>
            <w:r>
              <w:t>50%</w:t>
            </w:r>
          </w:p>
        </w:tc>
      </w:tr>
      <w:tr w:rsidR="00040759" w:rsidRPr="00B44CF9" w14:paraId="020CF830" w14:textId="77777777" w:rsidTr="00085CEE">
        <w:tc>
          <w:tcPr>
            <w:tcW w:w="5400" w:type="dxa"/>
          </w:tcPr>
          <w:p w14:paraId="2C8112F6" w14:textId="77777777" w:rsidR="00040759" w:rsidRPr="00EF7CF9" w:rsidRDefault="00040759" w:rsidP="00F01ED6">
            <w:pPr>
              <w:pStyle w:val="ProductList-OfferingBody"/>
              <w:jc w:val="center"/>
            </w:pPr>
            <w:r>
              <w:t>&lt; 95%</w:t>
            </w:r>
          </w:p>
        </w:tc>
        <w:tc>
          <w:tcPr>
            <w:tcW w:w="5400" w:type="dxa"/>
          </w:tcPr>
          <w:p w14:paraId="6EC1209C" w14:textId="77777777" w:rsidR="00040759" w:rsidRPr="00EF7CF9" w:rsidRDefault="00040759" w:rsidP="00F01ED6">
            <w:pPr>
              <w:pStyle w:val="ProductList-OfferingBody"/>
              <w:jc w:val="center"/>
            </w:pPr>
            <w:r>
              <w:t>100%</w:t>
            </w:r>
          </w:p>
        </w:tc>
      </w:tr>
    </w:tbl>
    <w:p w14:paraId="4699F220" w14:textId="77777777" w:rsidR="00040759" w:rsidRPr="00494F85" w:rsidRDefault="00040759" w:rsidP="00F01ED6">
      <w:pPr>
        <w:pStyle w:val="ProductList-Body"/>
        <w:rPr>
          <w:sz w:val="12"/>
          <w:szCs w:val="12"/>
        </w:rPr>
      </w:pPr>
    </w:p>
    <w:p w14:paraId="1AEA814F" w14:textId="3785A2AB" w:rsidR="00040759" w:rsidRPr="00EF7CF9" w:rsidRDefault="00040759" w:rsidP="00F01ED6">
      <w:pPr>
        <w:pStyle w:val="ProductList-Body"/>
      </w:pPr>
      <w:r>
        <w:rPr>
          <w:b/>
          <w:color w:val="00188F"/>
        </w:rPr>
        <w:lastRenderedPageBreak/>
        <w:t>Exceções de Nível de Serviço</w:t>
      </w:r>
      <w:r w:rsidRPr="00473DD3">
        <w:rPr>
          <w:b/>
          <w:color w:val="00188F"/>
        </w:rPr>
        <w:t>:</w:t>
      </w:r>
      <w:r>
        <w:t xml:space="preserve"> Este Nível de Serviço não se aplica a: (i) software no local licenciado como parte da subscrição do Serviço, ou (ii)</w:t>
      </w:r>
      <w:r w:rsidR="00146E03">
        <w:t> </w:t>
      </w:r>
      <w:r>
        <w:t>serviços baseados na Internet (excluindo o Serviço do Microsoft Intune) que forneçam atualizações a qualquer software no local licenciado como parte da subscrição do Serviço.</w:t>
      </w:r>
    </w:p>
    <w:p w14:paraId="5325FF15"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C0C7EA3" w14:textId="5A5ED172" w:rsidR="00B4740C" w:rsidRPr="00EF7CF9" w:rsidRDefault="00B4740C" w:rsidP="00F01ED6">
      <w:pPr>
        <w:pStyle w:val="ProductList-Offering2Heading"/>
        <w:keepNext/>
        <w:outlineLvl w:val="2"/>
      </w:pPr>
      <w:bookmarkStart w:id="458" w:name="_Toc239176560"/>
      <w:r>
        <w:t>Microsoft Kaizala Pro</w:t>
      </w:r>
      <w:bookmarkEnd w:id="458"/>
    </w:p>
    <w:p w14:paraId="4662FA79" w14:textId="291BF666" w:rsidR="00B4740C" w:rsidRPr="00EF7CF9" w:rsidRDefault="008835A9" w:rsidP="00F01ED6">
      <w:pPr>
        <w:pStyle w:val="ProductList-Body"/>
      </w:pPr>
      <w:r>
        <w:rPr>
          <w:b/>
          <w:color w:val="00188F"/>
        </w:rPr>
        <w:t>Período de Indisponibilidade</w:t>
      </w:r>
      <w:r w:rsidRPr="00473DD3">
        <w:rPr>
          <w:b/>
          <w:color w:val="00188F"/>
        </w:rPr>
        <w:t>:</w:t>
      </w:r>
      <w:r>
        <w:t xml:space="preserve"> Qualquer período de tempo durante o qual os utilizadores finais não conseguem ler ou publicar uma mensagem nos grupos das organizações para os quais têm as permissões adequadas.</w:t>
      </w:r>
    </w:p>
    <w:p w14:paraId="69788DFB" w14:textId="49F29779" w:rsidR="00B4740C"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E61F59D" w14:textId="41C374A0" w:rsidR="00B4740C" w:rsidRPr="00EF7CF9" w:rsidRDefault="00000000" w:rsidP="008929C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0F18822C" w14:textId="60BC009E" w:rsidR="00B4740C" w:rsidRDefault="00AC48A7" w:rsidP="00F01ED6">
      <w:pPr>
        <w:pStyle w:val="ProductList-Body"/>
        <w:ind w:right="162"/>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6C31B106" w14:textId="77777777" w:rsidR="000C15FB" w:rsidRDefault="000C15FB" w:rsidP="00F01ED6">
      <w:pPr>
        <w:pStyle w:val="ProductList-Body"/>
        <w:ind w:right="162"/>
      </w:pPr>
    </w:p>
    <w:p w14:paraId="3EEDCC5E" w14:textId="59C04909" w:rsidR="00B4740C" w:rsidRPr="00EF7CF9" w:rsidRDefault="00B4740C"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E008F05" w14:textId="77777777" w:rsidR="00B4740C" w:rsidRPr="00EF7CF9" w:rsidRDefault="00B4740C" w:rsidP="00F01ED6">
            <w:pPr>
              <w:pStyle w:val="ProductList-OfferingBody"/>
              <w:jc w:val="center"/>
              <w:rPr>
                <w:color w:val="FFFFFF" w:themeColor="background1"/>
              </w:rPr>
            </w:pPr>
            <w:r>
              <w:rPr>
                <w:color w:val="FFFFFF" w:themeColor="background1"/>
              </w:rPr>
              <w:t>Crédito de Serviço</w:t>
            </w:r>
          </w:p>
        </w:tc>
      </w:tr>
      <w:tr w:rsidR="00B4740C" w:rsidRPr="00B44CF9" w14:paraId="405B8F03" w14:textId="77777777" w:rsidTr="00B0776A">
        <w:tc>
          <w:tcPr>
            <w:tcW w:w="5400" w:type="dxa"/>
          </w:tcPr>
          <w:p w14:paraId="16D69F82" w14:textId="77777777" w:rsidR="00B4740C" w:rsidRPr="00EF7CF9" w:rsidRDefault="00B4740C" w:rsidP="00F01ED6">
            <w:pPr>
              <w:pStyle w:val="ProductList-OfferingBody"/>
              <w:jc w:val="center"/>
            </w:pPr>
            <w:r>
              <w:t>&lt; 99,9%</w:t>
            </w:r>
          </w:p>
        </w:tc>
        <w:tc>
          <w:tcPr>
            <w:tcW w:w="5400" w:type="dxa"/>
          </w:tcPr>
          <w:p w14:paraId="42B1F6F3" w14:textId="77777777" w:rsidR="00B4740C" w:rsidRPr="00EF7CF9" w:rsidRDefault="00B4740C" w:rsidP="00F01ED6">
            <w:pPr>
              <w:pStyle w:val="ProductList-OfferingBody"/>
              <w:jc w:val="center"/>
            </w:pPr>
            <w:r>
              <w:t>25%</w:t>
            </w:r>
          </w:p>
        </w:tc>
      </w:tr>
      <w:tr w:rsidR="00B4740C" w:rsidRPr="00B44CF9" w14:paraId="6C54F27A" w14:textId="77777777" w:rsidTr="00B0776A">
        <w:tc>
          <w:tcPr>
            <w:tcW w:w="5400" w:type="dxa"/>
          </w:tcPr>
          <w:p w14:paraId="138A2B8D" w14:textId="77777777" w:rsidR="00B4740C" w:rsidRPr="00EF7CF9" w:rsidRDefault="00B4740C" w:rsidP="00F01ED6">
            <w:pPr>
              <w:pStyle w:val="ProductList-OfferingBody"/>
              <w:jc w:val="center"/>
            </w:pPr>
            <w:r>
              <w:t>&lt; 99%</w:t>
            </w:r>
          </w:p>
        </w:tc>
        <w:tc>
          <w:tcPr>
            <w:tcW w:w="5400" w:type="dxa"/>
          </w:tcPr>
          <w:p w14:paraId="36B5824F" w14:textId="77777777" w:rsidR="00B4740C" w:rsidRPr="00EF7CF9" w:rsidRDefault="00B4740C" w:rsidP="00F01ED6">
            <w:pPr>
              <w:pStyle w:val="ProductList-OfferingBody"/>
              <w:jc w:val="center"/>
            </w:pPr>
            <w:r>
              <w:t>50%</w:t>
            </w:r>
          </w:p>
        </w:tc>
      </w:tr>
      <w:tr w:rsidR="00B4740C" w:rsidRPr="00B44CF9" w14:paraId="7068D5C9" w14:textId="77777777" w:rsidTr="00B0776A">
        <w:tc>
          <w:tcPr>
            <w:tcW w:w="5400" w:type="dxa"/>
          </w:tcPr>
          <w:p w14:paraId="11E73419" w14:textId="77777777" w:rsidR="00B4740C" w:rsidRPr="00EF7CF9" w:rsidRDefault="00B4740C" w:rsidP="00F01ED6">
            <w:pPr>
              <w:pStyle w:val="ProductList-OfferingBody"/>
              <w:jc w:val="center"/>
            </w:pPr>
            <w:r>
              <w:t>&lt; 95%</w:t>
            </w:r>
          </w:p>
        </w:tc>
        <w:tc>
          <w:tcPr>
            <w:tcW w:w="5400" w:type="dxa"/>
          </w:tcPr>
          <w:p w14:paraId="6DC66DA2" w14:textId="77777777" w:rsidR="00B4740C" w:rsidRPr="00EF7CF9" w:rsidRDefault="00B4740C" w:rsidP="00F01ED6">
            <w:pPr>
              <w:pStyle w:val="ProductList-OfferingBody"/>
              <w:jc w:val="center"/>
            </w:pPr>
            <w:r>
              <w:t>100%</w:t>
            </w:r>
          </w:p>
        </w:tc>
      </w:tr>
    </w:tbl>
    <w:p w14:paraId="6DD3E623"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4E1AF830" w14:textId="5C01A2B3" w:rsidR="005C2F5C" w:rsidRPr="00EF7CF9" w:rsidRDefault="005C2F5C" w:rsidP="00D6770D">
      <w:pPr>
        <w:pStyle w:val="ProductList-Offering2Heading"/>
        <w:keepNext/>
        <w:tabs>
          <w:tab w:val="clear" w:pos="360"/>
          <w:tab w:val="clear" w:pos="720"/>
          <w:tab w:val="clear" w:pos="1080"/>
        </w:tabs>
        <w:outlineLvl w:val="2"/>
      </w:pPr>
      <w:bookmarkStart w:id="459" w:name="_Toc239176561"/>
      <w:r>
        <w:t>Microsoft Power Apps</w:t>
      </w:r>
      <w:bookmarkEnd w:id="459"/>
    </w:p>
    <w:p w14:paraId="5CE1D2EF" w14:textId="231BF3A3" w:rsidR="005C2F5C" w:rsidRPr="00EF7CF9" w:rsidRDefault="005C2F5C" w:rsidP="00F01ED6">
      <w:pPr>
        <w:pStyle w:val="ProductList-Body"/>
      </w:pPr>
      <w:r>
        <w:rPr>
          <w:b/>
          <w:color w:val="00188F"/>
        </w:rPr>
        <w:t>Período de Indisponibilidade</w:t>
      </w:r>
      <w:r w:rsidRPr="00473DD3">
        <w:rPr>
          <w:b/>
          <w:color w:val="00188F"/>
        </w:rPr>
        <w:t>:</w:t>
      </w:r>
      <w:r>
        <w:t xml:space="preserve"> </w:t>
      </w:r>
      <w:r>
        <w:rPr>
          <w:szCs w:val="18"/>
        </w:rPr>
        <w:t>Qualquer período de tempo durante o qual os utilizadores não conseguem ler ou escrever qualquer parte dos dados no Microsoft Power Apps para os quais têm permissões adequadas.</w:t>
      </w:r>
    </w:p>
    <w:p w14:paraId="55599CC6" w14:textId="23D6BB75" w:rsidR="005C2F5C"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5AAB2FAD" w14:textId="21AF1844" w:rsidR="005C2F5C" w:rsidRPr="00EF7CF9" w:rsidRDefault="00000000" w:rsidP="008929C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Número total de minutos num mês – Período de Indisponibilidade</m:t>
              </m:r>
            </m:num>
            <m:den>
              <m:r>
                <m:rPr>
                  <m:nor/>
                </m:rPr>
                <w:rPr>
                  <w:rFonts w:ascii="Cambria Math" w:hAnsi="Cambria Math" w:cs="Calibri"/>
                  <w:i/>
                  <w:iCs/>
                  <w:sz w:val="18"/>
                  <w:szCs w:val="18"/>
                </w:rPr>
                <m:t>Número total de minutos num mês</m:t>
              </m:r>
            </m:den>
          </m:f>
          <m:r>
            <w:rPr>
              <w:rFonts w:ascii="Cambria Math" w:hAnsi="Cambria Math" w:cs="Calibri"/>
              <w:sz w:val="18"/>
              <w:szCs w:val="18"/>
            </w:rPr>
            <m:t xml:space="preserve"> x 100</m:t>
          </m:r>
        </m:oMath>
      </m:oMathPara>
    </w:p>
    <w:p w14:paraId="7450D62A" w14:textId="27465AEE" w:rsidR="005C2F5C" w:rsidRDefault="00AC48A7" w:rsidP="00F01ED6">
      <w:pPr>
        <w:pStyle w:val="ProductList-Body"/>
        <w:ind w:right="135"/>
      </w:pPr>
      <w: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2F50BBB2" w14:textId="77777777" w:rsidR="000C15FB" w:rsidRDefault="000C15FB" w:rsidP="00F01ED6">
      <w:pPr>
        <w:pStyle w:val="ProductList-Body"/>
        <w:ind w:right="135"/>
      </w:pPr>
    </w:p>
    <w:p w14:paraId="7568F746" w14:textId="77777777" w:rsidR="005C2F5C" w:rsidRPr="00EF7CF9" w:rsidRDefault="005C2F5C" w:rsidP="00DC1476">
      <w:pPr>
        <w:pStyle w:val="ProductList-Body"/>
        <w:keepNext/>
        <w:keepLines/>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2AAB715" w14:textId="77777777" w:rsidR="005C2F5C" w:rsidRPr="00EF7CF9" w:rsidRDefault="005C2F5C" w:rsidP="00F01ED6">
            <w:pPr>
              <w:pStyle w:val="ProductList-OfferingBody"/>
              <w:jc w:val="center"/>
              <w:rPr>
                <w:color w:val="FFFFFF" w:themeColor="background1"/>
              </w:rPr>
            </w:pPr>
            <w:r>
              <w:rPr>
                <w:color w:val="FFFFFF" w:themeColor="background1"/>
              </w:rPr>
              <w:t>Crédito de Serviço</w:t>
            </w:r>
          </w:p>
        </w:tc>
      </w:tr>
      <w:tr w:rsidR="005C2F5C" w:rsidRPr="00B44CF9" w14:paraId="5A086A81" w14:textId="77777777" w:rsidTr="00170FD9">
        <w:tc>
          <w:tcPr>
            <w:tcW w:w="5400" w:type="dxa"/>
          </w:tcPr>
          <w:p w14:paraId="5B65AE53" w14:textId="77777777" w:rsidR="005C2F5C" w:rsidRPr="00EF7CF9" w:rsidRDefault="005C2F5C" w:rsidP="00F01ED6">
            <w:pPr>
              <w:pStyle w:val="ProductList-OfferingBody"/>
              <w:jc w:val="center"/>
            </w:pPr>
            <w:r>
              <w:t>&lt; 99,9%</w:t>
            </w:r>
          </w:p>
        </w:tc>
        <w:tc>
          <w:tcPr>
            <w:tcW w:w="5400" w:type="dxa"/>
          </w:tcPr>
          <w:p w14:paraId="66DD7CC4" w14:textId="77777777" w:rsidR="005C2F5C" w:rsidRPr="00EF7CF9" w:rsidRDefault="005C2F5C" w:rsidP="00F01ED6">
            <w:pPr>
              <w:pStyle w:val="ProductList-OfferingBody"/>
              <w:jc w:val="center"/>
            </w:pPr>
            <w:r>
              <w:t>25%</w:t>
            </w:r>
          </w:p>
        </w:tc>
      </w:tr>
      <w:tr w:rsidR="005C2F5C" w:rsidRPr="00B44CF9" w14:paraId="6B64D232" w14:textId="77777777" w:rsidTr="00170FD9">
        <w:tc>
          <w:tcPr>
            <w:tcW w:w="5400" w:type="dxa"/>
          </w:tcPr>
          <w:p w14:paraId="0FEAC802" w14:textId="77777777" w:rsidR="005C2F5C" w:rsidRPr="00EF7CF9" w:rsidRDefault="005C2F5C" w:rsidP="00F01ED6">
            <w:pPr>
              <w:pStyle w:val="ProductList-OfferingBody"/>
              <w:jc w:val="center"/>
            </w:pPr>
            <w:r>
              <w:t>&lt; 99%</w:t>
            </w:r>
          </w:p>
        </w:tc>
        <w:tc>
          <w:tcPr>
            <w:tcW w:w="5400" w:type="dxa"/>
          </w:tcPr>
          <w:p w14:paraId="3D07B2D8" w14:textId="77777777" w:rsidR="005C2F5C" w:rsidRPr="00EF7CF9" w:rsidRDefault="005C2F5C" w:rsidP="00F01ED6">
            <w:pPr>
              <w:pStyle w:val="ProductList-OfferingBody"/>
              <w:jc w:val="center"/>
            </w:pPr>
            <w:r>
              <w:t>50%</w:t>
            </w:r>
          </w:p>
        </w:tc>
      </w:tr>
      <w:tr w:rsidR="005C2F5C" w:rsidRPr="00B44CF9" w14:paraId="35FBE36C" w14:textId="77777777" w:rsidTr="00170FD9">
        <w:tc>
          <w:tcPr>
            <w:tcW w:w="5400" w:type="dxa"/>
          </w:tcPr>
          <w:p w14:paraId="15E0BE2E" w14:textId="77777777" w:rsidR="005C2F5C" w:rsidRPr="00EF7CF9" w:rsidRDefault="005C2F5C" w:rsidP="00F01ED6">
            <w:pPr>
              <w:pStyle w:val="ProductList-OfferingBody"/>
              <w:jc w:val="center"/>
            </w:pPr>
            <w:r>
              <w:t>&lt; 95%</w:t>
            </w:r>
          </w:p>
        </w:tc>
        <w:tc>
          <w:tcPr>
            <w:tcW w:w="5400" w:type="dxa"/>
          </w:tcPr>
          <w:p w14:paraId="69ECA17B" w14:textId="77777777" w:rsidR="005C2F5C" w:rsidRPr="00EF7CF9" w:rsidRDefault="005C2F5C" w:rsidP="00F01ED6">
            <w:pPr>
              <w:pStyle w:val="ProductList-OfferingBody"/>
              <w:jc w:val="center"/>
            </w:pPr>
            <w:r>
              <w:t>100%</w:t>
            </w:r>
          </w:p>
        </w:tc>
      </w:tr>
    </w:tbl>
    <w:bookmarkStart w:id="460" w:name="_Toc34826924"/>
    <w:p w14:paraId="4BA6A2FE"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6D0E9B8B" w14:textId="63A5BA6C" w:rsidR="00BF3499" w:rsidRPr="009B10D0" w:rsidRDefault="00BF3499" w:rsidP="008929C2">
      <w:pPr>
        <w:pStyle w:val="ProductList-Offering2Heading"/>
        <w:keepNext/>
        <w:tabs>
          <w:tab w:val="clear" w:pos="360"/>
          <w:tab w:val="clear" w:pos="720"/>
          <w:tab w:val="clear" w:pos="1080"/>
        </w:tabs>
        <w:outlineLvl w:val="2"/>
      </w:pPr>
      <w:bookmarkStart w:id="461" w:name="_Toc239176562"/>
      <w:r w:rsidRPr="009B10D0">
        <w:t xml:space="preserve">Microsoft </w:t>
      </w:r>
      <w:bookmarkEnd w:id="460"/>
      <w:r w:rsidR="009B10D0" w:rsidRPr="009B10D0">
        <w:t>Copilot Studio</w:t>
      </w:r>
      <w:bookmarkEnd w:id="461"/>
    </w:p>
    <w:p w14:paraId="64720E1E" w14:textId="77777777" w:rsidR="00BF3499" w:rsidRPr="00CB7596" w:rsidRDefault="00BF3499" w:rsidP="00F01ED6">
      <w:pPr>
        <w:shd w:val="clear" w:color="auto" w:fill="FFFFFF"/>
        <w:spacing w:after="0" w:line="240" w:lineRule="auto"/>
        <w:rPr>
          <w:rFonts w:ascii="Calibri" w:eastAsia="Calibri" w:hAnsi="Calibri" w:cs="Arial"/>
          <w:b/>
          <w:color w:val="00188F"/>
          <w:sz w:val="18"/>
          <w:szCs w:val="18"/>
        </w:rPr>
      </w:pPr>
      <w:r w:rsidRPr="00CB7596">
        <w:rPr>
          <w:rFonts w:ascii="Calibri" w:eastAsia="Calibri" w:hAnsi="Calibri" w:cs="Arial"/>
          <w:b/>
          <w:color w:val="00188F"/>
          <w:sz w:val="18"/>
          <w:szCs w:val="18"/>
        </w:rPr>
        <w:t xml:space="preserve">Definições Adicionais: </w:t>
      </w:r>
    </w:p>
    <w:p w14:paraId="06948106" w14:textId="0E5EACD6" w:rsidR="00BF3499" w:rsidRPr="00CB7596" w:rsidRDefault="00380305" w:rsidP="00F01ED6">
      <w:pPr>
        <w:shd w:val="clear" w:color="auto" w:fill="FFFFFF"/>
        <w:spacing w:after="0" w:line="240" w:lineRule="auto"/>
        <w:jc w:val="both"/>
        <w:rPr>
          <w:rFonts w:ascii="Calibri" w:eastAsia="Calibri" w:hAnsi="Calibri" w:cs="Arial"/>
          <w:spacing w:val="-3"/>
          <w:sz w:val="18"/>
          <w:szCs w:val="18"/>
        </w:rPr>
      </w:pPr>
      <w:r w:rsidRPr="00CB7596">
        <w:rPr>
          <w:sz w:val="18"/>
          <w:szCs w:val="18"/>
        </w:rPr>
        <w:t>“</w:t>
      </w:r>
      <w:r w:rsidR="00BF3499" w:rsidRPr="00CB7596">
        <w:rPr>
          <w:rFonts w:ascii="Calibri" w:eastAsia="Calibri" w:hAnsi="Calibri" w:cs="Arial"/>
          <w:b/>
          <w:color w:val="00188F"/>
          <w:spacing w:val="-3"/>
          <w:sz w:val="18"/>
          <w:szCs w:val="18"/>
        </w:rPr>
        <w:t>Total de Pedidos de Mensagens</w:t>
      </w:r>
      <w:r w:rsidRPr="00CB7596">
        <w:rPr>
          <w:sz w:val="18"/>
          <w:szCs w:val="18"/>
        </w:rPr>
        <w:t>”</w:t>
      </w:r>
      <w:r w:rsidR="00BF3499" w:rsidRPr="00CB7596">
        <w:rPr>
          <w:sz w:val="18"/>
          <w:szCs w:val="18"/>
        </w:rPr>
        <w:t> é</w:t>
      </w:r>
      <w:r w:rsidR="00BF3499" w:rsidRPr="00CB7596">
        <w:rPr>
          <w:rFonts w:ascii="Calibri" w:eastAsia="Calibri" w:hAnsi="Calibri" w:cs="Arial"/>
          <w:spacing w:val="-3"/>
          <w:sz w:val="18"/>
          <w:szCs w:val="18"/>
        </w:rPr>
        <w:t xml:space="preserve"> o número total de pedidos efetuados por um utilizador final para o </w:t>
      </w:r>
      <w:r w:rsidR="009B10D0">
        <w:rPr>
          <w:rFonts w:ascii="Calibri" w:eastAsia="Calibri" w:hAnsi="Calibri" w:cs="Arial"/>
          <w:spacing w:val="-3"/>
          <w:sz w:val="18"/>
          <w:szCs w:val="18"/>
        </w:rPr>
        <w:t>Copilot Studio</w:t>
      </w:r>
      <w:r w:rsidR="00BF3499" w:rsidRPr="00CB7596">
        <w:rPr>
          <w:rFonts w:ascii="Calibri" w:eastAsia="Calibri" w:hAnsi="Calibri" w:cs="Arial"/>
          <w:spacing w:val="-3"/>
          <w:sz w:val="18"/>
          <w:szCs w:val="18"/>
        </w:rPr>
        <w:t xml:space="preserve"> durante um Período Aplicável.</w:t>
      </w:r>
    </w:p>
    <w:p w14:paraId="0140F598" w14:textId="76F266E4" w:rsidR="00BF3499" w:rsidRPr="00CB7596" w:rsidRDefault="00380305" w:rsidP="00F01ED6">
      <w:pPr>
        <w:shd w:val="clear" w:color="auto" w:fill="FFFFFF"/>
        <w:spacing w:after="0" w:line="240" w:lineRule="auto"/>
        <w:rPr>
          <w:rFonts w:ascii="Calibri" w:eastAsia="Calibri" w:hAnsi="Calibri" w:cs="Arial"/>
          <w:sz w:val="18"/>
          <w:szCs w:val="18"/>
        </w:rPr>
      </w:pPr>
      <w:r w:rsidRPr="00CB7596">
        <w:rPr>
          <w:sz w:val="18"/>
        </w:rPr>
        <w:t>“</w:t>
      </w:r>
      <w:r w:rsidR="00BF3499" w:rsidRPr="00CB7596">
        <w:rPr>
          <w:rFonts w:ascii="Calibri" w:eastAsia="Calibri" w:hAnsi="Calibri" w:cs="Arial"/>
          <w:b/>
          <w:color w:val="00188F"/>
          <w:sz w:val="18"/>
          <w:szCs w:val="18"/>
        </w:rPr>
        <w:t>Pedidos de Mensagens com Falha</w:t>
      </w:r>
      <w:r w:rsidRPr="00CB7596">
        <w:rPr>
          <w:sz w:val="18"/>
        </w:rPr>
        <w:t>”</w:t>
      </w:r>
      <w:r w:rsidR="00BF3499" w:rsidRPr="00CB7596">
        <w:rPr>
          <w:rFonts w:ascii="Calibri" w:eastAsia="Calibri" w:hAnsi="Calibri" w:cs="Arial"/>
          <w:sz w:val="18"/>
          <w:szCs w:val="18"/>
        </w:rPr>
        <w:t xml:space="preserve"> designa o número total de pedidos no Total de Pedidos de Mensagens para o qual o </w:t>
      </w:r>
      <w:r w:rsidR="009B10D0">
        <w:rPr>
          <w:rFonts w:ascii="Calibri" w:eastAsia="Calibri" w:hAnsi="Calibri" w:cs="Arial"/>
          <w:spacing w:val="-3"/>
          <w:sz w:val="18"/>
          <w:szCs w:val="18"/>
        </w:rPr>
        <w:t>Copilot Studio</w:t>
      </w:r>
      <w:r w:rsidR="009B10D0" w:rsidRPr="00CB7596">
        <w:rPr>
          <w:rFonts w:ascii="Calibri" w:eastAsia="Calibri" w:hAnsi="Calibri" w:cs="Arial"/>
          <w:spacing w:val="-3"/>
          <w:sz w:val="18"/>
          <w:szCs w:val="18"/>
        </w:rPr>
        <w:t xml:space="preserve"> </w:t>
      </w:r>
      <w:r w:rsidR="00BF3499" w:rsidRPr="00CB7596">
        <w:rPr>
          <w:rFonts w:ascii="Calibri" w:eastAsia="Calibri" w:hAnsi="Calibri" w:cs="Arial"/>
          <w:sz w:val="18"/>
          <w:szCs w:val="18"/>
        </w:rPr>
        <w:t>é</w:t>
      </w:r>
      <w:r w:rsidR="0087146A">
        <w:rPr>
          <w:rFonts w:ascii="Calibri" w:eastAsia="Calibri" w:hAnsi="Calibri" w:cs="Arial"/>
          <w:sz w:val="18"/>
          <w:szCs w:val="18"/>
        </w:rPr>
        <w:t> </w:t>
      </w:r>
      <w:r w:rsidR="00BF3499" w:rsidRPr="00CB7596">
        <w:rPr>
          <w:rFonts w:ascii="Calibri" w:eastAsia="Calibri" w:hAnsi="Calibri" w:cs="Arial"/>
          <w:sz w:val="18"/>
          <w:szCs w:val="18"/>
        </w:rPr>
        <w:t xml:space="preserve">incapaz de enviar uma mensagem de resposta devido a um erro do sistema no </w:t>
      </w:r>
      <w:r w:rsidR="009B10D0">
        <w:rPr>
          <w:rFonts w:ascii="Calibri" w:eastAsia="Calibri" w:hAnsi="Calibri" w:cs="Arial"/>
          <w:spacing w:val="-3"/>
          <w:sz w:val="18"/>
          <w:szCs w:val="18"/>
        </w:rPr>
        <w:t>Copilot Studio</w:t>
      </w:r>
      <w:r w:rsidR="00BF3499" w:rsidRPr="00CB7596">
        <w:rPr>
          <w:rFonts w:ascii="Calibri" w:eastAsia="Calibri" w:hAnsi="Calibri" w:cs="Arial"/>
          <w:sz w:val="18"/>
          <w:szCs w:val="18"/>
        </w:rPr>
        <w:t>.</w:t>
      </w:r>
    </w:p>
    <w:p w14:paraId="777E0808" w14:textId="3CC75F91" w:rsidR="00BF3499" w:rsidRPr="00CB7596" w:rsidRDefault="00AC48A7" w:rsidP="00F01ED6">
      <w:pPr>
        <w:tabs>
          <w:tab w:val="left" w:pos="360"/>
          <w:tab w:val="left" w:pos="720"/>
          <w:tab w:val="left" w:pos="1080"/>
        </w:tabs>
        <w:spacing w:after="0" w:line="240" w:lineRule="auto"/>
        <w:rPr>
          <w:rFonts w:ascii="Calibri" w:eastAsia="Calibri" w:hAnsi="Calibri" w:cs="Arial"/>
          <w:sz w:val="18"/>
          <w:szCs w:val="18"/>
        </w:rPr>
      </w:pPr>
      <w:r w:rsidRPr="00CB7596">
        <w:rPr>
          <w:rFonts w:ascii="Calibri" w:eastAsia="Calibri" w:hAnsi="Calibri" w:cs="Arial"/>
          <w:b/>
          <w:color w:val="00188F"/>
          <w:sz w:val="18"/>
          <w:szCs w:val="18"/>
        </w:rPr>
        <w:t>Percentagem de Período de Disponibilidade</w:t>
      </w:r>
      <w:r w:rsidRPr="00473DD3">
        <w:rPr>
          <w:rFonts w:ascii="Calibri" w:eastAsia="Calibri" w:hAnsi="Calibri" w:cs="Arial"/>
          <w:b/>
          <w:color w:val="00188F"/>
          <w:sz w:val="18"/>
          <w:szCs w:val="18"/>
        </w:rPr>
        <w:t>:</w:t>
      </w:r>
      <w:r w:rsidRPr="00CB7596">
        <w:rPr>
          <w:rFonts w:ascii="Calibri" w:eastAsia="Calibri" w:hAnsi="Calibri" w:cs="Arial"/>
          <w:sz w:val="18"/>
          <w:szCs w:val="18"/>
        </w:rPr>
        <w:t xml:space="preserve"> A Percentagem de Período de Disponibilidade é calculada através da seguinte fórmula:</w:t>
      </w:r>
    </w:p>
    <w:p w14:paraId="5FFCCA93" w14:textId="69F3D59D" w:rsidR="00BF3499" w:rsidRPr="001878FE" w:rsidRDefault="00000000" w:rsidP="008929C2">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Total de Pedidos de Mensagens-Pedidos de Mensagens com Falha</m:t>
              </m:r>
            </m:num>
            <m:den>
              <m:r>
                <m:rPr>
                  <m:nor/>
                </m:rPr>
                <w:rPr>
                  <w:rFonts w:ascii="Cambria Math" w:eastAsia="Calibri" w:hAnsi="Cambria Math" w:cs="Calibri"/>
                  <w:i/>
                  <w:iCs/>
                  <w:sz w:val="18"/>
                  <w:szCs w:val="18"/>
                </w:rPr>
                <m:t>Total de Pedidos de Mensagens</m:t>
              </m:r>
            </m:den>
          </m:f>
          <m:r>
            <w:rPr>
              <w:rFonts w:ascii="Cambria Math" w:eastAsia="Calibri" w:hAnsi="Cambria Math" w:cs="Calibri"/>
              <w:sz w:val="18"/>
              <w:szCs w:val="18"/>
            </w:rPr>
            <m:t xml:space="preserve"> x 100</m:t>
          </m:r>
        </m:oMath>
      </m:oMathPara>
    </w:p>
    <w:p w14:paraId="7FF4554C" w14:textId="11163129" w:rsidR="00BF3499" w:rsidRDefault="00BF3499" w:rsidP="00F01ED6">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Crédito de Serviço</w:t>
      </w:r>
      <w:r w:rsidRPr="00473DD3">
        <w:rPr>
          <w:rFonts w:ascii="Calibri" w:eastAsia="Calibri" w:hAnsi="Calibri" w:cs="Arial"/>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374576">
        <w:trPr>
          <w:tblHeader/>
        </w:trPr>
        <w:tc>
          <w:tcPr>
            <w:tcW w:w="5395" w:type="dxa"/>
            <w:shd w:val="clear" w:color="auto" w:fill="0072C6"/>
          </w:tcPr>
          <w:p w14:paraId="5B793407" w14:textId="47AA0289" w:rsidR="00BF3499" w:rsidRPr="006D4DC5"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3CDCE47" w14:textId="77777777" w:rsidR="00BF3499" w:rsidRPr="006D4DC5" w:rsidRDefault="00BF3499" w:rsidP="00F01ED6">
            <w:pPr>
              <w:pStyle w:val="ProductList-OfferingBody"/>
              <w:jc w:val="center"/>
              <w:rPr>
                <w:color w:val="FFFFFF" w:themeColor="background1"/>
              </w:rPr>
            </w:pPr>
            <w:r>
              <w:rPr>
                <w:color w:val="FFFFFF" w:themeColor="background1"/>
              </w:rPr>
              <w:t>Crédito de Serviço</w:t>
            </w:r>
          </w:p>
        </w:tc>
      </w:tr>
      <w:tr w:rsidR="00BF3499" w:rsidRPr="006D4DC5" w14:paraId="5DAFB5E4" w14:textId="77777777" w:rsidTr="00374576">
        <w:trPr>
          <w:tblHeader/>
        </w:trPr>
        <w:tc>
          <w:tcPr>
            <w:tcW w:w="5395" w:type="dxa"/>
          </w:tcPr>
          <w:p w14:paraId="603E5022" w14:textId="77777777" w:rsidR="00BF3499" w:rsidRDefault="00BF3499" w:rsidP="00F01ED6">
            <w:pPr>
              <w:pStyle w:val="ProductList-OfferingBody"/>
              <w:jc w:val="center"/>
              <w:rPr>
                <w:color w:val="000000" w:themeColor="text1"/>
              </w:rPr>
            </w:pPr>
            <w:r>
              <w:t>&lt; 99,9%</w:t>
            </w:r>
          </w:p>
        </w:tc>
        <w:tc>
          <w:tcPr>
            <w:tcW w:w="5400" w:type="dxa"/>
          </w:tcPr>
          <w:p w14:paraId="51950A0F" w14:textId="77777777" w:rsidR="00BF3499" w:rsidRDefault="00BF3499" w:rsidP="00F01ED6">
            <w:pPr>
              <w:pStyle w:val="ProductList-OfferingBody"/>
              <w:jc w:val="center"/>
              <w:rPr>
                <w:color w:val="000000" w:themeColor="text1"/>
              </w:rPr>
            </w:pPr>
            <w:r>
              <w:t>10%</w:t>
            </w:r>
          </w:p>
        </w:tc>
      </w:tr>
    </w:tbl>
    <w:bookmarkStart w:id="462" w:name="_Toc102075655"/>
    <w:p w14:paraId="5A8ADD30"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41989FDF" w14:textId="36ABC228" w:rsidR="00F52BD7" w:rsidRPr="00EF7CF9" w:rsidRDefault="00F52BD7" w:rsidP="00F01ED6">
      <w:pPr>
        <w:pStyle w:val="ProductList-Offering2Heading"/>
        <w:tabs>
          <w:tab w:val="clear" w:pos="360"/>
          <w:tab w:val="clear" w:pos="720"/>
          <w:tab w:val="clear" w:pos="1080"/>
        </w:tabs>
        <w:outlineLvl w:val="2"/>
      </w:pPr>
      <w:bookmarkStart w:id="463" w:name="_Toc239176563"/>
      <w:r>
        <w:t>Gestor de Sustentabilidade da Microsoft</w:t>
      </w:r>
      <w:bookmarkEnd w:id="462"/>
      <w:bookmarkEnd w:id="463"/>
    </w:p>
    <w:p w14:paraId="1739FE7D" w14:textId="234D0C43" w:rsidR="00F52BD7" w:rsidRDefault="00F52BD7" w:rsidP="00F01ED6">
      <w:pPr>
        <w:pStyle w:val="ProductList-Body"/>
        <w:ind w:right="360"/>
        <w:rPr>
          <w:szCs w:val="18"/>
        </w:rPr>
      </w:pPr>
      <w:r>
        <w:rPr>
          <w:b/>
          <w:color w:val="00188F"/>
        </w:rPr>
        <w:t xml:space="preserve">Período de Indisponibilidade: </w:t>
      </w:r>
      <w:r>
        <w:rPr>
          <w:szCs w:val="18"/>
        </w:rPr>
        <w:t>Qualquer período durante o qual os utilizadores finais não conseguem iniciar sessão no respetivo ambiente. O</w:t>
      </w:r>
      <w:r w:rsidR="0074049A">
        <w:rPr>
          <w:szCs w:val="18"/>
        </w:rPr>
        <w:t> </w:t>
      </w:r>
      <w:r>
        <w:rPr>
          <w:szCs w:val="18"/>
        </w:rPr>
        <w:t>Período de Indisponibilidade não inclui a Indisponibilidade Agendada, a indisponibilidade das funcionalidades dos suplementos do Serviço ou a incapacidade de aceder ao Serviço devido a modificações efetuadas ao Serviço.</w:t>
      </w:r>
    </w:p>
    <w:p w14:paraId="319CDBE0" w14:textId="3035A621" w:rsidR="00F52BD7" w:rsidRPr="00044406" w:rsidRDefault="00AC48A7" w:rsidP="00F01ED6">
      <w:pPr>
        <w:pStyle w:val="ProductList-Body"/>
        <w:rPr>
          <w:szCs w:val="18"/>
        </w:rPr>
      </w:pPr>
      <w:r>
        <w:rPr>
          <w:b/>
          <w:color w:val="00188F"/>
        </w:rPr>
        <w:t>Percentagem de Período de Disponibilidade:</w:t>
      </w:r>
      <w:r>
        <w:rPr>
          <w:szCs w:val="18"/>
        </w:rPr>
        <w:t xml:space="preserve"> </w:t>
      </w:r>
      <w:r>
        <w:rPr>
          <w:rFonts w:ascii="Calibri" w:eastAsia="Times New Roman" w:hAnsi="Calibri" w:cs="Calibri"/>
        </w:rPr>
        <w:t>A Percentagem de Período de Disponibilidade é calculada através da seguinte fórmula:</w:t>
      </w:r>
    </w:p>
    <w:p w14:paraId="04D06B7C" w14:textId="722814A7" w:rsidR="00F52BD7" w:rsidRPr="00EF7CF9" w:rsidRDefault="00000000" w:rsidP="00AC7F34">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4AB82D5E" w14:textId="643C0E25" w:rsidR="00F52BD7" w:rsidRDefault="00AC48A7" w:rsidP="00F01ED6">
      <w:pPr>
        <w:pStyle w:val="ProductList-Body"/>
        <w:ind w:right="126"/>
        <w:rPr>
          <w:szCs w:val="18"/>
        </w:rPr>
      </w:pPr>
      <w:r>
        <w:rPr>
          <w:szCs w:val="18"/>
        </w:rP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44AF909D" w14:textId="77777777" w:rsidR="000C15FB" w:rsidRDefault="000C15FB" w:rsidP="00F01ED6">
      <w:pPr>
        <w:pStyle w:val="ProductList-Body"/>
        <w:ind w:right="126"/>
        <w:rPr>
          <w:szCs w:val="18"/>
        </w:rPr>
      </w:pPr>
    </w:p>
    <w:p w14:paraId="2A07C68F" w14:textId="77777777" w:rsidR="00F52BD7" w:rsidRPr="00EF7CF9" w:rsidRDefault="00F52BD7"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01551BE2" w14:textId="77777777" w:rsidR="00F52BD7" w:rsidRPr="00EF7CF9" w:rsidRDefault="00F52BD7" w:rsidP="00F01ED6">
            <w:pPr>
              <w:pStyle w:val="ProductList-OfferingBody"/>
              <w:jc w:val="center"/>
              <w:rPr>
                <w:color w:val="FFFFFF" w:themeColor="background1"/>
              </w:rPr>
            </w:pPr>
            <w:r>
              <w:rPr>
                <w:color w:val="FFFFFF" w:themeColor="background1"/>
              </w:rPr>
              <w:t>Crédito de Serviço</w:t>
            </w:r>
          </w:p>
        </w:tc>
      </w:tr>
      <w:tr w:rsidR="00F52BD7" w:rsidRPr="00B44CF9" w14:paraId="32D08025" w14:textId="77777777" w:rsidTr="00277097">
        <w:tc>
          <w:tcPr>
            <w:tcW w:w="5400" w:type="dxa"/>
          </w:tcPr>
          <w:p w14:paraId="68DC5061" w14:textId="77777777" w:rsidR="00F52BD7" w:rsidRPr="00EF7CF9" w:rsidRDefault="00F52BD7" w:rsidP="00F01ED6">
            <w:pPr>
              <w:pStyle w:val="ProductList-OfferingBody"/>
              <w:jc w:val="center"/>
            </w:pPr>
            <w:r>
              <w:t>&lt; 99,5%</w:t>
            </w:r>
          </w:p>
        </w:tc>
        <w:tc>
          <w:tcPr>
            <w:tcW w:w="5400" w:type="dxa"/>
          </w:tcPr>
          <w:p w14:paraId="670480DD" w14:textId="77777777" w:rsidR="00F52BD7" w:rsidRPr="00EF7CF9" w:rsidRDefault="00F52BD7" w:rsidP="00F01ED6">
            <w:pPr>
              <w:pStyle w:val="ProductList-OfferingBody"/>
              <w:jc w:val="center"/>
            </w:pPr>
            <w:r>
              <w:t>25%</w:t>
            </w:r>
          </w:p>
        </w:tc>
      </w:tr>
      <w:tr w:rsidR="00F52BD7" w:rsidRPr="00B44CF9" w14:paraId="155E19ED" w14:textId="77777777" w:rsidTr="00277097">
        <w:tc>
          <w:tcPr>
            <w:tcW w:w="5400" w:type="dxa"/>
          </w:tcPr>
          <w:p w14:paraId="03D0C777" w14:textId="77777777" w:rsidR="00F52BD7" w:rsidRPr="00EF7CF9" w:rsidRDefault="00F52BD7" w:rsidP="00F01ED6">
            <w:pPr>
              <w:pStyle w:val="ProductList-OfferingBody"/>
              <w:jc w:val="center"/>
            </w:pPr>
            <w:r>
              <w:t>&lt; 99%</w:t>
            </w:r>
          </w:p>
        </w:tc>
        <w:tc>
          <w:tcPr>
            <w:tcW w:w="5400" w:type="dxa"/>
          </w:tcPr>
          <w:p w14:paraId="7B80C04C" w14:textId="77777777" w:rsidR="00F52BD7" w:rsidRPr="00EF7CF9" w:rsidRDefault="00F52BD7" w:rsidP="00F01ED6">
            <w:pPr>
              <w:pStyle w:val="ProductList-OfferingBody"/>
              <w:jc w:val="center"/>
            </w:pPr>
            <w:r>
              <w:t>50%</w:t>
            </w:r>
          </w:p>
        </w:tc>
      </w:tr>
      <w:tr w:rsidR="00F52BD7" w:rsidRPr="00B44CF9" w14:paraId="4C5B7DCA" w14:textId="77777777" w:rsidTr="00277097">
        <w:tc>
          <w:tcPr>
            <w:tcW w:w="5400" w:type="dxa"/>
          </w:tcPr>
          <w:p w14:paraId="56154561" w14:textId="77777777" w:rsidR="00F52BD7" w:rsidRPr="00EF7CF9" w:rsidRDefault="00F52BD7" w:rsidP="00F01ED6">
            <w:pPr>
              <w:pStyle w:val="ProductList-OfferingBody"/>
              <w:jc w:val="center"/>
            </w:pPr>
            <w:r>
              <w:t>&lt; 95%</w:t>
            </w:r>
          </w:p>
        </w:tc>
        <w:tc>
          <w:tcPr>
            <w:tcW w:w="5400" w:type="dxa"/>
          </w:tcPr>
          <w:p w14:paraId="0913817E" w14:textId="77777777" w:rsidR="00F52BD7" w:rsidRPr="00EF7CF9" w:rsidRDefault="00F52BD7" w:rsidP="00F01ED6">
            <w:pPr>
              <w:pStyle w:val="ProductList-OfferingBody"/>
              <w:keepNext/>
              <w:jc w:val="center"/>
            </w:pPr>
            <w:r>
              <w:t>100%</w:t>
            </w:r>
          </w:p>
        </w:tc>
      </w:tr>
    </w:tbl>
    <w:p w14:paraId="7F1F7C01"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6AA67818" w14:textId="64CFC424" w:rsidR="00494CDE" w:rsidRPr="00EF7CF9" w:rsidRDefault="00494CDE" w:rsidP="00DE1024">
      <w:pPr>
        <w:pStyle w:val="ProductList-Offering2Heading"/>
        <w:tabs>
          <w:tab w:val="clear" w:pos="360"/>
          <w:tab w:val="clear" w:pos="720"/>
          <w:tab w:val="clear" w:pos="1080"/>
        </w:tabs>
        <w:outlineLvl w:val="2"/>
      </w:pPr>
      <w:bookmarkStart w:id="464" w:name="_Toc239176564"/>
      <w:r>
        <w:t>Minecraft: Education Edition</w:t>
      </w:r>
      <w:bookmarkEnd w:id="464"/>
    </w:p>
    <w:p w14:paraId="0F5A210A" w14:textId="425DF245" w:rsidR="00494CDE" w:rsidRPr="00EF7CF9" w:rsidRDefault="00494CDE" w:rsidP="00F01ED6">
      <w:pPr>
        <w:pStyle w:val="ProductList-Body"/>
        <w:rPr>
          <w:szCs w:val="18"/>
        </w:rPr>
      </w:pPr>
      <w:r>
        <w:rPr>
          <w:b/>
          <w:color w:val="00188F"/>
        </w:rPr>
        <w:t>Período de Indisponibilidade</w:t>
      </w:r>
      <w:r w:rsidRPr="00473DD3">
        <w:rPr>
          <w:b/>
          <w:color w:val="00188F"/>
        </w:rPr>
        <w:t>:</w:t>
      </w:r>
      <w:r>
        <w:t xml:space="preserve"> </w:t>
      </w:r>
      <w:r>
        <w:rPr>
          <w:szCs w:val="18"/>
        </w:rPr>
        <w:t xml:space="preserve">Qualquer período de tempo em que os utilizadores não conseguem aceder ao Minecraft: Education Edition. </w:t>
      </w:r>
    </w:p>
    <w:p w14:paraId="407A2539" w14:textId="0500B4D8" w:rsidR="00494CDE"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07812754" w14:textId="1E729081" w:rsidR="00494CDE" w:rsidRPr="00EF7CF9" w:rsidRDefault="00000000" w:rsidP="00AC7F3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Número total de minutos num mês – Período de Indisponibilidade</m:t>
              </m:r>
            </m:num>
            <m:den>
              <m:r>
                <m:rPr>
                  <m:nor/>
                </m:rPr>
                <w:rPr>
                  <w:rFonts w:ascii="Cambria Math" w:hAnsi="Cambria Math" w:cs="Calibri"/>
                  <w:i/>
                  <w:iCs/>
                  <w:sz w:val="18"/>
                  <w:szCs w:val="18"/>
                </w:rPr>
                <m:t>Número total de minutos num mês</m:t>
              </m:r>
            </m:den>
          </m:f>
          <m:r>
            <w:rPr>
              <w:rFonts w:ascii="Cambria Math" w:hAnsi="Cambria Math" w:cs="Calibri"/>
              <w:sz w:val="18"/>
              <w:szCs w:val="18"/>
            </w:rPr>
            <m:t xml:space="preserve"> x 100</m:t>
          </m:r>
        </m:oMath>
      </m:oMathPara>
    </w:p>
    <w:p w14:paraId="00CE6E8D" w14:textId="69ACF4E7" w:rsidR="00494CDE" w:rsidRDefault="00AC48A7" w:rsidP="00F01ED6">
      <w:pPr>
        <w:pStyle w:val="ProductList-Body"/>
        <w:ind w:right="171"/>
        <w:rPr>
          <w:szCs w:val="18"/>
        </w:rPr>
      </w:pPr>
      <w:r>
        <w:rPr>
          <w:szCs w:val="18"/>
        </w:rP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57CFF766" w14:textId="77777777" w:rsidR="000C15FB" w:rsidRDefault="000C15FB" w:rsidP="00F01ED6">
      <w:pPr>
        <w:pStyle w:val="ProductList-Body"/>
        <w:ind w:right="171"/>
        <w:rPr>
          <w:szCs w:val="18"/>
        </w:rPr>
      </w:pPr>
    </w:p>
    <w:p w14:paraId="18285BB6" w14:textId="472020F1" w:rsidR="00494CDE" w:rsidRPr="00EF7CF9" w:rsidRDefault="00494CDE"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064E67C" w14:textId="77777777" w:rsidR="00494CDE" w:rsidRPr="00EF7CF9" w:rsidRDefault="00494CDE" w:rsidP="00F01ED6">
            <w:pPr>
              <w:pStyle w:val="ProductList-OfferingBody"/>
              <w:jc w:val="center"/>
              <w:rPr>
                <w:color w:val="FFFFFF" w:themeColor="background1"/>
              </w:rPr>
            </w:pPr>
            <w:r>
              <w:rPr>
                <w:color w:val="FFFFFF" w:themeColor="background1"/>
              </w:rPr>
              <w:t>Crédito de Serviço</w:t>
            </w:r>
          </w:p>
        </w:tc>
      </w:tr>
      <w:tr w:rsidR="00494CDE" w:rsidRPr="00B44CF9" w14:paraId="0CA8BBCC" w14:textId="77777777" w:rsidTr="00085CEE">
        <w:tc>
          <w:tcPr>
            <w:tcW w:w="5400" w:type="dxa"/>
          </w:tcPr>
          <w:p w14:paraId="104BCED5" w14:textId="77777777" w:rsidR="00494CDE" w:rsidRPr="00EF7CF9" w:rsidRDefault="00494CDE" w:rsidP="00F01ED6">
            <w:pPr>
              <w:pStyle w:val="ProductList-OfferingBody"/>
              <w:jc w:val="center"/>
            </w:pPr>
            <w:r>
              <w:t>&lt; 99,9%</w:t>
            </w:r>
          </w:p>
        </w:tc>
        <w:tc>
          <w:tcPr>
            <w:tcW w:w="5400" w:type="dxa"/>
          </w:tcPr>
          <w:p w14:paraId="474A68F1" w14:textId="77777777" w:rsidR="00494CDE" w:rsidRPr="00EF7CF9" w:rsidRDefault="00494CDE" w:rsidP="00F01ED6">
            <w:pPr>
              <w:pStyle w:val="ProductList-OfferingBody"/>
              <w:jc w:val="center"/>
            </w:pPr>
            <w:r>
              <w:t>25%</w:t>
            </w:r>
          </w:p>
        </w:tc>
      </w:tr>
      <w:tr w:rsidR="00494CDE" w:rsidRPr="00B44CF9" w14:paraId="3C1C0ED2" w14:textId="77777777" w:rsidTr="00085CEE">
        <w:tc>
          <w:tcPr>
            <w:tcW w:w="5400" w:type="dxa"/>
          </w:tcPr>
          <w:p w14:paraId="40393735" w14:textId="77777777" w:rsidR="00494CDE" w:rsidRPr="00EF7CF9" w:rsidRDefault="00494CDE" w:rsidP="00F01ED6">
            <w:pPr>
              <w:pStyle w:val="ProductList-OfferingBody"/>
              <w:jc w:val="center"/>
            </w:pPr>
            <w:r>
              <w:t>&lt; 99%</w:t>
            </w:r>
          </w:p>
        </w:tc>
        <w:tc>
          <w:tcPr>
            <w:tcW w:w="5400" w:type="dxa"/>
          </w:tcPr>
          <w:p w14:paraId="6E07CBA3" w14:textId="77777777" w:rsidR="00494CDE" w:rsidRPr="00EF7CF9" w:rsidRDefault="00494CDE" w:rsidP="00F01ED6">
            <w:pPr>
              <w:pStyle w:val="ProductList-OfferingBody"/>
              <w:jc w:val="center"/>
            </w:pPr>
            <w:r>
              <w:t>50%</w:t>
            </w:r>
          </w:p>
        </w:tc>
      </w:tr>
      <w:tr w:rsidR="00494CDE" w:rsidRPr="00B44CF9" w14:paraId="0EDEF19A" w14:textId="77777777" w:rsidTr="00085CEE">
        <w:tc>
          <w:tcPr>
            <w:tcW w:w="5400" w:type="dxa"/>
          </w:tcPr>
          <w:p w14:paraId="1B7169A1" w14:textId="77777777" w:rsidR="00494CDE" w:rsidRPr="00EF7CF9" w:rsidRDefault="00494CDE" w:rsidP="00F01ED6">
            <w:pPr>
              <w:pStyle w:val="ProductList-OfferingBody"/>
              <w:jc w:val="center"/>
            </w:pPr>
            <w:r>
              <w:t>&lt; 95%</w:t>
            </w:r>
          </w:p>
        </w:tc>
        <w:tc>
          <w:tcPr>
            <w:tcW w:w="5400" w:type="dxa"/>
          </w:tcPr>
          <w:p w14:paraId="68EE0912" w14:textId="77777777" w:rsidR="00494CDE" w:rsidRPr="00EF7CF9" w:rsidRDefault="00494CDE" w:rsidP="00F01ED6">
            <w:pPr>
              <w:pStyle w:val="ProductList-OfferingBody"/>
              <w:keepNext/>
              <w:jc w:val="center"/>
            </w:pPr>
            <w:r>
              <w:t>100%</w:t>
            </w:r>
          </w:p>
        </w:tc>
      </w:tr>
    </w:tbl>
    <w:bookmarkStart w:id="465" w:name="_Toc457821594"/>
    <w:p w14:paraId="23F8B970"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383E8B2" w14:textId="1730A621" w:rsidR="00D46BBE" w:rsidRPr="00EF7CF9" w:rsidRDefault="00D46BBE" w:rsidP="00C609B4">
      <w:pPr>
        <w:pStyle w:val="ProductList-Offering2Heading"/>
        <w:keepNext/>
        <w:tabs>
          <w:tab w:val="clear" w:pos="360"/>
          <w:tab w:val="clear" w:pos="720"/>
          <w:tab w:val="clear" w:pos="1080"/>
        </w:tabs>
        <w:outlineLvl w:val="2"/>
      </w:pPr>
      <w:bookmarkStart w:id="466" w:name="_Toc239176565"/>
      <w:r>
        <w:t>Power BI Embedded</w:t>
      </w:r>
      <w:bookmarkEnd w:id="465"/>
      <w:bookmarkEnd w:id="466"/>
    </w:p>
    <w:p w14:paraId="6682B686" w14:textId="024AAC30" w:rsidR="00D46BBE" w:rsidRPr="00EF7CF9" w:rsidRDefault="00D46BBE" w:rsidP="0045292D">
      <w:pPr>
        <w:shd w:val="clear" w:color="auto" w:fill="FFFFFF"/>
        <w:spacing w:after="0" w:line="240" w:lineRule="auto"/>
        <w:rPr>
          <w:sz w:val="18"/>
          <w:szCs w:val="18"/>
        </w:rPr>
      </w:pPr>
      <w:r>
        <w:rPr>
          <w:b/>
          <w:color w:val="00188F"/>
          <w:sz w:val="18"/>
        </w:rPr>
        <w:t>Minutos de Implementação</w:t>
      </w:r>
      <w:r w:rsidRPr="00473DD3">
        <w:rPr>
          <w:b/>
          <w:color w:val="00188F"/>
          <w:sz w:val="18"/>
        </w:rPr>
        <w:t>:</w:t>
      </w:r>
      <w:r>
        <w:rPr>
          <w:sz w:val="18"/>
          <w:szCs w:val="18"/>
        </w:rPr>
        <w:t xml:space="preserve"> O número total de minutos para os quais uma determinada capacidade incorporada esteve ativa durante um Período</w:t>
      </w:r>
      <w:r w:rsidR="0074049A">
        <w:rPr>
          <w:sz w:val="18"/>
          <w:szCs w:val="18"/>
        </w:rPr>
        <w:t> </w:t>
      </w:r>
      <w:r>
        <w:rPr>
          <w:sz w:val="18"/>
          <w:szCs w:val="18"/>
        </w:rPr>
        <w:t>Aplicável.</w:t>
      </w:r>
    </w:p>
    <w:p w14:paraId="24389026" w14:textId="6D838F6A" w:rsidR="00D46BBE" w:rsidRPr="00EF7CF9" w:rsidRDefault="0080752B" w:rsidP="00F01ED6">
      <w:pPr>
        <w:pStyle w:val="ProductList-Body"/>
        <w:rPr>
          <w:szCs w:val="18"/>
        </w:rPr>
      </w:pPr>
      <w:r>
        <w:rPr>
          <w:b/>
          <w:color w:val="00188F"/>
        </w:rPr>
        <w:t>Máximo de Minutos Disponíveis</w:t>
      </w:r>
      <w:r w:rsidRPr="00473DD3">
        <w:rPr>
          <w:b/>
          <w:color w:val="00188F"/>
        </w:rPr>
        <w:t>:</w:t>
      </w:r>
      <w:r>
        <w:t xml:space="preserve"> </w:t>
      </w:r>
      <w:r>
        <w:rPr>
          <w:szCs w:val="18"/>
        </w:rPr>
        <w:t>A soma de todos os Minutos de Implementação para uma capacidade incorporada específica aprovisionada por</w:t>
      </w:r>
      <w:r w:rsidR="00C9074A">
        <w:rPr>
          <w:szCs w:val="18"/>
        </w:rPr>
        <w:t> </w:t>
      </w:r>
      <w:r>
        <w:rPr>
          <w:szCs w:val="18"/>
        </w:rPr>
        <w:t>um cliente numa determinada subscrição do Microsoft Azure durante um Período Aplicável.</w:t>
      </w:r>
    </w:p>
    <w:p w14:paraId="51C796EF" w14:textId="6D9F6BFB" w:rsidR="00D46BBE" w:rsidRPr="006F3CBD" w:rsidRDefault="00D46BBE" w:rsidP="00F01ED6">
      <w:pPr>
        <w:pStyle w:val="ProductList-Body"/>
      </w:pPr>
      <w:r>
        <w:rPr>
          <w:b/>
          <w:color w:val="00188F"/>
        </w:rPr>
        <w:t>Minutos de Período de Indisponibilidade</w:t>
      </w:r>
      <w:r w:rsidRPr="00473DD3">
        <w:rPr>
          <w:b/>
          <w:color w:val="00188F"/>
        </w:rPr>
        <w:t>:</w:t>
      </w:r>
      <w:r>
        <w:t xml:space="preserve"> </w:t>
      </w:r>
      <w:r>
        <w:rPr>
          <w:szCs w:val="18"/>
        </w:rPr>
        <w:t>O total acumulado de Minutos de Implementação durante os quais não é possível utilizar uma capacidade incorporada em todas as funcionalidades aplicáveis do Power BI listadas abaixo:</w:t>
      </w:r>
    </w:p>
    <w:p w14:paraId="3A0DFCD2" w14:textId="77777777" w:rsidR="005F6A67" w:rsidRPr="00562EF3" w:rsidRDefault="005F6A67" w:rsidP="00F01ED6">
      <w:pPr>
        <w:pStyle w:val="ProductList-Body"/>
        <w:ind w:left="187"/>
        <w:rPr>
          <w:szCs w:val="18"/>
        </w:rPr>
      </w:pPr>
      <w:r>
        <w:rPr>
          <w:b/>
          <w:color w:val="00188F"/>
          <w:szCs w:val="18"/>
        </w:rPr>
        <w:t>Ver:</w:t>
      </w:r>
      <w:r>
        <w:rPr>
          <w:szCs w:val="18"/>
        </w:rPr>
        <w:t xml:space="preserve"> ver Dashboards, Relatórios e Aplicações do Power BI no serviço.</w:t>
      </w:r>
    </w:p>
    <w:p w14:paraId="45A8D5E3" w14:textId="77777777" w:rsidR="005F6A67" w:rsidRPr="00562EF3" w:rsidRDefault="005F6A67" w:rsidP="00F01ED6">
      <w:pPr>
        <w:pStyle w:val="ProductList-Body"/>
        <w:ind w:left="187" w:right="450"/>
        <w:rPr>
          <w:szCs w:val="18"/>
        </w:rPr>
      </w:pPr>
      <w:r>
        <w:rPr>
          <w:b/>
          <w:color w:val="00188F"/>
          <w:szCs w:val="18"/>
        </w:rPr>
        <w:t>Atualização do Conjunto de Dados:</w:t>
      </w:r>
      <w:r>
        <w:rPr>
          <w:szCs w:val="18"/>
        </w:rPr>
        <w:t xml:space="preserve"> agendar ou acionar manualmente a operação de atualização e esperar que estas operações sejam concluídas dentro dos períodos esperados, tendo em consideração todas as condições que poderão afetar as velocidades de atualização (por exemplo, o tamanho do conjunto de dados).</w:t>
      </w:r>
    </w:p>
    <w:p w14:paraId="792237E2" w14:textId="6B3F431E" w:rsidR="005F6A67" w:rsidRPr="00F86AAF" w:rsidRDefault="005F6A67" w:rsidP="00F01ED6">
      <w:pPr>
        <w:spacing w:after="0" w:line="240" w:lineRule="auto"/>
        <w:ind w:left="187"/>
        <w:rPr>
          <w:rFonts w:ascii="Times New Roman" w:hAnsi="Times New Roman" w:cs="Times New Roman"/>
          <w:sz w:val="18"/>
          <w:szCs w:val="18"/>
        </w:rPr>
      </w:pPr>
      <w:r>
        <w:rPr>
          <w:b/>
          <w:color w:val="00188F"/>
          <w:sz w:val="18"/>
          <w:szCs w:val="18"/>
        </w:rPr>
        <w:t>Acesso ao Portal do Power BI:</w:t>
      </w:r>
      <w:r>
        <w:rPr>
          <w:sz w:val="18"/>
          <w:szCs w:val="18"/>
        </w:rPr>
        <w:t xml:space="preserve"> acesso e utilização do Portal do Power BI dentro dos períodos esperados, tendo em consideração as condições e</w:t>
      </w:r>
      <w:r w:rsidR="0074049A">
        <w:rPr>
          <w:sz w:val="18"/>
          <w:szCs w:val="18"/>
        </w:rPr>
        <w:t> </w:t>
      </w:r>
      <w:r>
        <w:rPr>
          <w:sz w:val="18"/>
          <w:szCs w:val="18"/>
        </w:rPr>
        <w:t>as limitações da rede, locais do ambiente do cliente ou externas à Microsoft.</w:t>
      </w:r>
      <w:r>
        <w:rPr>
          <w:rFonts w:ascii="Times New Roman" w:hAnsi="Times New Roman" w:cs="Times New Roman"/>
          <w:sz w:val="18"/>
          <w:szCs w:val="18"/>
        </w:rPr>
        <w:t xml:space="preserve"> </w:t>
      </w:r>
    </w:p>
    <w:p w14:paraId="125C2715" w14:textId="495649C3" w:rsidR="00C609B4"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A481C1F" w14:textId="4573AC7D" w:rsidR="00D46BBE" w:rsidRPr="00FD6AB8" w:rsidRDefault="00000000" w:rsidP="00C609B4">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Minutos de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62B60FD" w14:textId="77777777" w:rsidR="00D46BBE" w:rsidRPr="00EF7CF9" w:rsidRDefault="00D46BBE"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4355701A" w14:textId="77777777" w:rsidR="00D46BBE" w:rsidRPr="00EF7CF9" w:rsidRDefault="00D46BBE" w:rsidP="00F01ED6">
            <w:pPr>
              <w:pStyle w:val="ProductList-OfferingBody"/>
              <w:jc w:val="center"/>
              <w:rPr>
                <w:color w:val="FFFFFF" w:themeColor="background1"/>
              </w:rPr>
            </w:pPr>
            <w:r>
              <w:rPr>
                <w:color w:val="FFFFFF" w:themeColor="background1"/>
              </w:rPr>
              <w:t>Crédito de Serviço</w:t>
            </w:r>
          </w:p>
        </w:tc>
      </w:tr>
      <w:tr w:rsidR="00D46BBE" w:rsidRPr="00B44CF9" w14:paraId="6AA7281E" w14:textId="77777777" w:rsidTr="00BC681F">
        <w:tc>
          <w:tcPr>
            <w:tcW w:w="5400" w:type="dxa"/>
          </w:tcPr>
          <w:p w14:paraId="70825BB6" w14:textId="77777777" w:rsidR="00D46BBE" w:rsidRPr="00EF7CF9" w:rsidRDefault="00D46BBE" w:rsidP="00F01ED6">
            <w:pPr>
              <w:pStyle w:val="ProductList-OfferingBody"/>
              <w:jc w:val="center"/>
            </w:pPr>
            <w:r>
              <w:t>&lt; 99,9%</w:t>
            </w:r>
          </w:p>
        </w:tc>
        <w:tc>
          <w:tcPr>
            <w:tcW w:w="5400" w:type="dxa"/>
          </w:tcPr>
          <w:p w14:paraId="54054EA6" w14:textId="77777777" w:rsidR="00D46BBE" w:rsidRPr="00EF7CF9" w:rsidRDefault="00D46BBE" w:rsidP="00F01ED6">
            <w:pPr>
              <w:pStyle w:val="ProductList-OfferingBody"/>
              <w:jc w:val="center"/>
            </w:pPr>
            <w:r>
              <w:t>10%</w:t>
            </w:r>
          </w:p>
        </w:tc>
      </w:tr>
      <w:tr w:rsidR="00D46BBE" w:rsidRPr="00B44CF9" w14:paraId="19F0B536" w14:textId="77777777" w:rsidTr="00BC681F">
        <w:tc>
          <w:tcPr>
            <w:tcW w:w="5400" w:type="dxa"/>
          </w:tcPr>
          <w:p w14:paraId="29BB03BB" w14:textId="77777777" w:rsidR="00D46BBE" w:rsidRPr="00EF7CF9" w:rsidRDefault="00D46BBE" w:rsidP="00F01ED6">
            <w:pPr>
              <w:pStyle w:val="ProductList-OfferingBody"/>
              <w:jc w:val="center"/>
            </w:pPr>
            <w:r>
              <w:t>&lt; 99%</w:t>
            </w:r>
          </w:p>
        </w:tc>
        <w:tc>
          <w:tcPr>
            <w:tcW w:w="5400" w:type="dxa"/>
          </w:tcPr>
          <w:p w14:paraId="068AE7F1" w14:textId="77777777" w:rsidR="00D46BBE" w:rsidRPr="00EF7CF9" w:rsidRDefault="00D46BBE" w:rsidP="00F01ED6">
            <w:pPr>
              <w:pStyle w:val="ProductList-OfferingBody"/>
              <w:jc w:val="center"/>
            </w:pPr>
            <w:r>
              <w:t>25%</w:t>
            </w:r>
          </w:p>
        </w:tc>
      </w:tr>
    </w:tbl>
    <w:bookmarkStart w:id="467" w:name="_Toc457821595"/>
    <w:p w14:paraId="1A9F8CBF"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2D2D524F" w14:textId="70462449" w:rsidR="002D6A90" w:rsidRPr="00EF7CF9" w:rsidRDefault="002D6A90" w:rsidP="00AA43CF">
      <w:pPr>
        <w:pStyle w:val="ProductList-Offering2Heading"/>
        <w:keepNext/>
        <w:tabs>
          <w:tab w:val="clear" w:pos="360"/>
          <w:tab w:val="clear" w:pos="720"/>
          <w:tab w:val="clear" w:pos="1080"/>
        </w:tabs>
        <w:outlineLvl w:val="2"/>
      </w:pPr>
      <w:bookmarkStart w:id="468" w:name="_Toc239176566"/>
      <w:r>
        <w:t>Power BI Premium</w:t>
      </w:r>
      <w:bookmarkEnd w:id="468"/>
    </w:p>
    <w:p w14:paraId="4D4399A1" w14:textId="0EAEC01E" w:rsidR="002D6A90" w:rsidRPr="00EF7CF9" w:rsidRDefault="002D6A90" w:rsidP="00F01ED6">
      <w:pPr>
        <w:pStyle w:val="ProductList-Body"/>
      </w:pPr>
      <w:r>
        <w:rPr>
          <w:b/>
          <w:color w:val="00188F"/>
        </w:rPr>
        <w:t>Capacidade:</w:t>
      </w:r>
      <w:r>
        <w:t xml:space="preserve"> designa uma capacidade nomeada aprovisionada por um administrador através do portal de administração da capacidade do Power BI</w:t>
      </w:r>
      <w:r w:rsidR="003A33AB">
        <w:t> </w:t>
      </w:r>
      <w:r>
        <w:t>Premium. Uma Capacidade é um agrupamento de um ou mais nós.</w:t>
      </w:r>
    </w:p>
    <w:p w14:paraId="13BA1B34" w14:textId="017CFF79" w:rsidR="002D6A90" w:rsidRPr="00EF7CF9" w:rsidRDefault="002D6A90" w:rsidP="00F01ED6">
      <w:pPr>
        <w:pStyle w:val="ProductList-Body"/>
      </w:pPr>
      <w:r>
        <w:rPr>
          <w:b/>
          <w:color w:val="00188F"/>
        </w:rPr>
        <w:t>Máximo de Minutos Disponíveis:</w:t>
      </w:r>
      <w:r>
        <w:t xml:space="preserve"> a soma de todos os minutos durante os quais determinada Capacidade foi atribuída a uma instância durante um</w:t>
      </w:r>
      <w:r w:rsidR="00561387">
        <w:t> </w:t>
      </w:r>
      <w:r>
        <w:t>Período Aplicável para um determinado inquilino.</w:t>
      </w:r>
    </w:p>
    <w:p w14:paraId="3EBB5A05" w14:textId="4A021365" w:rsidR="002D6A90" w:rsidRPr="00EF7CF9" w:rsidRDefault="002D6A90" w:rsidP="00F01ED6">
      <w:pPr>
        <w:pStyle w:val="ProductList-Body"/>
      </w:pPr>
      <w:r>
        <w:rPr>
          <w:b/>
          <w:color w:val="00188F"/>
        </w:rPr>
        <w:t>Minutos de Período de Indisponibilidade</w:t>
      </w:r>
      <w:r w:rsidRPr="00473DD3">
        <w:rPr>
          <w:b/>
          <w:color w:val="00188F"/>
        </w:rPr>
        <w:t>:</w:t>
      </w:r>
      <w:r>
        <w:t xml:space="preserve"> </w:t>
      </w:r>
      <w:r>
        <w:rPr>
          <w:szCs w:val="18"/>
        </w:rPr>
        <w:t>o total de minutos acumulados num Período Aplicável para uma determinada Capacidade, após a respetiva criação, ou antes de ser desaprovisionada, durante os quais não é possível utilizar a Capacidade em todas as funcionalidades aplicáveis do</w:t>
      </w:r>
      <w:r w:rsidR="00992E15">
        <w:rPr>
          <w:szCs w:val="18"/>
        </w:rPr>
        <w:t> </w:t>
      </w:r>
      <w:r>
        <w:rPr>
          <w:szCs w:val="18"/>
        </w:rPr>
        <w:t>Power BI listadas abaixo:</w:t>
      </w:r>
    </w:p>
    <w:p w14:paraId="3BFB5669" w14:textId="77777777" w:rsidR="00CA5CE3" w:rsidRDefault="00CA5CE3" w:rsidP="00F01ED6">
      <w:pPr>
        <w:pStyle w:val="ProductList-Body"/>
        <w:ind w:left="187"/>
        <w:rPr>
          <w:szCs w:val="18"/>
        </w:rPr>
      </w:pPr>
      <w:r>
        <w:rPr>
          <w:b/>
          <w:color w:val="00188F"/>
        </w:rPr>
        <w:t>Ver:</w:t>
      </w:r>
      <w:r>
        <w:rPr>
          <w:szCs w:val="18"/>
        </w:rPr>
        <w:t xml:space="preserve"> ver Dashboards, Relatórios e Aplicações do Power BI no serviço.</w:t>
      </w:r>
    </w:p>
    <w:p w14:paraId="342ED7E2" w14:textId="7772677E" w:rsidR="00CA5CE3" w:rsidRDefault="00CA5CE3" w:rsidP="00F01ED6">
      <w:pPr>
        <w:pStyle w:val="ProductList-Body"/>
        <w:ind w:left="187"/>
        <w:rPr>
          <w:szCs w:val="18"/>
        </w:rPr>
      </w:pPr>
      <w:r>
        <w:rPr>
          <w:b/>
          <w:color w:val="00188F"/>
        </w:rPr>
        <w:t>Atualização do Conjunto de Dados:</w:t>
      </w:r>
      <w:r>
        <w:rPr>
          <w:szCs w:val="18"/>
        </w:rPr>
        <w:t xml:space="preserve"> agendar ou acionar manualmente a operação de atualização e esperar que estas operações sejam concluídas dentro dos períodos esperados, tendo em consideração todas as condições que poderão afetar as velocidades de atualização (por</w:t>
      </w:r>
      <w:r w:rsidR="00DC1476">
        <w:rPr>
          <w:szCs w:val="18"/>
        </w:rPr>
        <w:t> </w:t>
      </w:r>
      <w:r>
        <w:rPr>
          <w:szCs w:val="18"/>
        </w:rPr>
        <w:t>exemplo, o tamanho do conjunto de dados).</w:t>
      </w:r>
    </w:p>
    <w:p w14:paraId="5C6B8C0C" w14:textId="50AFB700" w:rsidR="00CA5CE3" w:rsidRPr="00F86AAF" w:rsidRDefault="00CA5CE3" w:rsidP="00F01ED6">
      <w:pPr>
        <w:pStyle w:val="ProductList-Body"/>
        <w:ind w:left="180"/>
        <w:rPr>
          <w:szCs w:val="18"/>
        </w:rPr>
      </w:pPr>
      <w:r>
        <w:rPr>
          <w:b/>
          <w:color w:val="00188F"/>
        </w:rPr>
        <w:t>Acesso ao Portal do Power BI:</w:t>
      </w:r>
      <w:r>
        <w:rPr>
          <w:szCs w:val="18"/>
        </w:rPr>
        <w:t xml:space="preserve"> acesso e utilização do Portal do Power BI dentro dos períodos esperados, tendo em consideração as condições e</w:t>
      </w:r>
      <w:r w:rsidR="00DC1476">
        <w:rPr>
          <w:szCs w:val="18"/>
        </w:rPr>
        <w:t> </w:t>
      </w:r>
      <w:r>
        <w:rPr>
          <w:szCs w:val="18"/>
        </w:rPr>
        <w:t>as limitações da rede, locais do ambiente do cliente ou externas à Microsoft.</w:t>
      </w:r>
    </w:p>
    <w:p w14:paraId="2C1620AE" w14:textId="243C66A8" w:rsidR="002D6A90"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67F0784B" w14:textId="321FFB7D" w:rsidR="002D6A90" w:rsidRPr="009E2B16" w:rsidRDefault="00000000" w:rsidP="0084418C">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Minutos de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8365CB1" w14:textId="77777777" w:rsidR="002D6A90" w:rsidRPr="00EF7CF9" w:rsidRDefault="002D6A90"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13D3B0F5" w14:textId="77777777" w:rsidR="002D6A90" w:rsidRPr="00EF7CF9" w:rsidRDefault="002D6A90" w:rsidP="00F01ED6">
            <w:pPr>
              <w:pStyle w:val="ProductList-OfferingBody"/>
              <w:jc w:val="center"/>
              <w:rPr>
                <w:color w:val="FFFFFF" w:themeColor="background1"/>
              </w:rPr>
            </w:pPr>
            <w:r>
              <w:rPr>
                <w:color w:val="FFFFFF" w:themeColor="background1"/>
              </w:rPr>
              <w:t>Crédito de Serviço</w:t>
            </w:r>
          </w:p>
        </w:tc>
      </w:tr>
      <w:tr w:rsidR="002D6A90" w:rsidRPr="00B44CF9" w14:paraId="3719FC9D" w14:textId="77777777" w:rsidTr="00EE6CC5">
        <w:tc>
          <w:tcPr>
            <w:tcW w:w="5400" w:type="dxa"/>
          </w:tcPr>
          <w:p w14:paraId="7FBF86A4" w14:textId="77777777" w:rsidR="002D6A90" w:rsidRPr="00EF7CF9" w:rsidRDefault="002D6A90" w:rsidP="00F01ED6">
            <w:pPr>
              <w:pStyle w:val="ProductList-OfferingBody"/>
              <w:jc w:val="center"/>
            </w:pPr>
            <w:r>
              <w:t>&lt; 99,9%</w:t>
            </w:r>
          </w:p>
        </w:tc>
        <w:tc>
          <w:tcPr>
            <w:tcW w:w="5400" w:type="dxa"/>
          </w:tcPr>
          <w:p w14:paraId="719D357D" w14:textId="1400E17F" w:rsidR="002D6A90" w:rsidRPr="00EF7CF9" w:rsidRDefault="002D6A90" w:rsidP="00F01ED6">
            <w:pPr>
              <w:pStyle w:val="ProductList-OfferingBody"/>
              <w:jc w:val="center"/>
            </w:pPr>
            <w:r>
              <w:t>10%</w:t>
            </w:r>
          </w:p>
        </w:tc>
      </w:tr>
      <w:tr w:rsidR="002D6A90" w:rsidRPr="00B44CF9" w14:paraId="36B73CB5" w14:textId="77777777" w:rsidTr="00EE6CC5">
        <w:tc>
          <w:tcPr>
            <w:tcW w:w="5400" w:type="dxa"/>
          </w:tcPr>
          <w:p w14:paraId="7AFCE4C7" w14:textId="77777777" w:rsidR="002D6A90" w:rsidRPr="00EF7CF9" w:rsidRDefault="002D6A90" w:rsidP="00F01ED6">
            <w:pPr>
              <w:pStyle w:val="ProductList-OfferingBody"/>
              <w:jc w:val="center"/>
            </w:pPr>
            <w:r>
              <w:t>&lt; 99%</w:t>
            </w:r>
          </w:p>
        </w:tc>
        <w:tc>
          <w:tcPr>
            <w:tcW w:w="5400" w:type="dxa"/>
          </w:tcPr>
          <w:p w14:paraId="52E1AD03" w14:textId="14F3C7FF" w:rsidR="002D6A90" w:rsidRPr="00EF7CF9" w:rsidRDefault="002D6A90" w:rsidP="00F01ED6">
            <w:pPr>
              <w:pStyle w:val="ProductList-OfferingBody"/>
              <w:jc w:val="center"/>
            </w:pPr>
            <w:r>
              <w:t>25%</w:t>
            </w:r>
          </w:p>
        </w:tc>
      </w:tr>
    </w:tbl>
    <w:p w14:paraId="337AEE1C"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7B30F133" w14:textId="0FA0019F" w:rsidR="00515EF4" w:rsidRPr="00EF7CF9" w:rsidRDefault="00515EF4" w:rsidP="005D6E75">
      <w:pPr>
        <w:pStyle w:val="ProductList-Offering2Heading"/>
        <w:tabs>
          <w:tab w:val="clear" w:pos="360"/>
          <w:tab w:val="clear" w:pos="720"/>
          <w:tab w:val="clear" w:pos="1080"/>
        </w:tabs>
        <w:outlineLvl w:val="2"/>
      </w:pPr>
      <w:bookmarkStart w:id="469" w:name="_Toc239176567"/>
      <w:r>
        <w:t>Power BI Pro</w:t>
      </w:r>
      <w:bookmarkEnd w:id="452"/>
      <w:bookmarkEnd w:id="467"/>
      <w:bookmarkEnd w:id="469"/>
    </w:p>
    <w:p w14:paraId="2632FEBC" w14:textId="4613EEF9" w:rsidR="00595E65" w:rsidRDefault="00515EF4" w:rsidP="00F01ED6">
      <w:pPr>
        <w:pStyle w:val="ProductList-Body"/>
        <w:rPr>
          <w:szCs w:val="18"/>
        </w:rPr>
      </w:pPr>
      <w:r>
        <w:rPr>
          <w:b/>
          <w:color w:val="00188F"/>
        </w:rPr>
        <w:t>Minutos de Período de Indisponibilidade</w:t>
      </w:r>
      <w:r w:rsidRPr="00473DD3">
        <w:rPr>
          <w:b/>
          <w:color w:val="00188F"/>
        </w:rPr>
        <w:t>:</w:t>
      </w:r>
      <w:r>
        <w:t xml:space="preserve"> </w:t>
      </w:r>
      <w:r>
        <w:rPr>
          <w:szCs w:val="18"/>
        </w:rPr>
        <w:t>o total de minutos acumulados num Período Aplicável durante os quais todas as funcionalidades do Power BI listadas abaixo estão indisponíveis:</w:t>
      </w:r>
    </w:p>
    <w:p w14:paraId="0D632B65" w14:textId="77777777" w:rsidR="00595E65" w:rsidRDefault="00595E65" w:rsidP="00F01ED6">
      <w:pPr>
        <w:pStyle w:val="ProductList-Body"/>
        <w:ind w:left="187"/>
        <w:rPr>
          <w:szCs w:val="18"/>
        </w:rPr>
      </w:pPr>
      <w:r>
        <w:rPr>
          <w:b/>
          <w:color w:val="00188F"/>
        </w:rPr>
        <w:t>Ver:</w:t>
      </w:r>
      <w:r>
        <w:rPr>
          <w:szCs w:val="18"/>
        </w:rPr>
        <w:t xml:space="preserve"> ver Dashboards, Relatórios e Aplicações do Power BI no serviço.</w:t>
      </w:r>
    </w:p>
    <w:p w14:paraId="308484E7" w14:textId="69D95605" w:rsidR="00595E65" w:rsidRDefault="00595E65" w:rsidP="00F01ED6">
      <w:pPr>
        <w:pStyle w:val="ProductList-Body"/>
        <w:ind w:left="187"/>
        <w:rPr>
          <w:szCs w:val="18"/>
        </w:rPr>
      </w:pPr>
      <w:r>
        <w:rPr>
          <w:b/>
          <w:color w:val="00188F"/>
        </w:rPr>
        <w:t>Atualização do Conjunto de Dados:</w:t>
      </w:r>
      <w:r>
        <w:rPr>
          <w:szCs w:val="18"/>
        </w:rPr>
        <w:t xml:space="preserve"> agendar ou acionar manualmente a operação de atualização e esperar que estas operações sejam concluídas dentro dos períodos esperados, tendo em consideração todas as condições que poderão afetar as velocidades de atualização (por</w:t>
      </w:r>
      <w:r w:rsidR="009964D4">
        <w:rPr>
          <w:szCs w:val="18"/>
        </w:rPr>
        <w:t> </w:t>
      </w:r>
      <w:r>
        <w:rPr>
          <w:szCs w:val="18"/>
        </w:rPr>
        <w:t>exemplo, o tamanho do conjunto de dados).</w:t>
      </w:r>
    </w:p>
    <w:p w14:paraId="66EB6922" w14:textId="337B19D1" w:rsidR="00595E65" w:rsidRDefault="00595E65" w:rsidP="00F01ED6">
      <w:pPr>
        <w:pStyle w:val="ProductList-Body"/>
        <w:ind w:left="180"/>
        <w:rPr>
          <w:szCs w:val="18"/>
        </w:rPr>
      </w:pPr>
      <w:r>
        <w:rPr>
          <w:b/>
          <w:color w:val="00188F"/>
        </w:rPr>
        <w:t>Acesso ao Portal do Power BI:</w:t>
      </w:r>
      <w:r>
        <w:rPr>
          <w:szCs w:val="18"/>
        </w:rPr>
        <w:t xml:space="preserve"> acesso e utilização do Portal do Power BI dentro dos períodos esperados, tendo em consideração as condições e</w:t>
      </w:r>
      <w:r w:rsidR="009964D4">
        <w:rPr>
          <w:szCs w:val="18"/>
        </w:rPr>
        <w:t> </w:t>
      </w:r>
      <w:r>
        <w:rPr>
          <w:szCs w:val="18"/>
        </w:rPr>
        <w:t>as limitações da rede, locais do ambiente do cliente ou externas à Microsoft.</w:t>
      </w:r>
    </w:p>
    <w:p w14:paraId="49ECCD62" w14:textId="3CA45863" w:rsidR="00515EF4"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5A7E48F2" w14:textId="36A489C9" w:rsidR="00515EF4" w:rsidRPr="009E2B16" w:rsidRDefault="00000000" w:rsidP="0084418C">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Número total de minutos num mês – Minutos de Período de Indisponibilidade</m:t>
              </m:r>
            </m:num>
            <m:den>
              <m:r>
                <m:rPr>
                  <m:nor/>
                </m:rPr>
                <w:rPr>
                  <w:rFonts w:ascii="Cambria Math" w:hAnsi="Cambria Math" w:cs="Calibri"/>
                  <w:i/>
                  <w:iCs/>
                  <w:sz w:val="18"/>
                  <w:szCs w:val="18"/>
                </w:rPr>
                <m:t>Número total de minutos num mês</m:t>
              </m:r>
            </m:den>
          </m:f>
          <m:r>
            <w:rPr>
              <w:rFonts w:ascii="Cambria Math" w:hAnsi="Cambria Math" w:cs="Calibri"/>
              <w:sz w:val="18"/>
              <w:szCs w:val="18"/>
            </w:rPr>
            <m:t xml:space="preserve"> x 100</m:t>
          </m:r>
        </m:oMath>
      </m:oMathPara>
    </w:p>
    <w:p w14:paraId="2865395D" w14:textId="1DC7BFA3" w:rsidR="00515EF4" w:rsidRPr="00EF7CF9" w:rsidRDefault="00515EF4"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65A9844A" w14:textId="77777777" w:rsidR="00515EF4" w:rsidRPr="00EF7CF9" w:rsidRDefault="00515EF4" w:rsidP="00F01ED6">
            <w:pPr>
              <w:pStyle w:val="ProductList-OfferingBody"/>
              <w:jc w:val="center"/>
              <w:rPr>
                <w:color w:val="FFFFFF" w:themeColor="background1"/>
              </w:rPr>
            </w:pPr>
            <w:r>
              <w:rPr>
                <w:color w:val="FFFFFF" w:themeColor="background1"/>
              </w:rPr>
              <w:t>Crédito de Serviço</w:t>
            </w:r>
          </w:p>
        </w:tc>
      </w:tr>
      <w:tr w:rsidR="00515EF4" w:rsidRPr="00B44CF9" w14:paraId="280D4F83" w14:textId="77777777" w:rsidTr="00515EF4">
        <w:tc>
          <w:tcPr>
            <w:tcW w:w="5400" w:type="dxa"/>
          </w:tcPr>
          <w:p w14:paraId="7709E7BA" w14:textId="21217632" w:rsidR="00515EF4" w:rsidRPr="00EF7CF9" w:rsidRDefault="00515EF4" w:rsidP="00F01ED6">
            <w:pPr>
              <w:pStyle w:val="ProductList-OfferingBody"/>
              <w:jc w:val="center"/>
            </w:pPr>
            <w:r>
              <w:t>&lt; 99,9%</w:t>
            </w:r>
          </w:p>
        </w:tc>
        <w:tc>
          <w:tcPr>
            <w:tcW w:w="5400" w:type="dxa"/>
          </w:tcPr>
          <w:p w14:paraId="520BC18E" w14:textId="77777777" w:rsidR="00515EF4" w:rsidRPr="00EF7CF9" w:rsidRDefault="00515EF4" w:rsidP="00F01ED6">
            <w:pPr>
              <w:pStyle w:val="ProductList-OfferingBody"/>
              <w:jc w:val="center"/>
            </w:pPr>
            <w:r>
              <w:t>25%</w:t>
            </w:r>
          </w:p>
        </w:tc>
      </w:tr>
      <w:tr w:rsidR="00515EF4" w:rsidRPr="00B44CF9" w14:paraId="770309F5" w14:textId="77777777" w:rsidTr="00515EF4">
        <w:tc>
          <w:tcPr>
            <w:tcW w:w="5400" w:type="dxa"/>
          </w:tcPr>
          <w:p w14:paraId="21B00FC9" w14:textId="1BC0291E" w:rsidR="00515EF4" w:rsidRPr="00EF7CF9" w:rsidRDefault="00515EF4" w:rsidP="00F01ED6">
            <w:pPr>
              <w:pStyle w:val="ProductList-OfferingBody"/>
              <w:jc w:val="center"/>
            </w:pPr>
            <w:r>
              <w:t>&lt; 99%</w:t>
            </w:r>
          </w:p>
        </w:tc>
        <w:tc>
          <w:tcPr>
            <w:tcW w:w="5400" w:type="dxa"/>
          </w:tcPr>
          <w:p w14:paraId="7A5A5886" w14:textId="77777777" w:rsidR="00515EF4" w:rsidRPr="00EF7CF9" w:rsidRDefault="00515EF4" w:rsidP="00F01ED6">
            <w:pPr>
              <w:pStyle w:val="ProductList-OfferingBody"/>
              <w:jc w:val="center"/>
            </w:pPr>
            <w:r>
              <w:t>50%</w:t>
            </w:r>
          </w:p>
        </w:tc>
      </w:tr>
      <w:tr w:rsidR="00515EF4" w:rsidRPr="00B44CF9" w14:paraId="40F5B3FA" w14:textId="77777777" w:rsidTr="00515EF4">
        <w:tc>
          <w:tcPr>
            <w:tcW w:w="5400" w:type="dxa"/>
          </w:tcPr>
          <w:p w14:paraId="4AA1F0D1" w14:textId="35F62C48" w:rsidR="00515EF4" w:rsidRPr="00EF7CF9" w:rsidRDefault="00515EF4" w:rsidP="00F01ED6">
            <w:pPr>
              <w:pStyle w:val="ProductList-OfferingBody"/>
              <w:jc w:val="center"/>
            </w:pPr>
            <w:r>
              <w:t>&lt; 95%</w:t>
            </w:r>
          </w:p>
        </w:tc>
        <w:tc>
          <w:tcPr>
            <w:tcW w:w="5400" w:type="dxa"/>
          </w:tcPr>
          <w:p w14:paraId="41A062A9" w14:textId="77777777" w:rsidR="00515EF4" w:rsidRPr="00EF7CF9" w:rsidRDefault="00515EF4" w:rsidP="00F01ED6">
            <w:pPr>
              <w:pStyle w:val="ProductList-OfferingBody"/>
              <w:jc w:val="center"/>
            </w:pPr>
            <w:r>
              <w:t>100%</w:t>
            </w:r>
          </w:p>
        </w:tc>
      </w:tr>
    </w:tbl>
    <w:bookmarkStart w:id="470" w:name="_Toc457821596"/>
    <w:p w14:paraId="0F2C8865"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33137B2B" w14:textId="362A1769" w:rsidR="00515EF4" w:rsidRPr="00EF7CF9" w:rsidRDefault="00A264B6" w:rsidP="004F0B8A">
      <w:pPr>
        <w:pStyle w:val="ProductList-Offering2Heading"/>
        <w:pageBreakBefore/>
        <w:tabs>
          <w:tab w:val="clear" w:pos="360"/>
          <w:tab w:val="clear" w:pos="720"/>
          <w:tab w:val="clear" w:pos="1080"/>
        </w:tabs>
        <w:outlineLvl w:val="2"/>
      </w:pPr>
      <w:bookmarkStart w:id="471" w:name="_Toc239176568"/>
      <w:r>
        <w:lastRenderedPageBreak/>
        <w:t xml:space="preserve">Azure </w:t>
      </w:r>
      <w:r w:rsidR="00515EF4">
        <w:t>AI Translator</w:t>
      </w:r>
      <w:bookmarkEnd w:id="470"/>
      <w:bookmarkEnd w:id="471"/>
    </w:p>
    <w:p w14:paraId="0D68E64F" w14:textId="1CB465B2" w:rsidR="00515EF4" w:rsidRPr="00EF7CF9" w:rsidRDefault="00515EF4" w:rsidP="00F01ED6">
      <w:pPr>
        <w:pStyle w:val="ProductList-Body"/>
      </w:pPr>
      <w:r>
        <w:rPr>
          <w:b/>
          <w:color w:val="00188F"/>
        </w:rPr>
        <w:t>Período de Indisponibilidade</w:t>
      </w:r>
      <w:r w:rsidRPr="00473DD3">
        <w:rPr>
          <w:b/>
          <w:color w:val="00188F"/>
        </w:rPr>
        <w:t>:</w:t>
      </w:r>
      <w:r>
        <w:t xml:space="preserve"> </w:t>
      </w:r>
      <w:r>
        <w:rPr>
          <w:szCs w:val="18"/>
        </w:rPr>
        <w:t>Qualquer período de tempo em que os utilizadores não conseguem efetuar traduções.</w:t>
      </w:r>
    </w:p>
    <w:p w14:paraId="2A370CEF" w14:textId="5340E59C" w:rsidR="00515EF4" w:rsidRDefault="00AC48A7" w:rsidP="00F01ED6">
      <w:pPr>
        <w:pStyle w:val="ProductList-Body"/>
        <w:keepNext/>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728BF4C5" w14:textId="1B7FBE02" w:rsidR="00515EF4" w:rsidRPr="009E2B16" w:rsidRDefault="00000000" w:rsidP="0084418C">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Número total de minutos num Período Aplicável - Período de Indisponibilidade</m:t>
              </m:r>
            </m:num>
            <m:den>
              <m:r>
                <m:rPr>
                  <m:nor/>
                </m:rPr>
                <w:rPr>
                  <w:rFonts w:ascii="Cambria Math" w:hAnsi="Cambria Math" w:cs="Calibri"/>
                  <w:i/>
                  <w:iCs/>
                  <w:sz w:val="18"/>
                  <w:szCs w:val="18"/>
                </w:rPr>
                <m:t>Número total de minutos num Período Aplicável</m:t>
              </m:r>
            </m:den>
          </m:f>
          <m:r>
            <w:rPr>
              <w:rFonts w:ascii="Cambria Math" w:hAnsi="Cambria Math" w:cs="Calibri"/>
              <w:sz w:val="18"/>
              <w:szCs w:val="18"/>
            </w:rPr>
            <m:t xml:space="preserve"> x 100</m:t>
          </m:r>
        </m:oMath>
      </m:oMathPara>
    </w:p>
    <w:p w14:paraId="7E3A2E69" w14:textId="65F88F81" w:rsidR="00515EF4" w:rsidRDefault="00D46DC5" w:rsidP="00F01ED6">
      <w:pPr>
        <w:pStyle w:val="ProductList-Body"/>
        <w:rPr>
          <w:szCs w:val="18"/>
        </w:rPr>
      </w:pPr>
      <w:r>
        <w:rPr>
          <w:szCs w:val="18"/>
        </w:rPr>
        <w:t>em que o Período de Indisponibilidade é medido como o número total de minutos durante o Período Aplicável quando os aspetos do Servidor estabelecidos acima estão indisponíveis.</w:t>
      </w:r>
    </w:p>
    <w:p w14:paraId="148F07C0" w14:textId="77777777" w:rsidR="000C15FB" w:rsidRPr="00EF7CF9" w:rsidRDefault="000C15FB" w:rsidP="00F01ED6">
      <w:pPr>
        <w:pStyle w:val="ProductList-Body"/>
      </w:pPr>
    </w:p>
    <w:p w14:paraId="1A614EB8" w14:textId="299A272D" w:rsidR="00515EF4" w:rsidRPr="00EF7CF9" w:rsidRDefault="00515EF4" w:rsidP="00D6770D">
      <w:pPr>
        <w:pStyle w:val="ProductList-Body"/>
        <w:keepNext/>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34458E81" w14:textId="77777777" w:rsidR="00515EF4" w:rsidRPr="00EF7CF9" w:rsidRDefault="00515EF4" w:rsidP="00F01ED6">
            <w:pPr>
              <w:pStyle w:val="ProductList-OfferingBody"/>
              <w:jc w:val="center"/>
              <w:rPr>
                <w:color w:val="FFFFFF" w:themeColor="background1"/>
              </w:rPr>
            </w:pPr>
            <w:r>
              <w:rPr>
                <w:color w:val="FFFFFF" w:themeColor="background1"/>
              </w:rPr>
              <w:t>Crédito de Serviço</w:t>
            </w:r>
          </w:p>
        </w:tc>
      </w:tr>
      <w:tr w:rsidR="00515EF4" w:rsidRPr="00B44CF9" w14:paraId="710135BB" w14:textId="77777777" w:rsidTr="00515EF4">
        <w:tc>
          <w:tcPr>
            <w:tcW w:w="5400" w:type="dxa"/>
          </w:tcPr>
          <w:p w14:paraId="0ED7D057" w14:textId="400D8B77" w:rsidR="00515EF4" w:rsidRPr="00EF7CF9" w:rsidRDefault="00515EF4" w:rsidP="00F01ED6">
            <w:pPr>
              <w:pStyle w:val="ProductList-OfferingBody"/>
              <w:jc w:val="center"/>
            </w:pPr>
            <w:r>
              <w:t>&lt; 99,9%</w:t>
            </w:r>
          </w:p>
        </w:tc>
        <w:tc>
          <w:tcPr>
            <w:tcW w:w="5400" w:type="dxa"/>
          </w:tcPr>
          <w:p w14:paraId="086049F0" w14:textId="77777777" w:rsidR="00515EF4" w:rsidRPr="00EF7CF9" w:rsidRDefault="00515EF4" w:rsidP="00F01ED6">
            <w:pPr>
              <w:pStyle w:val="ProductList-OfferingBody"/>
              <w:jc w:val="center"/>
            </w:pPr>
            <w:r>
              <w:t>25%</w:t>
            </w:r>
          </w:p>
        </w:tc>
      </w:tr>
      <w:tr w:rsidR="00515EF4" w:rsidRPr="00B44CF9" w14:paraId="44B63A37" w14:textId="77777777" w:rsidTr="00515EF4">
        <w:tc>
          <w:tcPr>
            <w:tcW w:w="5400" w:type="dxa"/>
          </w:tcPr>
          <w:p w14:paraId="567733F4" w14:textId="62AC2EBE" w:rsidR="00515EF4" w:rsidRPr="00EF7CF9" w:rsidRDefault="00515EF4" w:rsidP="00F01ED6">
            <w:pPr>
              <w:pStyle w:val="ProductList-OfferingBody"/>
              <w:jc w:val="center"/>
            </w:pPr>
            <w:r>
              <w:t>&lt; 99%</w:t>
            </w:r>
          </w:p>
        </w:tc>
        <w:tc>
          <w:tcPr>
            <w:tcW w:w="5400" w:type="dxa"/>
          </w:tcPr>
          <w:p w14:paraId="3610FC92" w14:textId="77777777" w:rsidR="00515EF4" w:rsidRPr="00EF7CF9" w:rsidRDefault="00515EF4" w:rsidP="00F01ED6">
            <w:pPr>
              <w:pStyle w:val="ProductList-OfferingBody"/>
              <w:jc w:val="center"/>
            </w:pPr>
            <w:r>
              <w:t>50%</w:t>
            </w:r>
          </w:p>
        </w:tc>
      </w:tr>
      <w:tr w:rsidR="00515EF4" w:rsidRPr="00B44CF9" w14:paraId="5F2E73BA" w14:textId="77777777" w:rsidTr="00515EF4">
        <w:tc>
          <w:tcPr>
            <w:tcW w:w="5400" w:type="dxa"/>
          </w:tcPr>
          <w:p w14:paraId="1DE42D45" w14:textId="028A190D" w:rsidR="00515EF4" w:rsidRPr="00EF7CF9" w:rsidRDefault="00515EF4" w:rsidP="00F01ED6">
            <w:pPr>
              <w:pStyle w:val="ProductList-OfferingBody"/>
              <w:jc w:val="center"/>
            </w:pPr>
            <w:r>
              <w:t>&lt; 95%</w:t>
            </w:r>
          </w:p>
        </w:tc>
        <w:tc>
          <w:tcPr>
            <w:tcW w:w="5400" w:type="dxa"/>
          </w:tcPr>
          <w:p w14:paraId="55A96903" w14:textId="77777777" w:rsidR="00515EF4" w:rsidRPr="00EF7CF9" w:rsidRDefault="00515EF4" w:rsidP="00F01ED6">
            <w:pPr>
              <w:pStyle w:val="ProductList-OfferingBody"/>
              <w:jc w:val="center"/>
            </w:pPr>
            <w:r>
              <w:t>100%</w:t>
            </w:r>
          </w:p>
        </w:tc>
      </w:tr>
    </w:tbl>
    <w:bookmarkStart w:id="472" w:name="MDATP"/>
    <w:bookmarkStart w:id="473" w:name="_Toc13833097"/>
    <w:bookmarkStart w:id="474" w:name="_Toc55920329"/>
    <w:p w14:paraId="10891EA6"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"Índice"</w:instrText>
      </w:r>
      <w:r>
        <w:rPr>
          <w:sz w:val="16"/>
          <w:szCs w:val="16"/>
        </w:rPr>
      </w:r>
      <w:r>
        <w:rPr>
          <w:sz w:val="16"/>
          <w:szCs w:val="16"/>
        </w:rPr>
        <w:fldChar w:fldCharType="separate"/>
      </w:r>
      <w:r w:rsidRPr="004E0FBE">
        <w:rPr>
          <w:rStyle w:val="Hyperlink"/>
          <w:sz w:val="16"/>
          <w:szCs w:val="16"/>
        </w:rPr>
        <w:t>Índice</w:t>
      </w:r>
      <w:r>
        <w:rPr>
          <w:sz w:val="16"/>
          <w:szCs w:val="16"/>
        </w:rPr>
        <w:fldChar w:fldCharType="end"/>
      </w:r>
      <w:r>
        <w:rPr>
          <w:sz w:val="16"/>
          <w:szCs w:val="16"/>
        </w:rPr>
        <w:t xml:space="preserve"> / </w:t>
      </w:r>
      <w:hyperlink w:anchor="Definições" w:history="1">
        <w:r w:rsidRPr="004E0FBE">
          <w:rPr>
            <w:rStyle w:val="Hyperlink"/>
            <w:sz w:val="16"/>
            <w:szCs w:val="16"/>
          </w:rPr>
          <w:t>Definições</w:t>
        </w:r>
      </w:hyperlink>
    </w:p>
    <w:p w14:paraId="48BD66AE" w14:textId="289CA7B0" w:rsidR="00657A3A" w:rsidRPr="00EF7CF9" w:rsidRDefault="00657A3A" w:rsidP="00BC65E9">
      <w:pPr>
        <w:pStyle w:val="ProductList-Offering2Heading"/>
        <w:tabs>
          <w:tab w:val="clear" w:pos="360"/>
          <w:tab w:val="clear" w:pos="720"/>
          <w:tab w:val="clear" w:pos="1080"/>
        </w:tabs>
        <w:outlineLvl w:val="2"/>
      </w:pPr>
      <w:bookmarkStart w:id="475" w:name="_Toc239176569"/>
      <w:r>
        <w:t xml:space="preserve">Microsoft Defender </w:t>
      </w:r>
      <w:bookmarkEnd w:id="472"/>
      <w:bookmarkEnd w:id="473"/>
      <w:r>
        <w:t>para Endpoint</w:t>
      </w:r>
      <w:bookmarkEnd w:id="474"/>
      <w:bookmarkEnd w:id="475"/>
    </w:p>
    <w:p w14:paraId="25190B3D" w14:textId="77777777" w:rsidR="00657A3A" w:rsidRPr="00EF7CF9" w:rsidRDefault="00657A3A" w:rsidP="00F01ED6">
      <w:pPr>
        <w:pStyle w:val="ProductList-Body"/>
        <w:rPr>
          <w:b/>
          <w:color w:val="00188F"/>
        </w:rPr>
      </w:pPr>
      <w:r>
        <w:rPr>
          <w:b/>
          <w:color w:val="00188F"/>
        </w:rPr>
        <w:t>Definições Adicionais</w:t>
      </w:r>
      <w:r w:rsidRPr="00473DD3">
        <w:rPr>
          <w:b/>
          <w:color w:val="00188F"/>
        </w:rPr>
        <w:t>:</w:t>
      </w:r>
    </w:p>
    <w:p w14:paraId="4CD0D776" w14:textId="1A634F45" w:rsidR="00657A3A" w:rsidRPr="00EF7CF9" w:rsidRDefault="00380305" w:rsidP="0084418C">
      <w:pPr>
        <w:pStyle w:val="ProductList-Body"/>
      </w:pPr>
      <w:r>
        <w:t>“</w:t>
      </w:r>
      <w:r w:rsidR="00657A3A">
        <w:rPr>
          <w:b/>
          <w:color w:val="00188F"/>
        </w:rPr>
        <w:t>Máximo de Minutos Disponíveis</w:t>
      </w:r>
      <w:r>
        <w:t>”</w:t>
      </w:r>
      <w:r w:rsidR="00657A3A">
        <w:t xml:space="preserve"> designa o total de minutos acumulados durante um Período Aplicável para o portal do Microsoft Defender para Endpoint. O Máximo de Minutos Disponíveis é medido a partir do momento em que o Inquilino foi criado em resultado da conclusão com êxito do processo de integração.</w:t>
      </w:r>
    </w:p>
    <w:p w14:paraId="02E69B78" w14:textId="26E451E6" w:rsidR="00657A3A" w:rsidRPr="00EF7CF9" w:rsidRDefault="00380305" w:rsidP="0084418C">
      <w:pPr>
        <w:pStyle w:val="ProductList-Body"/>
      </w:pPr>
      <w:r>
        <w:t>“</w:t>
      </w:r>
      <w:r w:rsidR="00657A3A">
        <w:rPr>
          <w:b/>
          <w:color w:val="00188F"/>
        </w:rPr>
        <w:t>Inquilino</w:t>
      </w:r>
      <w:r>
        <w:t>”</w:t>
      </w:r>
      <w:r w:rsidR="00657A3A">
        <w:t xml:space="preserve"> representa o ambiente na nuvem específico do cliente do Microsoft Defender para Endpoint.</w:t>
      </w:r>
    </w:p>
    <w:p w14:paraId="7AA0C3CA" w14:textId="2E913705" w:rsidR="00021F08" w:rsidRPr="00EF7CF9" w:rsidRDefault="00657A3A" w:rsidP="0084418C">
      <w:pPr>
        <w:pStyle w:val="ProductList-Body"/>
      </w:pPr>
      <w:r>
        <w:rPr>
          <w:b/>
          <w:color w:val="00188F"/>
        </w:rPr>
        <w:t>Período de Indisponibilidade</w:t>
      </w:r>
      <w:r w:rsidRPr="00473DD3">
        <w:rPr>
          <w:b/>
          <w:color w:val="00188F"/>
        </w:rPr>
        <w:t>:</w:t>
      </w:r>
      <w:r>
        <w:t xml:space="preserve"> </w:t>
      </w:r>
      <w:r>
        <w:rPr>
          <w:szCs w:val="18"/>
        </w:rPr>
        <w:t>O total de minutos acumulados que fazem parte do Máximo de Minutos Disponíveis em que o Cliente não consegue aceder a nenhuma parte das coleções de sites do portal do Microsoft Defender para Ponto Final para as quais tem as permissões adequadas e o cliente tem uma licença válida ativa</w:t>
      </w:r>
      <w:r>
        <w:t>.</w:t>
      </w:r>
    </w:p>
    <w:p w14:paraId="4ABEE834" w14:textId="53DE7AC5" w:rsidR="00BC681F" w:rsidRPr="00EF7CF9" w:rsidRDefault="00AC48A7" w:rsidP="0084418C">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3B661105" w14:textId="20C1014B" w:rsidR="00BC681F" w:rsidRPr="00EF7CF9" w:rsidRDefault="00000000" w:rsidP="008441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Período de Indisponibilidade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55A7C083" w14:textId="65E73718" w:rsidR="00BC681F" w:rsidRDefault="00AC48A7" w:rsidP="00F01ED6">
      <w:pPr>
        <w:pStyle w:val="ProductList-Body"/>
        <w:ind w:right="162"/>
        <w:rPr>
          <w:szCs w:val="18"/>
        </w:rPr>
      </w:pPr>
      <w:r>
        <w:rPr>
          <w:szCs w:val="18"/>
        </w:rP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2B18D38D" w14:textId="77777777" w:rsidR="000C15FB" w:rsidRPr="00EF7CF9" w:rsidRDefault="000C15FB" w:rsidP="00F01ED6">
      <w:pPr>
        <w:pStyle w:val="ProductList-Body"/>
        <w:ind w:right="162"/>
        <w:rPr>
          <w:szCs w:val="18"/>
        </w:rPr>
      </w:pPr>
    </w:p>
    <w:p w14:paraId="2103A3BF" w14:textId="06BC9684" w:rsidR="00BC681F" w:rsidRPr="00EF7CF9" w:rsidRDefault="00BC681F" w:rsidP="00F01ED6">
      <w:pPr>
        <w:pStyle w:val="ProductList-Body"/>
      </w:pPr>
      <w:r>
        <w:rPr>
          <w:b/>
          <w:color w:val="00188F"/>
        </w:rPr>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58B61998" w14:textId="77777777" w:rsidR="00BC681F" w:rsidRPr="00EF7CF9" w:rsidRDefault="00BC681F" w:rsidP="00F01ED6">
            <w:pPr>
              <w:pStyle w:val="ProductList-OfferingBody"/>
              <w:jc w:val="center"/>
              <w:rPr>
                <w:color w:val="FFFFFF" w:themeColor="background1"/>
              </w:rPr>
            </w:pPr>
            <w:r>
              <w:rPr>
                <w:color w:val="FFFFFF" w:themeColor="background1"/>
              </w:rPr>
              <w:t>Crédito de Serviço</w:t>
            </w:r>
          </w:p>
        </w:tc>
      </w:tr>
      <w:tr w:rsidR="00BC681F" w:rsidRPr="00B44CF9" w14:paraId="76D2D8A8" w14:textId="77777777" w:rsidTr="00BC681F">
        <w:tc>
          <w:tcPr>
            <w:tcW w:w="5400" w:type="dxa"/>
          </w:tcPr>
          <w:p w14:paraId="034061FE" w14:textId="77777777" w:rsidR="00BC681F" w:rsidRPr="00EF7CF9" w:rsidRDefault="00BC681F" w:rsidP="00F01ED6">
            <w:pPr>
              <w:pStyle w:val="ProductList-OfferingBody"/>
              <w:jc w:val="center"/>
            </w:pPr>
            <w:r>
              <w:t>&lt; 99,9%</w:t>
            </w:r>
          </w:p>
        </w:tc>
        <w:tc>
          <w:tcPr>
            <w:tcW w:w="5400" w:type="dxa"/>
          </w:tcPr>
          <w:p w14:paraId="57FBED7E" w14:textId="77777777" w:rsidR="00BC681F" w:rsidRPr="00EF7CF9" w:rsidRDefault="00BC681F" w:rsidP="00F01ED6">
            <w:pPr>
              <w:pStyle w:val="ProductList-OfferingBody"/>
              <w:jc w:val="center"/>
            </w:pPr>
            <w:r>
              <w:t>10%</w:t>
            </w:r>
          </w:p>
        </w:tc>
      </w:tr>
      <w:tr w:rsidR="00BC681F" w:rsidRPr="00B44CF9" w14:paraId="6859D1EB" w14:textId="77777777" w:rsidTr="00BC681F">
        <w:tc>
          <w:tcPr>
            <w:tcW w:w="5400" w:type="dxa"/>
          </w:tcPr>
          <w:p w14:paraId="11CEACBB" w14:textId="77777777" w:rsidR="00BC681F" w:rsidRPr="00EF7CF9" w:rsidRDefault="00BC681F" w:rsidP="00F01ED6">
            <w:pPr>
              <w:pStyle w:val="ProductList-OfferingBody"/>
              <w:jc w:val="center"/>
            </w:pPr>
            <w:r>
              <w:t>&lt; 99%</w:t>
            </w:r>
          </w:p>
        </w:tc>
        <w:tc>
          <w:tcPr>
            <w:tcW w:w="5400" w:type="dxa"/>
          </w:tcPr>
          <w:p w14:paraId="40C5339D" w14:textId="77777777" w:rsidR="00BC681F" w:rsidRPr="00EF7CF9" w:rsidRDefault="00BC681F" w:rsidP="00F01ED6">
            <w:pPr>
              <w:pStyle w:val="ProductList-OfferingBody"/>
              <w:keepNext/>
              <w:jc w:val="center"/>
            </w:pPr>
            <w:r>
              <w:t>25%</w:t>
            </w:r>
          </w:p>
        </w:tc>
      </w:tr>
    </w:tbl>
    <w:p w14:paraId="58D713F0" w14:textId="77777777" w:rsidR="00BC681F" w:rsidRPr="00160676" w:rsidRDefault="00BC681F" w:rsidP="00F01ED6">
      <w:pPr>
        <w:pStyle w:val="ProductList-Body"/>
        <w:rPr>
          <w:sz w:val="12"/>
          <w:szCs w:val="12"/>
        </w:rPr>
      </w:pPr>
    </w:p>
    <w:p w14:paraId="4E24C9C9" w14:textId="0B9F0537" w:rsidR="00BC681F" w:rsidRPr="00EF7CF9" w:rsidRDefault="00BC681F" w:rsidP="00F01ED6">
      <w:pPr>
        <w:pStyle w:val="ProductList-Body"/>
      </w:pPr>
      <w:r>
        <w:rPr>
          <w:b/>
          <w:color w:val="00188F"/>
        </w:rPr>
        <w:t>Exceções de Nível de Serviço</w:t>
      </w:r>
      <w:r w:rsidRPr="00473DD3">
        <w:rPr>
          <w:b/>
          <w:color w:val="00188F"/>
        </w:rPr>
        <w:t>:</w:t>
      </w:r>
      <w:r>
        <w:t xml:space="preserve"> Este SLA não é aplicável a nenhum Inquilino da versão de avaliação/pré-visualização.</w:t>
      </w:r>
    </w:p>
    <w:p w14:paraId="48AF34F4"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38C55BF7" w14:textId="3CBD6EA7" w:rsidR="00696175" w:rsidRPr="00EF7CF9" w:rsidRDefault="00696175" w:rsidP="00E46FF7">
      <w:pPr>
        <w:pStyle w:val="ProductList-Offering2Heading"/>
        <w:keepNext/>
        <w:tabs>
          <w:tab w:val="clear" w:pos="360"/>
          <w:tab w:val="clear" w:pos="720"/>
          <w:tab w:val="clear" w:pos="1080"/>
        </w:tabs>
        <w:outlineLvl w:val="2"/>
      </w:pPr>
      <w:bookmarkStart w:id="476" w:name="_Toc239176570"/>
      <w:r>
        <w:t>Impressão Universal</w:t>
      </w:r>
      <w:bookmarkEnd w:id="476"/>
    </w:p>
    <w:p w14:paraId="34AD3F7C" w14:textId="3DED085E" w:rsidR="00696175" w:rsidRPr="00EF7CF9" w:rsidRDefault="00696175" w:rsidP="00F01ED6">
      <w:pPr>
        <w:pStyle w:val="ProductList-Body"/>
      </w:pPr>
      <w:r>
        <w:rPr>
          <w:b/>
          <w:color w:val="00188F"/>
        </w:rPr>
        <w:t>Período de Indisponibilidade</w:t>
      </w:r>
      <w:r w:rsidRPr="00473DD3">
        <w:rPr>
          <w:b/>
          <w:color w:val="00188F"/>
        </w:rPr>
        <w:t>:</w:t>
      </w:r>
      <w:r>
        <w:t xml:space="preserve"> Qualquer período durante a qual a indisponibilidade do Serviço de Impressão Universal resulta na incapacidade dos</w:t>
      </w:r>
      <w:r w:rsidR="005A2543">
        <w:t> </w:t>
      </w:r>
      <w:r>
        <w:t>utilizadores de detetarem impressoras ou enviarem trabalhos de impressão, ou na incapacidade dos administradores registarem ou configurarem impressoras, gerirem o controlo de acesso ou monitorizarem o estado e a utilização da Impressão Universal.</w:t>
      </w:r>
    </w:p>
    <w:p w14:paraId="6A0FEE09" w14:textId="6AE0C5EB" w:rsidR="00696175" w:rsidRPr="00EF7CF9" w:rsidRDefault="00AC48A7" w:rsidP="00F01ED6">
      <w:pPr>
        <w:pStyle w:val="ProductList-Body"/>
      </w:pPr>
      <w:r>
        <w:rPr>
          <w:b/>
          <w:color w:val="00188F"/>
        </w:rPr>
        <w:t>Percentagem de Período de Disponibilidade</w:t>
      </w:r>
      <w:r w:rsidRPr="00473DD3">
        <w:rPr>
          <w:b/>
          <w:color w:val="00188F"/>
        </w:rPr>
        <w:t>:</w:t>
      </w:r>
      <w:r>
        <w:t xml:space="preserve"> A Percentagem de Período de Disponibilidade é calculada através da seguinte fórmula:</w:t>
      </w:r>
    </w:p>
    <w:p w14:paraId="2684C307" w14:textId="20912333" w:rsidR="00696175" w:rsidRPr="00EF7CF9" w:rsidRDefault="00000000" w:rsidP="00677E9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de Utilizador - Período de Indisponibilidade</m:t>
              </m:r>
            </m:num>
            <m:den>
              <m:r>
                <m:rPr>
                  <m:nor/>
                </m:rPr>
                <w:rPr>
                  <w:rFonts w:ascii="Cambria Math" w:hAnsi="Cambria Math" w:cs="Calibri"/>
                  <w:i/>
                  <w:iCs/>
                  <w:sz w:val="18"/>
                  <w:szCs w:val="18"/>
                </w:rPr>
                <m:t>Minutos de Utilizador</m:t>
              </m:r>
            </m:den>
          </m:f>
          <m:r>
            <w:rPr>
              <w:rFonts w:ascii="Cambria Math" w:hAnsi="Cambria Math" w:cs="Calibri"/>
              <w:sz w:val="18"/>
              <w:szCs w:val="18"/>
            </w:rPr>
            <m:t xml:space="preserve"> x 100</m:t>
          </m:r>
        </m:oMath>
      </m:oMathPara>
    </w:p>
    <w:p w14:paraId="4E3A9CF0" w14:textId="75E878C2" w:rsidR="00696175" w:rsidRDefault="00AC48A7" w:rsidP="00F01ED6">
      <w:pPr>
        <w:pStyle w:val="ProductList-Body"/>
        <w:ind w:right="117"/>
        <w:rPr>
          <w:szCs w:val="18"/>
        </w:rPr>
      </w:pPr>
      <w:r>
        <w:rPr>
          <w:szCs w:val="18"/>
        </w:rPr>
        <w:t>em que o Período de Indisponibilidade é calculado em minutos de utilizador, ou seja, para cada Período Aplicável, o Período de Indisponibilidade é a soma da duração (em minutos) de cada Incidente que ocorre durante o Período Aplicável multiplicada pelo número de utilizadores afetados por esse Incidente.</w:t>
      </w:r>
    </w:p>
    <w:p w14:paraId="0BB12749" w14:textId="77777777" w:rsidR="00BC65E9" w:rsidRPr="00EF7CF9" w:rsidRDefault="00BC65E9" w:rsidP="00F01ED6">
      <w:pPr>
        <w:pStyle w:val="ProductList-Body"/>
        <w:ind w:right="117"/>
        <w:rPr>
          <w:szCs w:val="18"/>
        </w:rPr>
      </w:pPr>
    </w:p>
    <w:p w14:paraId="52F16555" w14:textId="77777777" w:rsidR="00696175" w:rsidRPr="00EF7CF9" w:rsidRDefault="00696175" w:rsidP="00F01ED6">
      <w:pPr>
        <w:pStyle w:val="ProductList-Body"/>
      </w:pPr>
      <w:r>
        <w:rPr>
          <w:b/>
          <w:color w:val="00188F"/>
        </w:rPr>
        <w:lastRenderedPageBreak/>
        <w:t>Crédito de Serviço</w:t>
      </w:r>
      <w:r w:rsidRPr="00473D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F01ED6">
            <w:pPr>
              <w:pStyle w:val="ProductList-OfferingBody"/>
              <w:jc w:val="center"/>
              <w:rPr>
                <w:color w:val="FFFFFF" w:themeColor="background1"/>
              </w:rPr>
            </w:pPr>
            <w:r>
              <w:rPr>
                <w:color w:val="FFFFFF" w:themeColor="background1"/>
              </w:rPr>
              <w:t>Percentagem de Período de Disponibilidade</w:t>
            </w:r>
          </w:p>
        </w:tc>
        <w:tc>
          <w:tcPr>
            <w:tcW w:w="5400" w:type="dxa"/>
            <w:shd w:val="clear" w:color="auto" w:fill="0072C6"/>
          </w:tcPr>
          <w:p w14:paraId="70EB39DC" w14:textId="77777777" w:rsidR="00696175" w:rsidRPr="00EF7CF9" w:rsidRDefault="00696175" w:rsidP="00F01ED6">
            <w:pPr>
              <w:pStyle w:val="ProductList-OfferingBody"/>
              <w:jc w:val="center"/>
              <w:rPr>
                <w:color w:val="FFFFFF" w:themeColor="background1"/>
              </w:rPr>
            </w:pPr>
            <w:r>
              <w:rPr>
                <w:color w:val="FFFFFF" w:themeColor="background1"/>
              </w:rPr>
              <w:t>Crédito de Serviço</w:t>
            </w:r>
          </w:p>
        </w:tc>
      </w:tr>
      <w:tr w:rsidR="00696175" w:rsidRPr="00B44CF9" w14:paraId="6ABFFBB9" w14:textId="77777777" w:rsidTr="00696175">
        <w:tc>
          <w:tcPr>
            <w:tcW w:w="5400" w:type="dxa"/>
          </w:tcPr>
          <w:p w14:paraId="23F2520D" w14:textId="77777777" w:rsidR="00696175" w:rsidRPr="00EF7CF9" w:rsidRDefault="00696175" w:rsidP="00F01ED6">
            <w:pPr>
              <w:pStyle w:val="ProductList-OfferingBody"/>
              <w:jc w:val="center"/>
            </w:pPr>
            <w:r>
              <w:t>&lt; 99,9%</w:t>
            </w:r>
          </w:p>
        </w:tc>
        <w:tc>
          <w:tcPr>
            <w:tcW w:w="5400" w:type="dxa"/>
          </w:tcPr>
          <w:p w14:paraId="22427645" w14:textId="23BDD206" w:rsidR="00696175" w:rsidRPr="00EF7CF9" w:rsidRDefault="00696175" w:rsidP="00F01ED6">
            <w:pPr>
              <w:pStyle w:val="ProductList-OfferingBody"/>
              <w:jc w:val="center"/>
            </w:pPr>
            <w:r>
              <w:t>25%</w:t>
            </w:r>
          </w:p>
        </w:tc>
      </w:tr>
      <w:tr w:rsidR="00696175" w:rsidRPr="00B44CF9" w14:paraId="547A9239" w14:textId="77777777" w:rsidTr="00696175">
        <w:tc>
          <w:tcPr>
            <w:tcW w:w="5400" w:type="dxa"/>
          </w:tcPr>
          <w:p w14:paraId="6228CD0F" w14:textId="77777777" w:rsidR="00696175" w:rsidRPr="00EF7CF9" w:rsidRDefault="00696175" w:rsidP="00F01ED6">
            <w:pPr>
              <w:pStyle w:val="ProductList-OfferingBody"/>
              <w:jc w:val="center"/>
            </w:pPr>
            <w:r>
              <w:t>&lt; 99%</w:t>
            </w:r>
          </w:p>
        </w:tc>
        <w:tc>
          <w:tcPr>
            <w:tcW w:w="5400" w:type="dxa"/>
          </w:tcPr>
          <w:p w14:paraId="524FA505" w14:textId="32153C6C" w:rsidR="00696175" w:rsidRPr="00EF7CF9" w:rsidRDefault="00696175" w:rsidP="00F01ED6">
            <w:pPr>
              <w:pStyle w:val="ProductList-OfferingBody"/>
              <w:keepNext/>
              <w:jc w:val="center"/>
            </w:pPr>
            <w:r>
              <w:t>50%</w:t>
            </w:r>
          </w:p>
        </w:tc>
      </w:tr>
      <w:tr w:rsidR="00696175" w:rsidRPr="00B44CF9" w14:paraId="225B4866" w14:textId="77777777" w:rsidTr="00696175">
        <w:tc>
          <w:tcPr>
            <w:tcW w:w="5400" w:type="dxa"/>
          </w:tcPr>
          <w:p w14:paraId="1FF22DEF" w14:textId="4076704A" w:rsidR="00696175" w:rsidRPr="00EF7CF9" w:rsidRDefault="00696175" w:rsidP="00F01ED6">
            <w:pPr>
              <w:pStyle w:val="ProductList-OfferingBody"/>
              <w:jc w:val="center"/>
            </w:pPr>
            <w:r>
              <w:t>&lt; 95%</w:t>
            </w:r>
          </w:p>
        </w:tc>
        <w:tc>
          <w:tcPr>
            <w:tcW w:w="5400" w:type="dxa"/>
          </w:tcPr>
          <w:p w14:paraId="28D8DB21" w14:textId="6C113F7D" w:rsidR="00696175" w:rsidRDefault="00696175" w:rsidP="00F01ED6">
            <w:pPr>
              <w:pStyle w:val="ProductList-OfferingBody"/>
              <w:keepNext/>
              <w:jc w:val="center"/>
            </w:pPr>
            <w:r>
              <w:t>100%</w:t>
            </w:r>
          </w:p>
        </w:tc>
      </w:tr>
    </w:tbl>
    <w:p w14:paraId="5F8939BC" w14:textId="77777777" w:rsidR="00696175" w:rsidRPr="00EF7CF9" w:rsidRDefault="00696175" w:rsidP="004B4212">
      <w:pPr>
        <w:pStyle w:val="ProductList-Body"/>
        <w:spacing w:before="120"/>
      </w:pPr>
      <w:r>
        <w:rPr>
          <w:b/>
          <w:color w:val="00188F"/>
        </w:rPr>
        <w:t>Exceções de Nível de Serviço</w:t>
      </w:r>
      <w:r w:rsidRPr="00473DD3">
        <w:rPr>
          <w:b/>
          <w:color w:val="00188F"/>
        </w:rPr>
        <w:t>:</w:t>
      </w:r>
      <w:r>
        <w:t xml:space="preserve"> Este SLA não é aplicável a nenhum Inquilino da versão de avaliação/pré-visualização.</w:t>
      </w:r>
    </w:p>
    <w:p w14:paraId="42942A05" w14:textId="77777777" w:rsidR="00DC1476" w:rsidRPr="00EF7CF9" w:rsidRDefault="00DC1476" w:rsidP="00DC1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596CC1C1" w14:textId="4EA85D6B" w:rsidR="00347E88" w:rsidRPr="00EF7CF9" w:rsidRDefault="00347E88" w:rsidP="00BC65E9">
      <w:pPr>
        <w:pStyle w:val="ProductList-Offering2Heading"/>
        <w:tabs>
          <w:tab w:val="clear" w:pos="360"/>
          <w:tab w:val="clear" w:pos="720"/>
          <w:tab w:val="clear" w:pos="1080"/>
        </w:tabs>
        <w:outlineLvl w:val="2"/>
      </w:pPr>
      <w:bookmarkStart w:id="477" w:name="_Toc239176571"/>
      <w:r>
        <w:t>Windows 365</w:t>
      </w:r>
      <w:bookmarkEnd w:id="477"/>
    </w:p>
    <w:p w14:paraId="37DB27AD" w14:textId="77911C6A" w:rsidR="00200E38" w:rsidRDefault="00200E38" w:rsidP="00DC1476">
      <w:pPr>
        <w:pStyle w:val="ProductList-Body"/>
        <w:keepNext/>
        <w:keepLines/>
      </w:pPr>
      <w:r>
        <w:rPr>
          <w:b/>
          <w:color w:val="00188F"/>
        </w:rPr>
        <w:t>PC na Nuvem:</w:t>
      </w:r>
      <w:r>
        <w:t xml:space="preserve"> a instância específica do Windows 365 licenciado a um utilizador.</w:t>
      </w:r>
    </w:p>
    <w:p w14:paraId="6D8DDD3B" w14:textId="2E85E124" w:rsidR="00200E38" w:rsidRDefault="00200E38" w:rsidP="00F01ED6">
      <w:pPr>
        <w:pStyle w:val="ProductList-Body"/>
      </w:pPr>
      <w:r>
        <w:rPr>
          <w:b/>
          <w:color w:val="00188F"/>
        </w:rPr>
        <w:t>Período de Indisponibilidade:</w:t>
      </w:r>
      <w:r>
        <w:t xml:space="preserve"> medido em minutos, o período durante o qual todas as tentativas de ligação por um utilizador específico a um PC na</w:t>
      </w:r>
      <w:r w:rsidR="00A631CA">
        <w:t> </w:t>
      </w:r>
      <w:r>
        <w:t>nuvem específico não tiverem êxito, excluindo qualquer um dos seguintes tipos de falhas:</w:t>
      </w:r>
    </w:p>
    <w:p w14:paraId="766D01EA" w14:textId="6150CE49" w:rsidR="00200E38" w:rsidRDefault="00200E38">
      <w:pPr>
        <w:pStyle w:val="ProductList-Body"/>
        <w:numPr>
          <w:ilvl w:val="0"/>
          <w:numId w:val="23"/>
        </w:numPr>
      </w:pPr>
      <w:r>
        <w:t>As falhas resultantes de o PC em Nuvem estar num estado inoperável não relacionado com a infraestrutura do Azure subjacente (por</w:t>
      </w:r>
      <w:r w:rsidR="00A631CA">
        <w:t> </w:t>
      </w:r>
      <w:r>
        <w:t>exemplo, sistema operativo, configuração do sistema operativo ou configuração incorreta ou danificada); e</w:t>
      </w:r>
    </w:p>
    <w:p w14:paraId="4EEF53FC" w14:textId="23D90CA7" w:rsidR="00200E38" w:rsidRDefault="00200E38">
      <w:pPr>
        <w:pStyle w:val="ProductList-Body"/>
        <w:numPr>
          <w:ilvl w:val="0"/>
          <w:numId w:val="23"/>
        </w:numPr>
      </w:pPr>
      <w:r>
        <w:t>Falha resultante de uma aplicação ou outro software instalado no PC em Nuvem.</w:t>
      </w:r>
    </w:p>
    <w:p w14:paraId="4E75CCA1" w14:textId="708DB12B" w:rsidR="00200E38" w:rsidRDefault="00200E38" w:rsidP="009D7FEA">
      <w:pPr>
        <w:pStyle w:val="ProductList-Body"/>
        <w:spacing w:before="60" w:after="60"/>
      </w:pPr>
      <w:r>
        <w:rPr>
          <w:b/>
          <w:color w:val="00188F"/>
        </w:rPr>
        <w:t>Período de Indisponibilidade Individual</w:t>
      </w:r>
      <w:r w:rsidRPr="00473DD3">
        <w:rPr>
          <w:b/>
          <w:color w:val="00188F"/>
        </w:rPr>
        <w:t>:</w:t>
      </w:r>
      <w:r>
        <w:t xml:space="preserve"> designa o Período de Indisponibilidade para um determinado utilizador para cada Período Aplicável.</w:t>
      </w:r>
    </w:p>
    <w:p w14:paraId="18380D6A" w14:textId="06D2C353" w:rsidR="00200E38" w:rsidRDefault="00200E38" w:rsidP="009D7FEA">
      <w:pPr>
        <w:pStyle w:val="ProductList-Body"/>
        <w:spacing w:before="60" w:after="60"/>
      </w:pPr>
      <w:r>
        <w:rPr>
          <w:b/>
          <w:color w:val="00188F"/>
        </w:rPr>
        <w:t>Minutos Individuais</w:t>
      </w:r>
      <w:r w:rsidRPr="00473DD3">
        <w:rPr>
          <w:b/>
          <w:color w:val="00188F"/>
        </w:rPr>
        <w:t>:</w:t>
      </w:r>
      <w:r>
        <w:t xml:space="preserve"> designa os Minutos de Utilizador para um determinado utilizador para cada Período Aplicável.</w:t>
      </w:r>
    </w:p>
    <w:p w14:paraId="4238E22F" w14:textId="786ABE29" w:rsidR="00EA5FB1" w:rsidRDefault="00200E38" w:rsidP="009D7FEA">
      <w:pPr>
        <w:pStyle w:val="ProductList-Body"/>
        <w:tabs>
          <w:tab w:val="clear" w:pos="360"/>
          <w:tab w:val="clear" w:pos="720"/>
          <w:tab w:val="clear" w:pos="1080"/>
        </w:tabs>
        <w:spacing w:before="60" w:after="60"/>
      </w:pPr>
      <w:r>
        <w:rPr>
          <w:b/>
          <w:color w:val="00188F"/>
        </w:rPr>
        <w:t>Percentagem de Período de Disponibilidade Individual</w:t>
      </w:r>
      <w:r w:rsidRPr="00473DD3">
        <w:rPr>
          <w:b/>
          <w:color w:val="00188F"/>
        </w:rPr>
        <w:t>:</w:t>
      </w:r>
      <w:r>
        <w:t xml:space="preserve"> A Percentagem de Período de Disponibilidade Individual é calculada da seguinte forma:</w:t>
      </w:r>
    </w:p>
    <w:p w14:paraId="69ABA1CA" w14:textId="0A85E1C0" w:rsidR="00D77FA0" w:rsidRPr="00EF7CF9" w:rsidRDefault="00000000" w:rsidP="00EF16BC">
      <w:pPr>
        <w:spacing w:before="24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Individuais - Período de Indisponibilidade Individual</m:t>
              </m:r>
            </m:num>
            <m:den>
              <m:r>
                <m:rPr>
                  <m:nor/>
                </m:rPr>
                <w:rPr>
                  <w:rFonts w:ascii="Cambria Math" w:hAnsi="Cambria Math" w:cs="Calibri"/>
                  <w:i/>
                  <w:iCs/>
                  <w:sz w:val="18"/>
                  <w:szCs w:val="18"/>
                </w:rPr>
                <m:t>Minutos Individuais</m:t>
              </m:r>
            </m:den>
          </m:f>
          <m:r>
            <w:rPr>
              <w:rFonts w:ascii="Cambria Math" w:hAnsi="Cambria Math" w:cs="Calibri"/>
              <w:sz w:val="18"/>
              <w:szCs w:val="18"/>
            </w:rPr>
            <m:t xml:space="preserve"> x 100</m:t>
          </m:r>
        </m:oMath>
      </m:oMathPara>
    </w:p>
    <w:p w14:paraId="4D9462D2" w14:textId="3FA7DC78" w:rsidR="00D77FA0" w:rsidRDefault="0095373D" w:rsidP="00F01ED6">
      <w:pPr>
        <w:pStyle w:val="ProductList-Body"/>
        <w:tabs>
          <w:tab w:val="clear" w:pos="360"/>
          <w:tab w:val="clear" w:pos="720"/>
          <w:tab w:val="clear" w:pos="1080"/>
        </w:tabs>
      </w:pPr>
      <w:r>
        <w:rPr>
          <w:b/>
          <w:color w:val="00188F"/>
        </w:rPr>
        <w:t>Crédito Por Utilizador</w:t>
      </w:r>
      <w:r w:rsidRPr="00473DD3">
        <w:rPr>
          <w:b/>
          <w:color w:val="00188F"/>
        </w:rPr>
        <w:t>:</w:t>
      </w:r>
      <w:r>
        <w:t xml:space="preserve"> Para um Período Aplicável em que a Percentagem de Período de Disponibilidade Regional é inferior a 99,9%, um Crédito Por</w:t>
      </w:r>
      <w:r w:rsidR="00356662">
        <w:t> </w:t>
      </w:r>
      <w:r>
        <w:t>Utilizador será calculado como uma percentagem da parte por utilizador dos Honorários dos Serviços Aplicáveis para cada utilizador para o</w:t>
      </w:r>
      <w:r w:rsidR="00356662">
        <w:t> </w:t>
      </w:r>
      <w:r>
        <w:t>qual</w:t>
      </w:r>
      <w:r w:rsidR="00356662">
        <w:t> </w:t>
      </w:r>
      <w:r>
        <w:t>a Percentagem de Período de Disponibilidade Individual foi inferior a 99,9%, segundo a seguinte tabela (desde que, no entanto, qualquer Percentagem de Período de Disponibilidade Individual que seja inferior à Percentagem de Período de Disponibilidade Regional seja considerada igual à Percentagem de Período de Disponibilidade Regional):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F01ED6">
            <w:pPr>
              <w:pStyle w:val="ProductList-OfferingBody"/>
              <w:jc w:val="center"/>
              <w:rPr>
                <w:color w:val="FFFFFF" w:themeColor="background1"/>
              </w:rPr>
            </w:pPr>
            <w:r>
              <w:rPr>
                <w:color w:val="FFFFFF" w:themeColor="background1"/>
              </w:rPr>
              <w:t>Percentagem de Período de Disponibilidade Individual</w:t>
            </w:r>
          </w:p>
        </w:tc>
        <w:tc>
          <w:tcPr>
            <w:tcW w:w="5400" w:type="dxa"/>
            <w:shd w:val="clear" w:color="auto" w:fill="0072C6"/>
          </w:tcPr>
          <w:p w14:paraId="398F011A" w14:textId="1A824ABD" w:rsidR="006E50E4" w:rsidRPr="00EF7CF9" w:rsidRDefault="006E50E4" w:rsidP="00F01ED6">
            <w:pPr>
              <w:pStyle w:val="ProductList-OfferingBody"/>
              <w:jc w:val="center"/>
              <w:rPr>
                <w:color w:val="FFFFFF" w:themeColor="background1"/>
              </w:rPr>
            </w:pPr>
            <w:r>
              <w:rPr>
                <w:color w:val="FFFFFF" w:themeColor="background1"/>
              </w:rPr>
              <w:t>Crédito Por Utilizador</w:t>
            </w:r>
          </w:p>
        </w:tc>
      </w:tr>
      <w:tr w:rsidR="006E50E4" w:rsidRPr="00B44CF9" w14:paraId="5E3BA46F" w14:textId="77777777" w:rsidTr="00277097">
        <w:tc>
          <w:tcPr>
            <w:tcW w:w="5400" w:type="dxa"/>
          </w:tcPr>
          <w:p w14:paraId="6EF6A06C" w14:textId="77777777" w:rsidR="006E50E4" w:rsidRPr="00EF7CF9" w:rsidRDefault="006E50E4" w:rsidP="00F01ED6">
            <w:pPr>
              <w:pStyle w:val="ProductList-OfferingBody"/>
              <w:jc w:val="center"/>
            </w:pPr>
            <w:r>
              <w:t>&lt; 99,9%</w:t>
            </w:r>
          </w:p>
        </w:tc>
        <w:tc>
          <w:tcPr>
            <w:tcW w:w="5400" w:type="dxa"/>
          </w:tcPr>
          <w:p w14:paraId="0675549C" w14:textId="61EAD653" w:rsidR="006E50E4" w:rsidRPr="00EF7CF9" w:rsidRDefault="006E50E4" w:rsidP="00F01ED6">
            <w:pPr>
              <w:pStyle w:val="ProductList-OfferingBody"/>
              <w:jc w:val="center"/>
            </w:pPr>
            <w:r>
              <w:t>10%</w:t>
            </w:r>
          </w:p>
        </w:tc>
      </w:tr>
      <w:tr w:rsidR="006E50E4" w:rsidRPr="00B44CF9" w14:paraId="086A459A" w14:textId="77777777" w:rsidTr="00277097">
        <w:tc>
          <w:tcPr>
            <w:tcW w:w="5400" w:type="dxa"/>
          </w:tcPr>
          <w:p w14:paraId="31202645" w14:textId="77777777" w:rsidR="006E50E4" w:rsidRPr="00EF7CF9" w:rsidRDefault="006E50E4" w:rsidP="00F01ED6">
            <w:pPr>
              <w:pStyle w:val="ProductList-OfferingBody"/>
              <w:jc w:val="center"/>
            </w:pPr>
            <w:r>
              <w:t>&lt; 99%</w:t>
            </w:r>
          </w:p>
        </w:tc>
        <w:tc>
          <w:tcPr>
            <w:tcW w:w="5400" w:type="dxa"/>
          </w:tcPr>
          <w:p w14:paraId="3968E6C7" w14:textId="7C215A6B" w:rsidR="006E50E4" w:rsidRPr="00EF7CF9" w:rsidRDefault="006E50E4" w:rsidP="00F01ED6">
            <w:pPr>
              <w:pStyle w:val="ProductList-OfferingBody"/>
              <w:keepNext/>
              <w:jc w:val="center"/>
            </w:pPr>
            <w:r>
              <w:t>25%</w:t>
            </w:r>
          </w:p>
        </w:tc>
      </w:tr>
      <w:tr w:rsidR="006E50E4" w:rsidRPr="00B44CF9" w14:paraId="784CDD6F" w14:textId="77777777" w:rsidTr="00277097">
        <w:tc>
          <w:tcPr>
            <w:tcW w:w="5400" w:type="dxa"/>
          </w:tcPr>
          <w:p w14:paraId="6FFCC83C" w14:textId="77777777" w:rsidR="006E50E4" w:rsidRPr="00EF7CF9" w:rsidRDefault="006E50E4" w:rsidP="00F01ED6">
            <w:pPr>
              <w:pStyle w:val="ProductList-OfferingBody"/>
              <w:jc w:val="center"/>
            </w:pPr>
            <w:r>
              <w:t>&lt; 95%</w:t>
            </w:r>
          </w:p>
        </w:tc>
        <w:tc>
          <w:tcPr>
            <w:tcW w:w="5400" w:type="dxa"/>
          </w:tcPr>
          <w:p w14:paraId="4F9A94D7" w14:textId="77777777" w:rsidR="006E50E4" w:rsidRDefault="006E50E4" w:rsidP="00F01ED6">
            <w:pPr>
              <w:pStyle w:val="ProductList-OfferingBody"/>
              <w:keepNext/>
              <w:jc w:val="center"/>
            </w:pPr>
            <w:r>
              <w:t>100%</w:t>
            </w:r>
          </w:p>
        </w:tc>
      </w:tr>
    </w:tbl>
    <w:p w14:paraId="49E5A2C2" w14:textId="253D4243" w:rsidR="00417DC1" w:rsidRDefault="00417DC1" w:rsidP="009D7FEA">
      <w:pPr>
        <w:pStyle w:val="ProductList-Body"/>
        <w:spacing w:before="60" w:after="60"/>
      </w:pPr>
      <w:r>
        <w:rPr>
          <w:b/>
          <w:color w:val="00188F"/>
        </w:rPr>
        <w:t>Região</w:t>
      </w:r>
      <w:r w:rsidRPr="00473DD3">
        <w:rPr>
          <w:b/>
          <w:color w:val="00188F"/>
        </w:rPr>
        <w:t>:</w:t>
      </w:r>
      <w:r>
        <w:t xml:space="preserve"> designa as regiões detalhadas em: </w:t>
      </w:r>
      <w:hyperlink r:id="rId29" w:history="1">
        <w:r>
          <w:rPr>
            <w:rStyle w:val="Hyperlink"/>
          </w:rPr>
          <w:t>https://aka.ms/DSLARegionLink</w:t>
        </w:r>
      </w:hyperlink>
      <w:r>
        <w:t>.</w:t>
      </w:r>
    </w:p>
    <w:p w14:paraId="09A1D24F" w14:textId="7D7203C6" w:rsidR="00417DC1" w:rsidRDefault="00417DC1" w:rsidP="009D7FEA">
      <w:pPr>
        <w:pStyle w:val="ProductList-Body"/>
        <w:spacing w:before="60" w:after="60"/>
      </w:pPr>
      <w:r>
        <w:rPr>
          <w:b/>
          <w:color w:val="00188F"/>
        </w:rPr>
        <w:t>Período de Indisponibilidade Regional</w:t>
      </w:r>
      <w:r w:rsidRPr="00473DD3">
        <w:rPr>
          <w:b/>
          <w:color w:val="00188F"/>
        </w:rPr>
        <w:t>:</w:t>
      </w:r>
      <w:r>
        <w:t xml:space="preserve"> designa a soma de todo o Período de Indisponibilidade numa Região para cada Período Aplicável.</w:t>
      </w:r>
    </w:p>
    <w:p w14:paraId="200DCE68" w14:textId="1A07C84E" w:rsidR="00417DC1" w:rsidRDefault="00417DC1" w:rsidP="009D7FEA">
      <w:pPr>
        <w:pStyle w:val="ProductList-Body"/>
        <w:spacing w:before="60" w:after="60"/>
      </w:pPr>
      <w:r>
        <w:rPr>
          <w:b/>
          <w:color w:val="00188F"/>
        </w:rPr>
        <w:t>Minutos Regionais</w:t>
      </w:r>
      <w:r w:rsidRPr="00473DD3">
        <w:rPr>
          <w:b/>
          <w:color w:val="00188F"/>
        </w:rPr>
        <w:t>:</w:t>
      </w:r>
      <w:r>
        <w:t xml:space="preserve"> designa os Minutos de Utilizador numa Região para cada Período Aplicável.</w:t>
      </w:r>
    </w:p>
    <w:p w14:paraId="085EE300" w14:textId="0311D765" w:rsidR="00417DC1" w:rsidRDefault="00417DC1" w:rsidP="009D7FEA">
      <w:pPr>
        <w:pStyle w:val="ProductList-Body"/>
        <w:tabs>
          <w:tab w:val="clear" w:pos="360"/>
          <w:tab w:val="clear" w:pos="720"/>
          <w:tab w:val="clear" w:pos="1080"/>
        </w:tabs>
        <w:spacing w:before="60" w:after="60"/>
      </w:pPr>
      <w:r>
        <w:rPr>
          <w:b/>
          <w:color w:val="00188F"/>
        </w:rPr>
        <w:t>Percentagem de Período de Disponibilidade Regional</w:t>
      </w:r>
      <w:r w:rsidRPr="00473DD3">
        <w:rPr>
          <w:b/>
          <w:color w:val="00188F"/>
        </w:rPr>
        <w:t>:</w:t>
      </w:r>
      <w:r>
        <w:t xml:space="preserve"> calculada com a seguinte fórmula:</w:t>
      </w:r>
    </w:p>
    <w:p w14:paraId="300B5237" w14:textId="02F495EF" w:rsidR="00982191" w:rsidRPr="00EF7CF9" w:rsidRDefault="00000000" w:rsidP="00ED3D82">
      <w:pPr>
        <w:spacing w:before="24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Regionais - Período de Indisponibilidade Regional</m:t>
              </m:r>
            </m:num>
            <m:den>
              <m:r>
                <m:rPr>
                  <m:nor/>
                </m:rPr>
                <w:rPr>
                  <w:rFonts w:ascii="Cambria Math" w:hAnsi="Cambria Math" w:cs="Calibri"/>
                  <w:i/>
                  <w:iCs/>
                  <w:sz w:val="18"/>
                  <w:szCs w:val="18"/>
                </w:rPr>
                <m:t>Minutos Regionais</m:t>
              </m:r>
            </m:den>
          </m:f>
          <m:r>
            <w:rPr>
              <w:rFonts w:ascii="Cambria Math" w:hAnsi="Cambria Math" w:cs="Calibri"/>
              <w:sz w:val="18"/>
              <w:szCs w:val="18"/>
            </w:rPr>
            <m:t xml:space="preserve"> x 100</m:t>
          </m:r>
        </m:oMath>
      </m:oMathPara>
    </w:p>
    <w:p w14:paraId="2F4CCAC2" w14:textId="116D2C51" w:rsidR="00982191" w:rsidRDefault="00593CC9" w:rsidP="00F01ED6">
      <w:pPr>
        <w:pStyle w:val="ProductList-Body"/>
        <w:tabs>
          <w:tab w:val="clear" w:pos="360"/>
          <w:tab w:val="clear" w:pos="720"/>
          <w:tab w:val="clear" w:pos="1080"/>
        </w:tabs>
      </w:pPr>
      <w:r>
        <w:rPr>
          <w:b/>
          <w:color w:val="00188F"/>
        </w:rPr>
        <w:t>Crédito de Serviço</w:t>
      </w:r>
      <w:r w:rsidRPr="00473DD3">
        <w:rPr>
          <w:b/>
          <w:color w:val="00188F"/>
        </w:rPr>
        <w:t>:</w:t>
      </w:r>
      <w:r>
        <w:t xml:space="preserve"> para o Windows 365, os Créditos de Serviço não são uma percentagem dos Honorários dos Serviços Aplicáveis, mas serão a</w:t>
      </w:r>
      <w:r w:rsidR="006C0DA8">
        <w:t> </w:t>
      </w:r>
      <w:r>
        <w:t>soma de todos os Créditos Por Utilizador.</w:t>
      </w:r>
    </w:p>
    <w:p w14:paraId="48C374FD" w14:textId="77777777" w:rsidR="00E8637C" w:rsidRPr="00EF7CF9" w:rsidRDefault="00E8637C" w:rsidP="00E8637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p w14:paraId="20EFEAC1" w14:textId="315E065B" w:rsidR="00EC2549" w:rsidRPr="00EF7CF9" w:rsidRDefault="00EC2549" w:rsidP="004F0B8A">
      <w:pPr>
        <w:pStyle w:val="ProductList-SectionHeading"/>
        <w:keepNext/>
        <w:pageBreakBefore/>
        <w:tabs>
          <w:tab w:val="clear" w:pos="360"/>
          <w:tab w:val="clear" w:pos="720"/>
          <w:tab w:val="clear" w:pos="1080"/>
        </w:tabs>
        <w:outlineLvl w:val="0"/>
      </w:pPr>
      <w:bookmarkStart w:id="478" w:name="AppendixA"/>
      <w:bookmarkStart w:id="479" w:name="ApêndiceA"/>
      <w:bookmarkStart w:id="480" w:name="_Toc457821598"/>
      <w:bookmarkStart w:id="481" w:name="_Toc239176572"/>
      <w:r>
        <w:lastRenderedPageBreak/>
        <w:t>Apêndice A</w:t>
      </w:r>
      <w:bookmarkEnd w:id="478"/>
      <w:bookmarkEnd w:id="479"/>
      <w:r>
        <w:t xml:space="preserve"> – Compromisso de Nível de Serviço para Deteção e</w:t>
      </w:r>
      <w:r w:rsidR="005D764F">
        <w:t> </w:t>
      </w:r>
      <w:r>
        <w:t>Bloqueio de Vírus, Eficácia do Spam ou Falso Positivo</w:t>
      </w:r>
      <w:bookmarkEnd w:id="480"/>
      <w:bookmarkEnd w:id="481"/>
    </w:p>
    <w:p w14:paraId="24580D76" w14:textId="1C047630" w:rsidR="00D46DC5" w:rsidRPr="00EF7CF9" w:rsidRDefault="00D46DC5" w:rsidP="00F01ED6">
      <w:pPr>
        <w:pStyle w:val="ProductList-Body"/>
        <w:tabs>
          <w:tab w:val="clear" w:pos="360"/>
          <w:tab w:val="clear" w:pos="720"/>
          <w:tab w:val="clear" w:pos="1080"/>
        </w:tabs>
      </w:pPr>
      <w:r>
        <w:t>Relativamente ao Exchange Online e ao EOP licenciado como um Serviço autónomo ou através do conjunto ECAL ou Exchange Enterprise CAL com</w:t>
      </w:r>
      <w:r w:rsidR="00444B01">
        <w:t> </w:t>
      </w:r>
      <w:r>
        <w:t>Serviços, o Cliente pode ser elegível para Créditos de Serviço se a Microsoft não cumprir o Nível de Serviço descrito abaixo para: (1) Deteção e</w:t>
      </w:r>
      <w:r w:rsidR="00444B01">
        <w:t> </w:t>
      </w:r>
      <w:r>
        <w:t>Bloqueio de Vírus, (2) Eficácia do Spam ou (3) Falso Positivo. Se um destes Níveis de Serviço Individuais não for cumprido, o Cliente pode submeter uma queixa para obter um Crédito de Serviço. Se um Incidente levar a Microsoft a não cumprir mais do que uma métrica do SLA para</w:t>
      </w:r>
      <w:r w:rsidR="00444B01">
        <w:t> </w:t>
      </w:r>
      <w:r>
        <w:t>o</w:t>
      </w:r>
      <w:r w:rsidR="00444B01">
        <w:t> </w:t>
      </w:r>
      <w:r>
        <w:t>Exchange Online ou EOP, o Cliente só poderá submeter uma queixa de Crédito de Serviço para esse incidente por Serviço.</w:t>
      </w:r>
    </w:p>
    <w:p w14:paraId="0B087758" w14:textId="77777777" w:rsidR="00D46DC5" w:rsidRPr="00EF7CF9" w:rsidRDefault="00D46DC5" w:rsidP="00F01ED6">
      <w:pPr>
        <w:pStyle w:val="ProductList-Body"/>
        <w:tabs>
          <w:tab w:val="clear" w:pos="360"/>
          <w:tab w:val="clear" w:pos="720"/>
          <w:tab w:val="clear" w:pos="1080"/>
        </w:tabs>
      </w:pPr>
    </w:p>
    <w:p w14:paraId="61092289" w14:textId="4FE5C0A7" w:rsidR="00D46DC5" w:rsidRPr="00EF7CF9" w:rsidRDefault="00D46DC5">
      <w:pPr>
        <w:pStyle w:val="ProductList-Body"/>
        <w:numPr>
          <w:ilvl w:val="0"/>
          <w:numId w:val="6"/>
        </w:numPr>
        <w:tabs>
          <w:tab w:val="clear" w:pos="360"/>
          <w:tab w:val="clear" w:pos="720"/>
          <w:tab w:val="clear" w:pos="1080"/>
        </w:tabs>
        <w:ind w:left="360" w:hanging="360"/>
        <w:rPr>
          <w:b/>
        </w:rPr>
      </w:pPr>
      <w:r>
        <w:rPr>
          <w:b/>
          <w:color w:val="00188F"/>
        </w:rPr>
        <w:t>Nível de Serviço de Deteção e Bloqueio de Vírus</w:t>
      </w:r>
    </w:p>
    <w:p w14:paraId="367EC43A" w14:textId="0F2A0E12" w:rsidR="00D46DC5" w:rsidRPr="00EF7CF9" w:rsidRDefault="00380305">
      <w:pPr>
        <w:pStyle w:val="ProductList-Body"/>
        <w:numPr>
          <w:ilvl w:val="1"/>
          <w:numId w:val="5"/>
        </w:numPr>
        <w:tabs>
          <w:tab w:val="clear" w:pos="360"/>
          <w:tab w:val="clear" w:pos="720"/>
          <w:tab w:val="clear" w:pos="1080"/>
        </w:tabs>
        <w:ind w:left="720"/>
      </w:pPr>
      <w:r>
        <w:t>“</w:t>
      </w:r>
      <w:r w:rsidR="00EF7CF9">
        <w:t>Deteção e Bloqueio de Vírus</w:t>
      </w:r>
      <w:r>
        <w:t>”</w:t>
      </w:r>
      <w:r w:rsidR="00EF7CF9">
        <w:t xml:space="preserve"> é definido como a deteção e bloqueio de Vírus pelos filtros para impedir a infeção. </w:t>
      </w:r>
      <w:r>
        <w:t>“</w:t>
      </w:r>
      <w:r w:rsidR="00EF7CF9">
        <w:t>Vírus</w:t>
      </w:r>
      <w:r>
        <w:t>”</w:t>
      </w:r>
      <w:r w:rsidR="00EF7CF9">
        <w:t xml:space="preserve"> é amplamente definido como software maligno (malware), que inclui vírus, worms e Trojans.</w:t>
      </w:r>
    </w:p>
    <w:p w14:paraId="383AB279" w14:textId="494FB664" w:rsidR="00D46DC5" w:rsidRPr="00EF7CF9" w:rsidRDefault="00D46DC5">
      <w:pPr>
        <w:pStyle w:val="ProductList-Body"/>
        <w:numPr>
          <w:ilvl w:val="1"/>
          <w:numId w:val="5"/>
        </w:numPr>
        <w:tabs>
          <w:tab w:val="clear" w:pos="360"/>
          <w:tab w:val="clear" w:pos="720"/>
          <w:tab w:val="clear" w:pos="1080"/>
        </w:tabs>
        <w:ind w:left="720"/>
      </w:pPr>
      <w:r>
        <w:t>Um Vírus é considerado conhecido quando os motores de análise de vírus mais utilizados comercialmente conseguem detetar vírus e</w:t>
      </w:r>
      <w:r w:rsidR="00B071C6">
        <w:t> </w:t>
      </w:r>
      <w:r>
        <w:t>a</w:t>
      </w:r>
      <w:r w:rsidR="00B071C6">
        <w:t> </w:t>
      </w:r>
      <w:r>
        <w:t>capacidade de deteção está disponível ao longo da rede EOP.</w:t>
      </w:r>
    </w:p>
    <w:p w14:paraId="3EDD97C9" w14:textId="0741C4BD" w:rsidR="00D46DC5" w:rsidRPr="00EF7CF9" w:rsidRDefault="00D46DC5">
      <w:pPr>
        <w:pStyle w:val="ProductList-Body"/>
        <w:numPr>
          <w:ilvl w:val="1"/>
          <w:numId w:val="5"/>
        </w:numPr>
        <w:tabs>
          <w:tab w:val="clear" w:pos="360"/>
          <w:tab w:val="clear" w:pos="720"/>
          <w:tab w:val="clear" w:pos="1080"/>
        </w:tabs>
        <w:ind w:left="720"/>
      </w:pPr>
      <w:r>
        <w:t>Deve resultar de uma infeção não premeditada.</w:t>
      </w:r>
    </w:p>
    <w:p w14:paraId="5614CCF7" w14:textId="01253259" w:rsidR="00D46DC5" w:rsidRPr="00EF7CF9" w:rsidRDefault="00D46DC5">
      <w:pPr>
        <w:pStyle w:val="ProductList-Body"/>
        <w:numPr>
          <w:ilvl w:val="1"/>
          <w:numId w:val="5"/>
        </w:numPr>
        <w:tabs>
          <w:tab w:val="clear" w:pos="360"/>
          <w:tab w:val="clear" w:pos="720"/>
          <w:tab w:val="clear" w:pos="1080"/>
        </w:tabs>
        <w:ind w:left="720"/>
      </w:pPr>
      <w:r>
        <w:t>O Vírus deve ter sido detetado pelo filtro de vírus do EOP.</w:t>
      </w:r>
    </w:p>
    <w:p w14:paraId="7707FC7D" w14:textId="21F74FB9" w:rsidR="00D46DC5" w:rsidRPr="00EF7CF9" w:rsidRDefault="00D46DC5">
      <w:pPr>
        <w:pStyle w:val="ProductList-Body"/>
        <w:numPr>
          <w:ilvl w:val="1"/>
          <w:numId w:val="5"/>
        </w:numPr>
        <w:tabs>
          <w:tab w:val="clear" w:pos="360"/>
          <w:tab w:val="clear" w:pos="720"/>
          <w:tab w:val="clear" w:pos="1080"/>
        </w:tabs>
        <w:ind w:left="720"/>
      </w:pPr>
      <w:r>
        <w:t>Se o EOP enviar para o Cliente uma mensagem de e-mail que esteja infetada com um vírus conhecido, o EOP irá notificar e trabalhar com o Cliente para o identificar e remover. Se isto resultar na prevenção de uma infeção, o Cliente não será elegível para um Crédito de Serviço ao abrigo do Nível de Serviço de Deteção e Bloqueio de Vírus.</w:t>
      </w:r>
    </w:p>
    <w:p w14:paraId="086E42AC" w14:textId="7A7D04B9" w:rsidR="00D46DC5" w:rsidRPr="00EF7CF9" w:rsidRDefault="00D46DC5">
      <w:pPr>
        <w:pStyle w:val="ProductList-Body"/>
        <w:numPr>
          <w:ilvl w:val="1"/>
          <w:numId w:val="5"/>
        </w:numPr>
        <w:tabs>
          <w:tab w:val="clear" w:pos="360"/>
          <w:tab w:val="clear" w:pos="720"/>
          <w:tab w:val="clear" w:pos="1080"/>
        </w:tabs>
        <w:ind w:left="720"/>
      </w:pPr>
      <w:r>
        <w:t>O Nível de Serviço de Deteção e Bloqueio de Vírus não se aplica a:</w:t>
      </w:r>
    </w:p>
    <w:p w14:paraId="09006C52" w14:textId="524237E8" w:rsidR="00D46DC5" w:rsidRPr="00EF7CF9" w:rsidRDefault="00D46DC5">
      <w:pPr>
        <w:pStyle w:val="ProductList-Body"/>
        <w:numPr>
          <w:ilvl w:val="2"/>
          <w:numId w:val="5"/>
        </w:numPr>
        <w:tabs>
          <w:tab w:val="clear" w:pos="360"/>
          <w:tab w:val="clear" w:pos="720"/>
          <w:tab w:val="clear" w:pos="1080"/>
        </w:tabs>
        <w:ind w:left="1080" w:hanging="360"/>
      </w:pPr>
      <w:r>
        <w:t>Formas de utilização abusiva de mensagens de e-mail não classificadas como malware, tais como spam, phishing e outros esquemas, adware e formas de spyware que, dada a sua natureza direcionada ou utilização limitada, não são conhecidos da comunidade antivírus, pelo que não são controlados pelos produtos antivírus como um vírus.</w:t>
      </w:r>
    </w:p>
    <w:p w14:paraId="7048433A" w14:textId="7661DAAF" w:rsidR="00D46DC5" w:rsidRPr="00EF7CF9" w:rsidRDefault="00D46DC5">
      <w:pPr>
        <w:pStyle w:val="ProductList-Body"/>
        <w:numPr>
          <w:ilvl w:val="2"/>
          <w:numId w:val="5"/>
        </w:numPr>
        <w:tabs>
          <w:tab w:val="clear" w:pos="360"/>
          <w:tab w:val="clear" w:pos="720"/>
          <w:tab w:val="clear" w:pos="1080"/>
        </w:tabs>
        <w:ind w:left="1080" w:hanging="360"/>
      </w:pPr>
      <w:r>
        <w:t>Vírus corruptos, com defeitos, truncados ou inativos contidos em mensagens de e-mail de relatórios de entrega sem êxito, de notificações ou mensagens devolvidas.</w:t>
      </w:r>
    </w:p>
    <w:p w14:paraId="1F48062D" w14:textId="6EC757FD" w:rsidR="00D46DC5" w:rsidRPr="00EF7CF9" w:rsidRDefault="00D46DC5">
      <w:pPr>
        <w:pStyle w:val="ProductList-Body"/>
        <w:numPr>
          <w:ilvl w:val="1"/>
          <w:numId w:val="5"/>
        </w:numPr>
        <w:tabs>
          <w:tab w:val="clear" w:pos="360"/>
          <w:tab w:val="clear" w:pos="720"/>
          <w:tab w:val="clear" w:pos="1080"/>
        </w:tabs>
        <w:ind w:left="720"/>
      </w:pPr>
      <w:r>
        <w:t>O Crédito de Serviço disponível para o Serviço de Deteção e Bloqueio de Vírus é: 25% do Crédito de Serviço dos Honorários dos Serviços Aplicáveis se ocorrer uma infeção num Período Aplicável, com um máximo de uma queixa permitida por Período Aplicável.</w:t>
      </w:r>
    </w:p>
    <w:p w14:paraId="5A7D88E7" w14:textId="77777777" w:rsidR="00D46DC5" w:rsidRPr="00C9746A" w:rsidRDefault="00D46DC5" w:rsidP="00F01ED6">
      <w:pPr>
        <w:pStyle w:val="ProductList-Body"/>
        <w:tabs>
          <w:tab w:val="clear" w:pos="360"/>
          <w:tab w:val="clear" w:pos="720"/>
          <w:tab w:val="clear" w:pos="1080"/>
        </w:tabs>
        <w:ind w:left="720"/>
        <w:rPr>
          <w:szCs w:val="18"/>
        </w:rPr>
      </w:pPr>
    </w:p>
    <w:p w14:paraId="2921BACD" w14:textId="22CBB5DA"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Nível de Serviço da Eficácia do Spam</w:t>
      </w:r>
    </w:p>
    <w:p w14:paraId="0E0804C5" w14:textId="03EC3441" w:rsidR="00D46DC5" w:rsidRPr="00EF7CF9" w:rsidRDefault="00380305">
      <w:pPr>
        <w:pStyle w:val="ProductList-Body"/>
        <w:numPr>
          <w:ilvl w:val="1"/>
          <w:numId w:val="5"/>
        </w:numPr>
        <w:tabs>
          <w:tab w:val="clear" w:pos="360"/>
          <w:tab w:val="clear" w:pos="720"/>
          <w:tab w:val="clear" w:pos="1080"/>
        </w:tabs>
        <w:ind w:left="720"/>
      </w:pPr>
      <w:r>
        <w:t>“</w:t>
      </w:r>
      <w:r w:rsidR="00EF7CF9">
        <w:t>Eficácia do Spam</w:t>
      </w:r>
      <w:r>
        <w:t>”</w:t>
      </w:r>
      <w:r w:rsidR="00EF7CF9">
        <w:t xml:space="preserve"> é definida como a percentagem de spam recebido detetado pelo sistema de filtragem, medido diariamente.</w:t>
      </w:r>
    </w:p>
    <w:p w14:paraId="64ABB92E" w14:textId="79612D0E" w:rsidR="00D46DC5" w:rsidRPr="00EF7CF9" w:rsidRDefault="00D46DC5">
      <w:pPr>
        <w:pStyle w:val="ProductList-Body"/>
        <w:numPr>
          <w:ilvl w:val="1"/>
          <w:numId w:val="5"/>
        </w:numPr>
        <w:tabs>
          <w:tab w:val="clear" w:pos="360"/>
          <w:tab w:val="clear" w:pos="720"/>
          <w:tab w:val="clear" w:pos="1080"/>
        </w:tabs>
        <w:ind w:left="720"/>
      </w:pPr>
      <w:r>
        <w:t>As estimativas da eficácia do spam excluem falsos negativos para as caixas de correio inválidas.</w:t>
      </w:r>
    </w:p>
    <w:p w14:paraId="2AEBFBB8" w14:textId="200A7D15" w:rsidR="00D46DC5" w:rsidRPr="00EF7CF9" w:rsidRDefault="00D46DC5">
      <w:pPr>
        <w:pStyle w:val="ProductList-Body"/>
        <w:numPr>
          <w:ilvl w:val="1"/>
          <w:numId w:val="5"/>
        </w:numPr>
        <w:tabs>
          <w:tab w:val="clear" w:pos="360"/>
          <w:tab w:val="clear" w:pos="720"/>
          <w:tab w:val="clear" w:pos="1080"/>
        </w:tabs>
        <w:ind w:left="720"/>
      </w:pPr>
      <w:r>
        <w:t>A mensagem de spam tem de ser processada pelo serviço da Microsoft e não pode estar corrompida, incorreta ou truncada.</w:t>
      </w:r>
    </w:p>
    <w:p w14:paraId="3A248BCC" w14:textId="4D6D4002" w:rsidR="00D46DC5" w:rsidRPr="00EF7CF9" w:rsidRDefault="00D46DC5">
      <w:pPr>
        <w:pStyle w:val="ProductList-Body"/>
        <w:numPr>
          <w:ilvl w:val="1"/>
          <w:numId w:val="5"/>
        </w:numPr>
        <w:tabs>
          <w:tab w:val="clear" w:pos="360"/>
          <w:tab w:val="clear" w:pos="720"/>
          <w:tab w:val="clear" w:pos="1080"/>
        </w:tabs>
        <w:ind w:left="720"/>
      </w:pPr>
      <w:r>
        <w:t xml:space="preserve">O Nível de Serviço da Eficácia do Spam não se aplica ao e-mail com a maior parte de conteúdo que não está em inglês. </w:t>
      </w:r>
    </w:p>
    <w:p w14:paraId="2713F5AA" w14:textId="733D5B19" w:rsidR="00D46DC5" w:rsidRPr="00EF7CF9" w:rsidRDefault="00D46DC5">
      <w:pPr>
        <w:pStyle w:val="ProductList-Body"/>
        <w:numPr>
          <w:ilvl w:val="1"/>
          <w:numId w:val="5"/>
        </w:numPr>
        <w:tabs>
          <w:tab w:val="clear" w:pos="360"/>
          <w:tab w:val="clear" w:pos="720"/>
          <w:tab w:val="clear" w:pos="1080"/>
        </w:tabs>
        <w:ind w:left="720"/>
      </w:pPr>
      <w:r>
        <w:t>O Cliente reconhece que a classificação do spam é subjetiva e aceita que a Microsoft efetue uma estimativa de boa fé da taxa de captura do spam com base nas provas fornecidas atempadamente pelo Cliente.</w:t>
      </w:r>
    </w:p>
    <w:p w14:paraId="3D467451" w14:textId="13DCCE23" w:rsidR="00B10E8D" w:rsidRPr="00EF7CF9" w:rsidRDefault="00D46DC5">
      <w:pPr>
        <w:pStyle w:val="ProductList-Body"/>
        <w:numPr>
          <w:ilvl w:val="1"/>
          <w:numId w:val="5"/>
        </w:numPr>
        <w:tabs>
          <w:tab w:val="clear" w:pos="360"/>
          <w:tab w:val="clear" w:pos="720"/>
          <w:tab w:val="clear" w:pos="1080"/>
        </w:tabs>
        <w:ind w:left="720"/>
      </w:pPr>
      <w:r>
        <w:t>O Crédito de Serviço disponível para o Serviço da Eficácia do Spam é:</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F01ED6">
            <w:pPr>
              <w:pStyle w:val="ProductList-OfferingBody"/>
              <w:jc w:val="center"/>
              <w:rPr>
                <w:color w:val="FFFFFF" w:themeColor="background1"/>
              </w:rPr>
            </w:pPr>
            <w:r>
              <w:rPr>
                <w:color w:val="FFFFFF" w:themeColor="background1"/>
              </w:rPr>
              <w:t>% do Período Aplicável em que a Eficácia do Spam está abaixo dos 99%</w:t>
            </w:r>
          </w:p>
        </w:tc>
        <w:tc>
          <w:tcPr>
            <w:tcW w:w="5040" w:type="dxa"/>
            <w:shd w:val="clear" w:color="auto" w:fill="0072C6"/>
          </w:tcPr>
          <w:p w14:paraId="56BE0234" w14:textId="77777777" w:rsidR="00D46DC5" w:rsidRPr="00EF7CF9" w:rsidRDefault="00D46DC5" w:rsidP="00F01ED6">
            <w:pPr>
              <w:pStyle w:val="ProductList-OfferingBody"/>
              <w:jc w:val="center"/>
              <w:rPr>
                <w:color w:val="FFFFFF" w:themeColor="background1"/>
              </w:rPr>
            </w:pPr>
            <w:r>
              <w:rPr>
                <w:color w:val="FFFFFF" w:themeColor="background1"/>
              </w:rPr>
              <w:t>Crédito de Serviço</w:t>
            </w:r>
          </w:p>
        </w:tc>
      </w:tr>
      <w:tr w:rsidR="00D46DC5" w:rsidRPr="00B44CF9" w14:paraId="09A914F6" w14:textId="77777777" w:rsidTr="00D46DC5">
        <w:tc>
          <w:tcPr>
            <w:tcW w:w="5040" w:type="dxa"/>
          </w:tcPr>
          <w:p w14:paraId="631738B0" w14:textId="6F6D8C4B" w:rsidR="00D46DC5" w:rsidRPr="00EF7CF9" w:rsidRDefault="00D46DC5" w:rsidP="00F01ED6">
            <w:pPr>
              <w:pStyle w:val="ProductList-OfferingBody"/>
              <w:jc w:val="center"/>
            </w:pPr>
            <w:r>
              <w:t>&gt;</w:t>
            </w:r>
            <w:r w:rsidR="00FD6AB8">
              <w:t xml:space="preserve"> </w:t>
            </w:r>
            <w:r>
              <w:t>25%</w:t>
            </w:r>
          </w:p>
        </w:tc>
        <w:tc>
          <w:tcPr>
            <w:tcW w:w="5040" w:type="dxa"/>
          </w:tcPr>
          <w:p w14:paraId="0CE6B48C" w14:textId="77777777" w:rsidR="00D46DC5" w:rsidRPr="00EF7CF9" w:rsidRDefault="00D46DC5" w:rsidP="00F01ED6">
            <w:pPr>
              <w:pStyle w:val="ProductList-OfferingBody"/>
              <w:jc w:val="center"/>
            </w:pPr>
            <w:r>
              <w:t>25%</w:t>
            </w:r>
          </w:p>
        </w:tc>
      </w:tr>
      <w:tr w:rsidR="00D46DC5" w:rsidRPr="00B44CF9" w14:paraId="351EBE61" w14:textId="77777777" w:rsidTr="00D46DC5">
        <w:tc>
          <w:tcPr>
            <w:tcW w:w="5040" w:type="dxa"/>
          </w:tcPr>
          <w:p w14:paraId="3695DA63" w14:textId="360D03C8" w:rsidR="00D46DC5" w:rsidRPr="00EF7CF9" w:rsidRDefault="00D46DC5" w:rsidP="00F01ED6">
            <w:pPr>
              <w:pStyle w:val="ProductList-OfferingBody"/>
              <w:jc w:val="center"/>
            </w:pPr>
            <w:r>
              <w:t>&gt; 50%</w:t>
            </w:r>
          </w:p>
        </w:tc>
        <w:tc>
          <w:tcPr>
            <w:tcW w:w="5040" w:type="dxa"/>
          </w:tcPr>
          <w:p w14:paraId="2DE7EA92" w14:textId="77777777" w:rsidR="00D46DC5" w:rsidRPr="00EF7CF9" w:rsidRDefault="00D46DC5" w:rsidP="00F01ED6">
            <w:pPr>
              <w:pStyle w:val="ProductList-OfferingBody"/>
              <w:jc w:val="center"/>
            </w:pPr>
            <w:r>
              <w:t>50%</w:t>
            </w:r>
          </w:p>
        </w:tc>
      </w:tr>
      <w:tr w:rsidR="00D46DC5" w:rsidRPr="00B44CF9" w14:paraId="5EBFF820" w14:textId="77777777" w:rsidTr="00D46DC5">
        <w:tc>
          <w:tcPr>
            <w:tcW w:w="5040" w:type="dxa"/>
          </w:tcPr>
          <w:p w14:paraId="777A52D2" w14:textId="2C56D2B6" w:rsidR="00D46DC5" w:rsidRPr="00EF7CF9" w:rsidRDefault="00D46DC5" w:rsidP="00F01ED6">
            <w:pPr>
              <w:pStyle w:val="ProductList-OfferingBody"/>
              <w:jc w:val="center"/>
            </w:pPr>
            <w:r>
              <w:t>100%</w:t>
            </w:r>
          </w:p>
        </w:tc>
        <w:tc>
          <w:tcPr>
            <w:tcW w:w="5040" w:type="dxa"/>
          </w:tcPr>
          <w:p w14:paraId="2AC83C59" w14:textId="77777777" w:rsidR="00D46DC5" w:rsidRPr="00EF7CF9" w:rsidRDefault="00D46DC5" w:rsidP="00F01ED6">
            <w:pPr>
              <w:pStyle w:val="ProductList-OfferingBody"/>
              <w:jc w:val="center"/>
            </w:pPr>
            <w:r>
              <w:t>100%</w:t>
            </w:r>
          </w:p>
        </w:tc>
      </w:tr>
    </w:tbl>
    <w:p w14:paraId="5FF28ED0" w14:textId="77777777" w:rsidR="00D46DC5" w:rsidRPr="00C9746A" w:rsidRDefault="00D46DC5" w:rsidP="00F01ED6">
      <w:pPr>
        <w:pStyle w:val="ProductList-Body"/>
        <w:tabs>
          <w:tab w:val="clear" w:pos="360"/>
          <w:tab w:val="clear" w:pos="720"/>
          <w:tab w:val="clear" w:pos="1080"/>
        </w:tabs>
        <w:rPr>
          <w:szCs w:val="18"/>
        </w:rPr>
      </w:pPr>
    </w:p>
    <w:p w14:paraId="790AF5B7" w14:textId="450B8A56"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Nível de Serviço de Falso Positivo</w:t>
      </w:r>
    </w:p>
    <w:p w14:paraId="34815E06" w14:textId="09BD76F8" w:rsidR="00D46DC5" w:rsidRPr="00EF7CF9" w:rsidRDefault="00380305">
      <w:pPr>
        <w:pStyle w:val="ProductList-Body"/>
        <w:numPr>
          <w:ilvl w:val="1"/>
          <w:numId w:val="5"/>
        </w:numPr>
        <w:tabs>
          <w:tab w:val="clear" w:pos="360"/>
          <w:tab w:val="clear" w:pos="720"/>
          <w:tab w:val="clear" w:pos="1080"/>
        </w:tabs>
        <w:ind w:left="720"/>
      </w:pPr>
      <w:r>
        <w:t>“</w:t>
      </w:r>
      <w:r w:rsidR="00EF7CF9">
        <w:t>Falso Positivo</w:t>
      </w:r>
      <w:r>
        <w:t>”</w:t>
      </w:r>
      <w:r w:rsidR="00EF7CF9">
        <w:t xml:space="preserve"> é definido como o rácio de mensagens de e-mail comerciais legítimas identificadas incorretamente como spam pelo sistema de filtragem para todas as mensagens de e-mail processadas pelo serviço num Período Aplicável.</w:t>
      </w:r>
    </w:p>
    <w:p w14:paraId="6200DF6C" w14:textId="75E7A01E" w:rsidR="00D46DC5" w:rsidRPr="00FD6AB8" w:rsidRDefault="00D46DC5">
      <w:pPr>
        <w:pStyle w:val="ProductList-Body"/>
        <w:numPr>
          <w:ilvl w:val="1"/>
          <w:numId w:val="5"/>
        </w:numPr>
        <w:tabs>
          <w:tab w:val="clear" w:pos="360"/>
          <w:tab w:val="clear" w:pos="720"/>
          <w:tab w:val="clear" w:pos="1080"/>
        </w:tabs>
        <w:ind w:left="720"/>
        <w:jc w:val="both"/>
        <w:rPr>
          <w:spacing w:val="-2"/>
        </w:rPr>
      </w:pPr>
      <w:r w:rsidRPr="00FD6AB8">
        <w:rPr>
          <w:spacing w:val="-2"/>
        </w:rPr>
        <w:t>As mensagens completas e originais, incluindo todos os cabeçalhos, têm de ser reportadas à equipa de processamento de utilizações abusivas.</w:t>
      </w:r>
    </w:p>
    <w:p w14:paraId="56882ADE" w14:textId="51F69848" w:rsidR="00D46DC5" w:rsidRPr="00EF7CF9" w:rsidRDefault="00D46DC5">
      <w:pPr>
        <w:pStyle w:val="ProductList-Body"/>
        <w:numPr>
          <w:ilvl w:val="1"/>
          <w:numId w:val="5"/>
        </w:numPr>
        <w:tabs>
          <w:tab w:val="clear" w:pos="360"/>
          <w:tab w:val="clear" w:pos="720"/>
          <w:tab w:val="clear" w:pos="1080"/>
        </w:tabs>
        <w:ind w:left="720"/>
      </w:pPr>
      <w:r>
        <w:t>Aplica-se às mensagens de e-mail enviado apenas para as caixas de correio válidas.</w:t>
      </w:r>
    </w:p>
    <w:p w14:paraId="40E1716C" w14:textId="036400E9" w:rsidR="00D46DC5" w:rsidRPr="00EF7CF9" w:rsidRDefault="00D46DC5">
      <w:pPr>
        <w:pStyle w:val="ProductList-Body"/>
        <w:numPr>
          <w:ilvl w:val="1"/>
          <w:numId w:val="5"/>
        </w:numPr>
        <w:tabs>
          <w:tab w:val="clear" w:pos="360"/>
          <w:tab w:val="clear" w:pos="720"/>
          <w:tab w:val="clear" w:pos="1080"/>
        </w:tabs>
        <w:ind w:left="720"/>
      </w:pPr>
      <w:r>
        <w:t>O Cliente reconhece que a classificação de falsos positivos é subjetiva e compreende que a Microsoft poderá efetuar uma estimativa de</w:t>
      </w:r>
      <w:r w:rsidR="00FD6AB8">
        <w:t> </w:t>
      </w:r>
      <w:r>
        <w:t>boa fé do rácio de falsos positivos com base nas provas fornecidas atempadamente pelo Cliente.</w:t>
      </w:r>
    </w:p>
    <w:p w14:paraId="23C90FDB" w14:textId="474C063D" w:rsidR="00D46DC5" w:rsidRPr="00EF7CF9" w:rsidRDefault="00D46DC5">
      <w:pPr>
        <w:pStyle w:val="ProductList-Body"/>
        <w:numPr>
          <w:ilvl w:val="1"/>
          <w:numId w:val="5"/>
        </w:numPr>
        <w:tabs>
          <w:tab w:val="clear" w:pos="360"/>
          <w:tab w:val="clear" w:pos="720"/>
          <w:tab w:val="clear" w:pos="1080"/>
        </w:tabs>
        <w:ind w:left="720"/>
      </w:pPr>
      <w:r>
        <w:t>Este Nível de Serviço de Falso Positivo não deve ser aplicado a:</w:t>
      </w:r>
    </w:p>
    <w:p w14:paraId="7372134E" w14:textId="4A9824CE" w:rsidR="00D46DC5" w:rsidRPr="00EF7CF9" w:rsidRDefault="00D46DC5">
      <w:pPr>
        <w:pStyle w:val="ProductList-Body"/>
        <w:numPr>
          <w:ilvl w:val="2"/>
          <w:numId w:val="5"/>
        </w:numPr>
        <w:tabs>
          <w:tab w:val="clear" w:pos="360"/>
          <w:tab w:val="clear" w:pos="720"/>
          <w:tab w:val="clear" w:pos="1080"/>
        </w:tabs>
        <w:ind w:left="1080" w:hanging="360"/>
      </w:pPr>
      <w:r>
        <w:t>e-mail em massa, pessoal ou pornográfico</w:t>
      </w:r>
    </w:p>
    <w:p w14:paraId="7A5B93DD" w14:textId="481EF0DD" w:rsidR="00D46DC5" w:rsidRPr="00EF7CF9" w:rsidRDefault="00D46DC5">
      <w:pPr>
        <w:pStyle w:val="ProductList-Body"/>
        <w:numPr>
          <w:ilvl w:val="2"/>
          <w:numId w:val="5"/>
        </w:numPr>
        <w:tabs>
          <w:tab w:val="clear" w:pos="360"/>
          <w:tab w:val="clear" w:pos="720"/>
          <w:tab w:val="clear" w:pos="1080"/>
        </w:tabs>
        <w:ind w:left="1080" w:hanging="360"/>
      </w:pPr>
      <w:r>
        <w:t>e-mail com a maior parte de conteúdo que não está em inglês</w:t>
      </w:r>
    </w:p>
    <w:p w14:paraId="2644814B" w14:textId="660B23B4" w:rsidR="00D46DC5" w:rsidRPr="00EF7CF9" w:rsidRDefault="00D46DC5">
      <w:pPr>
        <w:pStyle w:val="ProductList-Body"/>
        <w:numPr>
          <w:ilvl w:val="2"/>
          <w:numId w:val="5"/>
        </w:numPr>
        <w:tabs>
          <w:tab w:val="clear" w:pos="360"/>
          <w:tab w:val="clear" w:pos="720"/>
          <w:tab w:val="clear" w:pos="1080"/>
        </w:tabs>
        <w:ind w:left="1080" w:hanging="360"/>
      </w:pPr>
      <w:r>
        <w:t>e-mail bloqueado por uma regra de política, filtros de reputação ou filtros de ligação SMTP</w:t>
      </w:r>
    </w:p>
    <w:p w14:paraId="2D20E567" w14:textId="54658CED" w:rsidR="00D46DC5" w:rsidRPr="00EF7CF9" w:rsidRDefault="00D46DC5">
      <w:pPr>
        <w:pStyle w:val="ProductList-Body"/>
        <w:numPr>
          <w:ilvl w:val="2"/>
          <w:numId w:val="5"/>
        </w:numPr>
        <w:tabs>
          <w:tab w:val="clear" w:pos="360"/>
          <w:tab w:val="clear" w:pos="720"/>
          <w:tab w:val="clear" w:pos="1080"/>
        </w:tabs>
        <w:ind w:left="1080" w:hanging="360"/>
      </w:pPr>
      <w:r>
        <w:t>e-mail enviado para a pasta de lixo</w:t>
      </w:r>
    </w:p>
    <w:p w14:paraId="775DAECE" w14:textId="56DC4673" w:rsidR="00D46DC5" w:rsidRPr="00EF7CF9" w:rsidRDefault="00D46DC5">
      <w:pPr>
        <w:pStyle w:val="ProductList-Body"/>
        <w:keepNext/>
        <w:keepLines/>
        <w:numPr>
          <w:ilvl w:val="1"/>
          <w:numId w:val="5"/>
        </w:numPr>
        <w:tabs>
          <w:tab w:val="clear" w:pos="360"/>
          <w:tab w:val="clear" w:pos="720"/>
          <w:tab w:val="clear" w:pos="1080"/>
        </w:tabs>
        <w:ind w:left="720"/>
      </w:pPr>
      <w:r>
        <w:lastRenderedPageBreak/>
        <w:t>O Crédito de Serviço disponível para o Serviço de Falso Positivo é:</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43353B">
            <w:pPr>
              <w:pStyle w:val="ProductList-OfferingBody"/>
              <w:keepNext/>
              <w:keepLines/>
              <w:jc w:val="center"/>
              <w:rPr>
                <w:color w:val="FFFFFF" w:themeColor="background1"/>
              </w:rPr>
            </w:pPr>
            <w:r>
              <w:rPr>
                <w:color w:val="FFFFFF" w:themeColor="background1"/>
              </w:rPr>
              <w:t>Rácio de Falsos Positivos num Período Aplicável</w:t>
            </w:r>
          </w:p>
        </w:tc>
        <w:tc>
          <w:tcPr>
            <w:tcW w:w="5040" w:type="dxa"/>
            <w:shd w:val="clear" w:color="auto" w:fill="0072C6"/>
          </w:tcPr>
          <w:p w14:paraId="60CA8A89" w14:textId="77777777" w:rsidR="00D46DC5" w:rsidRPr="00EF7CF9" w:rsidRDefault="00D46DC5" w:rsidP="0043353B">
            <w:pPr>
              <w:pStyle w:val="ProductList-OfferingBody"/>
              <w:keepNext/>
              <w:keepLines/>
              <w:jc w:val="center"/>
              <w:rPr>
                <w:color w:val="FFFFFF" w:themeColor="background1"/>
              </w:rPr>
            </w:pPr>
            <w:r>
              <w:rPr>
                <w:color w:val="FFFFFF" w:themeColor="background1"/>
              </w:rPr>
              <w:t>Crédito de Serviço</w:t>
            </w:r>
          </w:p>
        </w:tc>
      </w:tr>
      <w:tr w:rsidR="00D46DC5" w:rsidRPr="00B44CF9" w14:paraId="7AE054B0" w14:textId="77777777" w:rsidTr="00F575B8">
        <w:tc>
          <w:tcPr>
            <w:tcW w:w="5040" w:type="dxa"/>
          </w:tcPr>
          <w:p w14:paraId="6B80DC14" w14:textId="145C484D" w:rsidR="00D46DC5" w:rsidRPr="00EF7CF9" w:rsidRDefault="00D46DC5" w:rsidP="0043353B">
            <w:pPr>
              <w:pStyle w:val="ProductList-OfferingBody"/>
              <w:keepNext/>
              <w:keepLines/>
              <w:jc w:val="center"/>
            </w:pPr>
            <w:r>
              <w:t>&gt; 1:250.000</w:t>
            </w:r>
          </w:p>
        </w:tc>
        <w:tc>
          <w:tcPr>
            <w:tcW w:w="5040" w:type="dxa"/>
          </w:tcPr>
          <w:p w14:paraId="4987D417" w14:textId="77777777" w:rsidR="00D46DC5" w:rsidRPr="00EF7CF9" w:rsidRDefault="00D46DC5" w:rsidP="0043353B">
            <w:pPr>
              <w:pStyle w:val="ProductList-OfferingBody"/>
              <w:keepNext/>
              <w:keepLines/>
              <w:jc w:val="center"/>
            </w:pPr>
            <w:r>
              <w:t>25%</w:t>
            </w:r>
          </w:p>
        </w:tc>
      </w:tr>
      <w:tr w:rsidR="00D46DC5" w:rsidRPr="00B44CF9" w14:paraId="3254687C" w14:textId="77777777" w:rsidTr="00F575B8">
        <w:tc>
          <w:tcPr>
            <w:tcW w:w="5040" w:type="dxa"/>
          </w:tcPr>
          <w:p w14:paraId="0B1DD814" w14:textId="334E68D2" w:rsidR="00D46DC5" w:rsidRPr="00EF7CF9" w:rsidRDefault="00D46DC5" w:rsidP="00F01ED6">
            <w:pPr>
              <w:pStyle w:val="ProductList-OfferingBody"/>
              <w:jc w:val="center"/>
            </w:pPr>
            <w:r>
              <w:t>&gt; 1:10.000</w:t>
            </w:r>
          </w:p>
        </w:tc>
        <w:tc>
          <w:tcPr>
            <w:tcW w:w="5040" w:type="dxa"/>
          </w:tcPr>
          <w:p w14:paraId="12F73FB9" w14:textId="77777777" w:rsidR="00D46DC5" w:rsidRPr="00EF7CF9" w:rsidRDefault="00D46DC5" w:rsidP="00F01ED6">
            <w:pPr>
              <w:pStyle w:val="ProductList-OfferingBody"/>
              <w:jc w:val="center"/>
            </w:pPr>
            <w:r>
              <w:t>50%</w:t>
            </w:r>
          </w:p>
        </w:tc>
      </w:tr>
      <w:tr w:rsidR="00D46DC5" w:rsidRPr="00B44CF9" w14:paraId="54FC3522" w14:textId="77777777" w:rsidTr="00F575B8">
        <w:tc>
          <w:tcPr>
            <w:tcW w:w="5040" w:type="dxa"/>
          </w:tcPr>
          <w:p w14:paraId="6B393370" w14:textId="621818A1" w:rsidR="00D46DC5" w:rsidRPr="00EF7CF9" w:rsidRDefault="00F575B8" w:rsidP="00F01ED6">
            <w:pPr>
              <w:pStyle w:val="ProductList-OfferingBody"/>
              <w:jc w:val="center"/>
            </w:pPr>
            <w:r>
              <w:t>&gt; 1:100</w:t>
            </w:r>
          </w:p>
        </w:tc>
        <w:tc>
          <w:tcPr>
            <w:tcW w:w="5040" w:type="dxa"/>
          </w:tcPr>
          <w:p w14:paraId="0C773A17" w14:textId="77777777" w:rsidR="00D46DC5" w:rsidRPr="00EF7CF9" w:rsidRDefault="00D46DC5" w:rsidP="00F01ED6">
            <w:pPr>
              <w:pStyle w:val="ProductList-OfferingBody"/>
              <w:jc w:val="center"/>
            </w:pPr>
            <w:r>
              <w:t>100%</w:t>
            </w:r>
          </w:p>
        </w:tc>
      </w:tr>
    </w:tbl>
    <w:p w14:paraId="279EA900" w14:textId="77777777" w:rsidR="004951A0" w:rsidRPr="00EF7CF9" w:rsidRDefault="004951A0" w:rsidP="004951A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Índice" w:history="1">
        <w:r w:rsidRPr="004E0FBE">
          <w:rPr>
            <w:rStyle w:val="Hyperlink"/>
            <w:sz w:val="16"/>
            <w:szCs w:val="16"/>
          </w:rPr>
          <w:t>Índice</w:t>
        </w:r>
      </w:hyperlink>
      <w:r>
        <w:rPr>
          <w:sz w:val="16"/>
          <w:szCs w:val="16"/>
        </w:rPr>
        <w:t xml:space="preserve"> / </w:t>
      </w:r>
      <w:hyperlink w:anchor="Definições" w:history="1">
        <w:r w:rsidRPr="004E0FBE">
          <w:rPr>
            <w:rStyle w:val="Hyperlink"/>
            <w:sz w:val="16"/>
            <w:szCs w:val="16"/>
          </w:rPr>
          <w:t>Definições</w:t>
        </w:r>
      </w:hyperlink>
    </w:p>
    <w:sectPr w:rsidR="004951A0" w:rsidRPr="00EF7CF9" w:rsidSect="008B1CA1">
      <w:footerReference w:type="first" r:id="rId30"/>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90C3" w14:textId="77777777" w:rsidR="00B42878" w:rsidRDefault="00B42878" w:rsidP="009A573F">
      <w:pPr>
        <w:spacing w:after="0" w:line="240" w:lineRule="auto"/>
      </w:pPr>
      <w:r>
        <w:separator/>
      </w:r>
    </w:p>
    <w:p w14:paraId="59326BAB" w14:textId="77777777" w:rsidR="00B42878" w:rsidRDefault="00B42878"/>
    <w:p w14:paraId="7E596F5C" w14:textId="77777777" w:rsidR="00B42878" w:rsidRDefault="00B42878"/>
    <w:p w14:paraId="4812205F" w14:textId="77777777" w:rsidR="00B42878" w:rsidRDefault="00B42878"/>
    <w:p w14:paraId="7A70B167" w14:textId="77777777" w:rsidR="00B42878" w:rsidRDefault="00B42878"/>
  </w:endnote>
  <w:endnote w:type="continuationSeparator" w:id="0">
    <w:p w14:paraId="0FF2DEC2" w14:textId="77777777" w:rsidR="00B42878" w:rsidRDefault="00B42878" w:rsidP="009A573F">
      <w:pPr>
        <w:spacing w:after="0" w:line="240" w:lineRule="auto"/>
      </w:pPr>
      <w:r>
        <w:continuationSeparator/>
      </w:r>
    </w:p>
    <w:p w14:paraId="73586DF9" w14:textId="77777777" w:rsidR="00B42878" w:rsidRDefault="00B42878"/>
    <w:p w14:paraId="227FDDD3" w14:textId="77777777" w:rsidR="00B42878" w:rsidRDefault="00B42878"/>
    <w:p w14:paraId="1E6D9E94" w14:textId="77777777" w:rsidR="00B42878" w:rsidRDefault="00B42878"/>
    <w:p w14:paraId="6E694CB5" w14:textId="77777777" w:rsidR="00B42878" w:rsidRDefault="00B42878"/>
  </w:endnote>
  <w:endnote w:type="continuationNotice" w:id="1">
    <w:p w14:paraId="0F6C74A6" w14:textId="77777777" w:rsidR="00B42878" w:rsidRDefault="00B42878">
      <w:pPr>
        <w:spacing w:after="0" w:line="240" w:lineRule="auto"/>
      </w:pPr>
    </w:p>
    <w:p w14:paraId="4EC3CE7C" w14:textId="77777777" w:rsidR="00B42878" w:rsidRDefault="00B42878"/>
    <w:p w14:paraId="48D53E24" w14:textId="77777777" w:rsidR="00B42878" w:rsidRDefault="00B42878"/>
    <w:p w14:paraId="37BDD5C7" w14:textId="77777777" w:rsidR="00B42878" w:rsidRDefault="00B42878"/>
    <w:p w14:paraId="08BEFFF3" w14:textId="77777777" w:rsidR="00B42878" w:rsidRDefault="00B428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Heading)">
    <w:altName w:val="Calibri Light"/>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380305" w:rsidRDefault="00380305" w:rsidP="00914BDB">
    <w:pPr>
      <w:pStyle w:val="ProductList-Body"/>
    </w:pPr>
    <w:r>
      <w:rPr>
        <w:noProof/>
        <w:lang w:val="en-US" w:eastAsia="zh-CN" w:bidi="ar-SA"/>
      </w:rPr>
      <w:drawing>
        <wp:inline distT="0" distB="0" distL="0" distR="0" wp14:anchorId="57C84DC6" wp14:editId="3A5C7D0C">
          <wp:extent cx="1993692" cy="457200"/>
          <wp:effectExtent l="0" t="0" r="6985" b="0"/>
          <wp:docPr id="1576501788" name="Picture 157650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44C6" w:rsidRPr="00C76DF3" w14:paraId="78DC3BD5" w14:textId="77777777" w:rsidTr="00674FD5">
      <w:tc>
        <w:tcPr>
          <w:tcW w:w="1975" w:type="dxa"/>
          <w:shd w:val="clear" w:color="auto" w:fill="BFBFBF" w:themeFill="background1" w:themeFillShade="BF"/>
          <w:vAlign w:val="center"/>
        </w:tcPr>
        <w:p w14:paraId="342A3D30" w14:textId="77777777" w:rsidR="00E244C6" w:rsidRPr="00C76DF3" w:rsidRDefault="00E244C6" w:rsidP="00E244C6">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Pr>
                <w:rStyle w:val="Hyperlink"/>
                <w:sz w:val="14"/>
                <w:szCs w:val="14"/>
              </w:rPr>
              <w:t>Índice</w:t>
            </w:r>
          </w:hyperlink>
        </w:p>
      </w:tc>
      <w:tc>
        <w:tcPr>
          <w:tcW w:w="270" w:type="dxa"/>
          <w:tcBorders>
            <w:top w:val="nil"/>
            <w:bottom w:val="nil"/>
          </w:tcBorders>
          <w:vAlign w:val="center"/>
        </w:tcPr>
        <w:p w14:paraId="537A2EE1" w14:textId="77777777" w:rsidR="00E244C6" w:rsidRPr="00C76DF3" w:rsidRDefault="00E244C6" w:rsidP="00E244C6">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16562C8" w14:textId="77777777" w:rsidR="00E244C6" w:rsidRPr="00C76DF3" w:rsidRDefault="00E244C6" w:rsidP="00E244C6">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ção" w:history="1">
            <w:r w:rsidRPr="00E244C6">
              <w:rPr>
                <w:rStyle w:val="Hyperlink"/>
                <w:sz w:val="14"/>
                <w:szCs w:val="14"/>
              </w:rPr>
              <w:t>Introdução</w:t>
            </w:r>
          </w:hyperlink>
        </w:p>
      </w:tc>
      <w:tc>
        <w:tcPr>
          <w:tcW w:w="271" w:type="dxa"/>
          <w:tcBorders>
            <w:top w:val="nil"/>
            <w:bottom w:val="nil"/>
          </w:tcBorders>
          <w:vAlign w:val="center"/>
        </w:tcPr>
        <w:p w14:paraId="798B3B7D" w14:textId="77777777" w:rsidR="00E244C6" w:rsidRPr="00C76DF3" w:rsidRDefault="00E244C6" w:rsidP="00E244C6">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6D762A63" w14:textId="77777777" w:rsidR="00E244C6" w:rsidRPr="00C76DF3" w:rsidRDefault="00E244C6" w:rsidP="00E244C6">
          <w:pPr>
            <w:pStyle w:val="ProductList-OfferingBody"/>
            <w:tabs>
              <w:tab w:val="clear" w:pos="360"/>
              <w:tab w:val="clear" w:pos="720"/>
              <w:tab w:val="clear" w:pos="1080"/>
            </w:tabs>
            <w:ind w:left="-72" w:right="-75"/>
            <w:jc w:val="center"/>
            <w:rPr>
              <w:color w:val="808080" w:themeColor="background1" w:themeShade="80"/>
              <w:sz w:val="14"/>
              <w:szCs w:val="14"/>
            </w:rPr>
          </w:pPr>
          <w:hyperlink w:anchor="TermosGerais" w:history="1">
            <w:r w:rsidRPr="00E244C6">
              <w:rPr>
                <w:rStyle w:val="Hyperlink"/>
                <w:sz w:val="14"/>
                <w:szCs w:val="14"/>
              </w:rPr>
              <w:t>Termos Gerais</w:t>
            </w:r>
          </w:hyperlink>
        </w:p>
      </w:tc>
      <w:tc>
        <w:tcPr>
          <w:tcW w:w="272" w:type="dxa"/>
          <w:tcBorders>
            <w:top w:val="nil"/>
            <w:bottom w:val="nil"/>
          </w:tcBorders>
          <w:vAlign w:val="center"/>
        </w:tcPr>
        <w:p w14:paraId="6944FB18" w14:textId="77777777" w:rsidR="00E244C6" w:rsidRPr="00C76DF3" w:rsidRDefault="00E244C6" w:rsidP="00E244C6">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661AD8D" w14:textId="77777777" w:rsidR="00E244C6" w:rsidRPr="00C76DF3" w:rsidRDefault="00E244C6" w:rsidP="00E244C6">
          <w:pPr>
            <w:pStyle w:val="ProductList-OfferingBody"/>
            <w:tabs>
              <w:tab w:val="clear" w:pos="360"/>
              <w:tab w:val="clear" w:pos="720"/>
              <w:tab w:val="clear" w:pos="1080"/>
            </w:tabs>
            <w:ind w:left="-72" w:right="-77"/>
            <w:jc w:val="center"/>
            <w:rPr>
              <w:color w:val="808080" w:themeColor="background1" w:themeShade="80"/>
              <w:sz w:val="14"/>
              <w:szCs w:val="14"/>
            </w:rPr>
          </w:pPr>
          <w:hyperlink w:anchor="TermosEspecíficosdoServiço" w:history="1">
            <w:r w:rsidRPr="00E244C6">
              <w:rPr>
                <w:rStyle w:val="Hyperlink"/>
                <w:sz w:val="14"/>
                <w:szCs w:val="14"/>
              </w:rPr>
              <w:t>Termos Específicos do Serviço</w:t>
            </w:r>
          </w:hyperlink>
        </w:p>
      </w:tc>
      <w:tc>
        <w:tcPr>
          <w:tcW w:w="273" w:type="dxa"/>
          <w:tcBorders>
            <w:top w:val="nil"/>
            <w:bottom w:val="nil"/>
          </w:tcBorders>
          <w:vAlign w:val="center"/>
        </w:tcPr>
        <w:p w14:paraId="3C4BA7EE" w14:textId="77777777" w:rsidR="00E244C6" w:rsidRPr="00C76DF3" w:rsidRDefault="00E244C6" w:rsidP="00E244C6">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3D7627A8" w14:textId="5799274C" w:rsidR="00E244C6" w:rsidRPr="00C76DF3" w:rsidRDefault="005814E2" w:rsidP="00E244C6">
          <w:pPr>
            <w:pStyle w:val="ProductList-OfferingBody"/>
            <w:tabs>
              <w:tab w:val="clear" w:pos="360"/>
              <w:tab w:val="clear" w:pos="720"/>
              <w:tab w:val="clear" w:pos="1080"/>
            </w:tabs>
            <w:ind w:left="-72" w:right="-76"/>
            <w:jc w:val="center"/>
            <w:rPr>
              <w:color w:val="808080" w:themeColor="background1" w:themeShade="80"/>
              <w:sz w:val="14"/>
              <w:szCs w:val="14"/>
            </w:rPr>
          </w:pPr>
          <w:hyperlink w:anchor="ApêndiceA" w:history="1">
            <w:r>
              <w:rPr>
                <w:rStyle w:val="Hyperlink"/>
                <w:sz w:val="14"/>
                <w:szCs w:val="14"/>
              </w:rPr>
              <w:t>Apêndices</w:t>
            </w:r>
          </w:hyperlink>
        </w:p>
      </w:tc>
    </w:tr>
  </w:tbl>
  <w:p w14:paraId="33F0587C" w14:textId="77777777" w:rsidR="00E244C6" w:rsidRDefault="00E244C6" w:rsidP="00E244C6">
    <w:pPr>
      <w:pStyle w:val="ProductList-Body"/>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380305" w:rsidRPr="00C76DF3" w14:paraId="32E85765" w14:textId="77777777" w:rsidTr="00B0776A">
      <w:tc>
        <w:tcPr>
          <w:tcW w:w="1975" w:type="dxa"/>
          <w:shd w:val="clear" w:color="auto" w:fill="BFBFBF" w:themeFill="background1" w:themeFillShade="BF"/>
          <w:vAlign w:val="center"/>
        </w:tcPr>
        <w:p w14:paraId="7081A355" w14:textId="77777777" w:rsidR="00380305" w:rsidRPr="00C76DF3" w:rsidRDefault="00380305" w:rsidP="000C05C9">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Pr>
                <w:rStyle w:val="Hyperlink"/>
                <w:sz w:val="14"/>
                <w:szCs w:val="14"/>
              </w:rPr>
              <w:t>Índice</w:t>
            </w:r>
          </w:hyperlink>
        </w:p>
      </w:tc>
      <w:tc>
        <w:tcPr>
          <w:tcW w:w="270" w:type="dxa"/>
          <w:tcBorders>
            <w:top w:val="nil"/>
            <w:bottom w:val="nil"/>
          </w:tcBorders>
          <w:vAlign w:val="center"/>
        </w:tcPr>
        <w:p w14:paraId="3863E4F2" w14:textId="77777777" w:rsidR="00380305" w:rsidRPr="00C76DF3" w:rsidRDefault="00380305" w:rsidP="005861E6">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0DD826BD" w:rsidR="00380305" w:rsidRPr="00C76DF3" w:rsidRDefault="00380305" w:rsidP="000C05C9">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ção" w:history="1">
            <w:r w:rsidRPr="00E244C6">
              <w:rPr>
                <w:rStyle w:val="Hyperlink"/>
                <w:sz w:val="14"/>
                <w:szCs w:val="14"/>
              </w:rPr>
              <w:t>Introdução</w:t>
            </w:r>
          </w:hyperlink>
        </w:p>
      </w:tc>
      <w:tc>
        <w:tcPr>
          <w:tcW w:w="271" w:type="dxa"/>
          <w:tcBorders>
            <w:top w:val="nil"/>
            <w:bottom w:val="nil"/>
          </w:tcBorders>
          <w:vAlign w:val="center"/>
        </w:tcPr>
        <w:p w14:paraId="68A10451" w14:textId="77777777" w:rsidR="00380305" w:rsidRPr="00C76DF3" w:rsidRDefault="00380305" w:rsidP="005861E6">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38C4758B" w:rsidR="00380305" w:rsidRPr="00C76DF3" w:rsidRDefault="00380305" w:rsidP="000C05C9">
          <w:pPr>
            <w:pStyle w:val="ProductList-OfferingBody"/>
            <w:tabs>
              <w:tab w:val="clear" w:pos="360"/>
              <w:tab w:val="clear" w:pos="720"/>
              <w:tab w:val="clear" w:pos="1080"/>
            </w:tabs>
            <w:ind w:left="-72" w:right="-75"/>
            <w:jc w:val="center"/>
            <w:rPr>
              <w:color w:val="808080" w:themeColor="background1" w:themeShade="80"/>
              <w:sz w:val="14"/>
              <w:szCs w:val="14"/>
            </w:rPr>
          </w:pPr>
          <w:hyperlink w:anchor="TermosGerais" w:history="1">
            <w:r w:rsidRPr="00E244C6">
              <w:rPr>
                <w:rStyle w:val="Hyperlink"/>
                <w:sz w:val="14"/>
                <w:szCs w:val="14"/>
              </w:rPr>
              <w:t>Termos Gerais</w:t>
            </w:r>
          </w:hyperlink>
        </w:p>
      </w:tc>
      <w:tc>
        <w:tcPr>
          <w:tcW w:w="272" w:type="dxa"/>
          <w:tcBorders>
            <w:top w:val="nil"/>
            <w:bottom w:val="nil"/>
          </w:tcBorders>
          <w:vAlign w:val="center"/>
        </w:tcPr>
        <w:p w14:paraId="2EA56682" w14:textId="77777777" w:rsidR="00380305" w:rsidRPr="00C76DF3" w:rsidRDefault="00380305" w:rsidP="000C05C9">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3D2DF61B" w:rsidR="00380305" w:rsidRPr="00C76DF3" w:rsidRDefault="00380305" w:rsidP="000C05C9">
          <w:pPr>
            <w:pStyle w:val="ProductList-OfferingBody"/>
            <w:tabs>
              <w:tab w:val="clear" w:pos="360"/>
              <w:tab w:val="clear" w:pos="720"/>
              <w:tab w:val="clear" w:pos="1080"/>
            </w:tabs>
            <w:ind w:left="-72" w:right="-77"/>
            <w:jc w:val="center"/>
            <w:rPr>
              <w:color w:val="808080" w:themeColor="background1" w:themeShade="80"/>
              <w:sz w:val="14"/>
              <w:szCs w:val="14"/>
            </w:rPr>
          </w:pPr>
          <w:hyperlink w:anchor="TermosEspecíficosdoServiço" w:history="1">
            <w:r w:rsidRPr="00E244C6">
              <w:rPr>
                <w:rStyle w:val="Hyperlink"/>
                <w:sz w:val="14"/>
                <w:szCs w:val="14"/>
              </w:rPr>
              <w:t>Termos Específicos do Serviço</w:t>
            </w:r>
          </w:hyperlink>
        </w:p>
      </w:tc>
      <w:tc>
        <w:tcPr>
          <w:tcW w:w="273" w:type="dxa"/>
          <w:tcBorders>
            <w:top w:val="nil"/>
            <w:bottom w:val="nil"/>
          </w:tcBorders>
          <w:vAlign w:val="center"/>
        </w:tcPr>
        <w:p w14:paraId="18D69201" w14:textId="77777777" w:rsidR="00380305" w:rsidRPr="00C76DF3" w:rsidRDefault="00380305" w:rsidP="000C05C9">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71964D46" w:rsidR="00380305" w:rsidRPr="00C76DF3" w:rsidRDefault="005814E2" w:rsidP="000C05C9">
          <w:pPr>
            <w:pStyle w:val="ProductList-OfferingBody"/>
            <w:tabs>
              <w:tab w:val="clear" w:pos="360"/>
              <w:tab w:val="clear" w:pos="720"/>
              <w:tab w:val="clear" w:pos="1080"/>
            </w:tabs>
            <w:ind w:left="-72" w:right="-76"/>
            <w:jc w:val="center"/>
            <w:rPr>
              <w:color w:val="808080" w:themeColor="background1" w:themeShade="80"/>
              <w:sz w:val="14"/>
              <w:szCs w:val="14"/>
            </w:rPr>
          </w:pPr>
          <w:hyperlink w:anchor="ApêndiceA" w:history="1">
            <w:r>
              <w:rPr>
                <w:rStyle w:val="Hyperlink"/>
                <w:sz w:val="14"/>
                <w:szCs w:val="14"/>
              </w:rPr>
              <w:t>Apêndices</w:t>
            </w:r>
          </w:hyperlink>
        </w:p>
      </w:tc>
    </w:tr>
  </w:tbl>
  <w:p w14:paraId="2F49D278" w14:textId="77777777" w:rsidR="00380305" w:rsidRDefault="00380305"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380305" w:rsidRPr="00C76DF3" w14:paraId="49EBE58A" w14:textId="77777777" w:rsidTr="00B5200C">
      <w:tc>
        <w:tcPr>
          <w:tcW w:w="1255" w:type="dxa"/>
          <w:shd w:val="clear" w:color="auto" w:fill="F2F2F2" w:themeFill="background1" w:themeFillShade="F2"/>
          <w:vAlign w:val="center"/>
        </w:tcPr>
        <w:p w14:paraId="102377D2" w14:textId="77777777" w:rsidR="00380305" w:rsidRPr="00C76DF3" w:rsidRDefault="00380305" w:rsidP="00370875">
          <w:pPr>
            <w:pStyle w:val="ProductList-OfferingBody"/>
            <w:ind w:left="-77" w:right="-73"/>
            <w:jc w:val="center"/>
            <w:rPr>
              <w:color w:val="808080" w:themeColor="background1" w:themeShade="80"/>
              <w:sz w:val="14"/>
              <w:szCs w:val="14"/>
            </w:rPr>
          </w:pPr>
          <w:hyperlink w:anchor="TableOfContents" w:history="1">
            <w:r>
              <w:rPr>
                <w:rStyle w:val="Hyperlink"/>
                <w:sz w:val="14"/>
                <w:szCs w:val="14"/>
              </w:rPr>
              <w:t>Índice</w:t>
            </w:r>
          </w:hyperlink>
        </w:p>
      </w:tc>
      <w:tc>
        <w:tcPr>
          <w:tcW w:w="181" w:type="dxa"/>
          <w:tcBorders>
            <w:top w:val="nil"/>
            <w:bottom w:val="nil"/>
          </w:tcBorders>
          <w:vAlign w:val="center"/>
        </w:tcPr>
        <w:p w14:paraId="3BB867E4" w14:textId="77777777" w:rsidR="00380305" w:rsidRPr="00C76DF3" w:rsidRDefault="00380305"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380305" w:rsidRPr="00C76DF3" w:rsidRDefault="00380305" w:rsidP="00370875">
          <w:pPr>
            <w:pStyle w:val="ProductList-OfferingBody"/>
            <w:ind w:left="-72" w:right="-74"/>
            <w:jc w:val="center"/>
            <w:rPr>
              <w:color w:val="808080" w:themeColor="background1" w:themeShade="80"/>
              <w:sz w:val="14"/>
              <w:szCs w:val="14"/>
            </w:rPr>
          </w:pPr>
          <w:hyperlink w:anchor="Introdução" w:history="1">
            <w:r>
              <w:rPr>
                <w:rStyle w:val="Hyperlink"/>
                <w:sz w:val="14"/>
                <w:szCs w:val="14"/>
              </w:rPr>
              <w:t>Introdução</w:t>
            </w:r>
          </w:hyperlink>
        </w:p>
      </w:tc>
      <w:tc>
        <w:tcPr>
          <w:tcW w:w="182" w:type="dxa"/>
          <w:tcBorders>
            <w:top w:val="nil"/>
            <w:bottom w:val="nil"/>
          </w:tcBorders>
          <w:vAlign w:val="center"/>
        </w:tcPr>
        <w:p w14:paraId="53D82520" w14:textId="77777777" w:rsidR="00380305" w:rsidRPr="00C76DF3" w:rsidRDefault="00380305"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380305" w:rsidRPr="00C76DF3" w:rsidRDefault="00380305"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Termos de Licenciamento</w:t>
            </w:r>
          </w:hyperlink>
        </w:p>
      </w:tc>
      <w:tc>
        <w:tcPr>
          <w:tcW w:w="183" w:type="dxa"/>
          <w:tcBorders>
            <w:top w:val="nil"/>
            <w:bottom w:val="nil"/>
          </w:tcBorders>
          <w:vAlign w:val="center"/>
        </w:tcPr>
        <w:p w14:paraId="1125AF40" w14:textId="77777777" w:rsidR="00380305" w:rsidRPr="00C76DF3" w:rsidRDefault="00380305"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380305" w:rsidRPr="00C76DF3" w:rsidRDefault="00380305" w:rsidP="00370875">
          <w:pPr>
            <w:pStyle w:val="ProductList-OfferingBody"/>
            <w:ind w:left="-72" w:right="-77"/>
            <w:jc w:val="center"/>
            <w:rPr>
              <w:color w:val="808080" w:themeColor="background1" w:themeShade="80"/>
              <w:sz w:val="14"/>
              <w:szCs w:val="14"/>
            </w:rPr>
          </w:pPr>
          <w:hyperlink w:anchor="Software" w:history="1">
            <w:r>
              <w:rPr>
                <w:rStyle w:val="Hyperlink"/>
                <w:sz w:val="14"/>
                <w:szCs w:val="14"/>
              </w:rPr>
              <w:t>Software</w:t>
            </w:r>
          </w:hyperlink>
        </w:p>
      </w:tc>
      <w:tc>
        <w:tcPr>
          <w:tcW w:w="185" w:type="dxa"/>
          <w:tcBorders>
            <w:top w:val="nil"/>
            <w:bottom w:val="nil"/>
          </w:tcBorders>
          <w:vAlign w:val="center"/>
        </w:tcPr>
        <w:p w14:paraId="1E5F93B5" w14:textId="77777777" w:rsidR="00380305" w:rsidRPr="00C76DF3" w:rsidRDefault="00380305"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380305" w:rsidRPr="00C76DF3" w:rsidRDefault="00380305" w:rsidP="000506C5">
          <w:pPr>
            <w:pStyle w:val="ProductList-OfferingBody"/>
            <w:ind w:left="-72" w:right="-77"/>
            <w:jc w:val="center"/>
            <w:rPr>
              <w:color w:val="808080" w:themeColor="background1" w:themeShade="80"/>
              <w:sz w:val="14"/>
              <w:szCs w:val="14"/>
            </w:rPr>
          </w:pPr>
          <w:hyperlink w:anchor="OnlineServices" w:history="1">
            <w:r>
              <w:rPr>
                <w:rStyle w:val="Hyperlink"/>
                <w:sz w:val="14"/>
                <w:szCs w:val="14"/>
              </w:rPr>
              <w:t>Serviços Online</w:t>
            </w:r>
          </w:hyperlink>
        </w:p>
      </w:tc>
      <w:tc>
        <w:tcPr>
          <w:tcW w:w="180" w:type="dxa"/>
          <w:tcBorders>
            <w:top w:val="nil"/>
            <w:bottom w:val="nil"/>
          </w:tcBorders>
        </w:tcPr>
        <w:p w14:paraId="774E3CA7" w14:textId="77777777" w:rsidR="00380305" w:rsidRPr="00C76DF3" w:rsidRDefault="00380305"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380305" w:rsidRPr="00C76DF3" w:rsidRDefault="00380305"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Glossário" w:history="1">
              <w:r>
                <w:rPr>
                  <w:rStyle w:val="Hyperlink"/>
                  <w:sz w:val="14"/>
                  <w:szCs w:val="14"/>
                </w:rPr>
                <w:t>Glossário</w:t>
              </w:r>
            </w:hyperlink>
          </w:hyperlink>
          <w:hyperlink w:anchor="Serviços" w:history="1">
            <w:r>
              <w:rPr>
                <w:rStyle w:val="Hyperlink"/>
                <w:sz w:val="22"/>
              </w:rPr>
              <w:t>Serviços</w:t>
            </w:r>
          </w:hyperlink>
        </w:p>
      </w:tc>
      <w:tc>
        <w:tcPr>
          <w:tcW w:w="270" w:type="dxa"/>
          <w:tcBorders>
            <w:top w:val="nil"/>
            <w:bottom w:val="nil"/>
          </w:tcBorders>
          <w:vAlign w:val="center"/>
        </w:tcPr>
        <w:p w14:paraId="5133B465" w14:textId="77777777" w:rsidR="00380305" w:rsidRPr="00C76DF3" w:rsidRDefault="00380305"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380305" w:rsidRPr="00C76DF3" w:rsidRDefault="00380305" w:rsidP="00370875">
          <w:pPr>
            <w:pStyle w:val="ProductList-OfferingBody"/>
            <w:ind w:left="-72" w:right="-76"/>
            <w:jc w:val="center"/>
            <w:rPr>
              <w:color w:val="808080" w:themeColor="background1" w:themeShade="80"/>
              <w:sz w:val="14"/>
              <w:szCs w:val="14"/>
            </w:rPr>
          </w:pPr>
          <w:hyperlink w:anchor="AppendixA" w:history="1">
            <w:r>
              <w:rPr>
                <w:rStyle w:val="Hyperlink"/>
                <w:sz w:val="14"/>
                <w:szCs w:val="14"/>
              </w:rPr>
              <w:t>Apêndices</w:t>
            </w:r>
          </w:hyperlink>
        </w:p>
      </w:tc>
      <w:tc>
        <w:tcPr>
          <w:tcW w:w="184" w:type="dxa"/>
          <w:tcBorders>
            <w:top w:val="nil"/>
            <w:bottom w:val="nil"/>
          </w:tcBorders>
          <w:vAlign w:val="center"/>
        </w:tcPr>
        <w:p w14:paraId="54B478A3" w14:textId="77777777" w:rsidR="00380305" w:rsidRPr="00C76DF3" w:rsidRDefault="00380305"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380305" w:rsidRPr="00C76DF3" w:rsidRDefault="00380305" w:rsidP="00370875">
          <w:pPr>
            <w:pStyle w:val="ProductList-OfferingBody"/>
            <w:ind w:left="-72" w:right="-74"/>
            <w:jc w:val="center"/>
            <w:rPr>
              <w:color w:val="808080" w:themeColor="background1" w:themeShade="80"/>
              <w:sz w:val="14"/>
              <w:szCs w:val="14"/>
            </w:rPr>
          </w:pPr>
          <w:hyperlink w:anchor="Índice remissivo" w:history="1">
            <w:r>
              <w:rPr>
                <w:rStyle w:val="Hyperlink"/>
                <w:sz w:val="14"/>
                <w:szCs w:val="14"/>
              </w:rPr>
              <w:t>Índice remissivo</w:t>
            </w:r>
          </w:hyperlink>
        </w:p>
      </w:tc>
    </w:tr>
  </w:tbl>
  <w:p w14:paraId="79D1A8DC" w14:textId="77777777" w:rsidR="00380305" w:rsidRDefault="00380305"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44C6" w:rsidRPr="00C76DF3" w14:paraId="01188D70" w14:textId="77777777" w:rsidTr="00E244C6">
      <w:tc>
        <w:tcPr>
          <w:tcW w:w="1975" w:type="dxa"/>
          <w:shd w:val="clear" w:color="auto" w:fill="F2F2F2"/>
          <w:vAlign w:val="center"/>
        </w:tcPr>
        <w:p w14:paraId="25FD500D" w14:textId="77777777" w:rsidR="00E244C6" w:rsidRPr="00C76DF3" w:rsidRDefault="00E244C6" w:rsidP="00E244C6">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Pr>
                <w:rStyle w:val="Hyperlink"/>
                <w:sz w:val="14"/>
                <w:szCs w:val="14"/>
              </w:rPr>
              <w:t>Índice</w:t>
            </w:r>
          </w:hyperlink>
        </w:p>
      </w:tc>
      <w:tc>
        <w:tcPr>
          <w:tcW w:w="270" w:type="dxa"/>
          <w:tcBorders>
            <w:top w:val="nil"/>
            <w:bottom w:val="nil"/>
          </w:tcBorders>
          <w:vAlign w:val="center"/>
        </w:tcPr>
        <w:p w14:paraId="01F4CB7B" w14:textId="77777777" w:rsidR="00E244C6" w:rsidRPr="00C76DF3" w:rsidRDefault="00E244C6" w:rsidP="00E244C6">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vAlign w:val="center"/>
        </w:tcPr>
        <w:p w14:paraId="272EEF79" w14:textId="77777777" w:rsidR="00E244C6" w:rsidRPr="00C76DF3" w:rsidRDefault="00E244C6" w:rsidP="00E244C6">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ção" w:history="1">
            <w:r w:rsidRPr="00E244C6">
              <w:rPr>
                <w:rStyle w:val="Hyperlink"/>
                <w:sz w:val="14"/>
                <w:szCs w:val="14"/>
              </w:rPr>
              <w:t>Introdução</w:t>
            </w:r>
          </w:hyperlink>
        </w:p>
      </w:tc>
      <w:tc>
        <w:tcPr>
          <w:tcW w:w="271" w:type="dxa"/>
          <w:tcBorders>
            <w:top w:val="nil"/>
            <w:bottom w:val="nil"/>
          </w:tcBorders>
          <w:vAlign w:val="center"/>
        </w:tcPr>
        <w:p w14:paraId="4EA5BADE" w14:textId="77777777" w:rsidR="00E244C6" w:rsidRPr="00C76DF3" w:rsidRDefault="00E244C6" w:rsidP="00E244C6">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6FEB32F" w14:textId="77777777" w:rsidR="00E244C6" w:rsidRPr="00C76DF3" w:rsidRDefault="00E244C6" w:rsidP="00E244C6">
          <w:pPr>
            <w:pStyle w:val="ProductList-OfferingBody"/>
            <w:tabs>
              <w:tab w:val="clear" w:pos="360"/>
              <w:tab w:val="clear" w:pos="720"/>
              <w:tab w:val="clear" w:pos="1080"/>
            </w:tabs>
            <w:ind w:left="-72" w:right="-75"/>
            <w:jc w:val="center"/>
            <w:rPr>
              <w:color w:val="808080" w:themeColor="background1" w:themeShade="80"/>
              <w:sz w:val="14"/>
              <w:szCs w:val="14"/>
            </w:rPr>
          </w:pPr>
          <w:hyperlink w:anchor="TermosGerais" w:history="1">
            <w:r w:rsidRPr="00E244C6">
              <w:rPr>
                <w:rStyle w:val="Hyperlink"/>
                <w:sz w:val="14"/>
                <w:szCs w:val="14"/>
              </w:rPr>
              <w:t>Termos Gerais</w:t>
            </w:r>
          </w:hyperlink>
        </w:p>
      </w:tc>
      <w:tc>
        <w:tcPr>
          <w:tcW w:w="272" w:type="dxa"/>
          <w:tcBorders>
            <w:top w:val="nil"/>
            <w:bottom w:val="nil"/>
          </w:tcBorders>
          <w:vAlign w:val="center"/>
        </w:tcPr>
        <w:p w14:paraId="342CF86D" w14:textId="77777777" w:rsidR="00E244C6" w:rsidRPr="00C76DF3" w:rsidRDefault="00E244C6" w:rsidP="00E244C6">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C434C15" w14:textId="77777777" w:rsidR="00E244C6" w:rsidRPr="00C76DF3" w:rsidRDefault="00E244C6" w:rsidP="00E244C6">
          <w:pPr>
            <w:pStyle w:val="ProductList-OfferingBody"/>
            <w:tabs>
              <w:tab w:val="clear" w:pos="360"/>
              <w:tab w:val="clear" w:pos="720"/>
              <w:tab w:val="clear" w:pos="1080"/>
            </w:tabs>
            <w:ind w:left="-72" w:right="-77"/>
            <w:jc w:val="center"/>
            <w:rPr>
              <w:color w:val="808080" w:themeColor="background1" w:themeShade="80"/>
              <w:sz w:val="14"/>
              <w:szCs w:val="14"/>
            </w:rPr>
          </w:pPr>
          <w:hyperlink w:anchor="TermosEspecíficosdoServiço" w:history="1">
            <w:r w:rsidRPr="00E244C6">
              <w:rPr>
                <w:rStyle w:val="Hyperlink"/>
                <w:sz w:val="14"/>
                <w:szCs w:val="14"/>
              </w:rPr>
              <w:t>Termos Específicos do Serviço</w:t>
            </w:r>
          </w:hyperlink>
        </w:p>
      </w:tc>
      <w:tc>
        <w:tcPr>
          <w:tcW w:w="273" w:type="dxa"/>
          <w:tcBorders>
            <w:top w:val="nil"/>
            <w:bottom w:val="nil"/>
          </w:tcBorders>
          <w:vAlign w:val="center"/>
        </w:tcPr>
        <w:p w14:paraId="7CCA9D56" w14:textId="77777777" w:rsidR="00E244C6" w:rsidRPr="00C76DF3" w:rsidRDefault="00E244C6" w:rsidP="00E244C6">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0402F909" w14:textId="1775EE61" w:rsidR="00E244C6" w:rsidRPr="00C76DF3" w:rsidRDefault="005814E2" w:rsidP="00E244C6">
          <w:pPr>
            <w:pStyle w:val="ProductList-OfferingBody"/>
            <w:tabs>
              <w:tab w:val="clear" w:pos="360"/>
              <w:tab w:val="clear" w:pos="720"/>
              <w:tab w:val="clear" w:pos="1080"/>
            </w:tabs>
            <w:ind w:left="-72" w:right="-76"/>
            <w:jc w:val="center"/>
            <w:rPr>
              <w:color w:val="808080" w:themeColor="background1" w:themeShade="80"/>
              <w:sz w:val="14"/>
              <w:szCs w:val="14"/>
            </w:rPr>
          </w:pPr>
          <w:hyperlink w:anchor="ApêndiceA" w:history="1">
            <w:r>
              <w:rPr>
                <w:rStyle w:val="Hyperlink"/>
                <w:sz w:val="14"/>
                <w:szCs w:val="14"/>
              </w:rPr>
              <w:t>Apêndices</w:t>
            </w:r>
          </w:hyperlink>
        </w:p>
      </w:tc>
    </w:tr>
  </w:tbl>
  <w:p w14:paraId="25F6B9E3" w14:textId="77777777" w:rsidR="00E244C6" w:rsidRPr="007D49D9" w:rsidRDefault="00E244C6" w:rsidP="00E244C6">
    <w:pPr>
      <w:pStyle w:val="ProductList-Body"/>
      <w:rPr>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44C6" w:rsidRPr="00C76DF3" w14:paraId="137C7427" w14:textId="77777777" w:rsidTr="00674FD5">
      <w:tc>
        <w:tcPr>
          <w:tcW w:w="1975" w:type="dxa"/>
          <w:shd w:val="clear" w:color="auto" w:fill="F2F2F2"/>
          <w:vAlign w:val="center"/>
        </w:tcPr>
        <w:p w14:paraId="621C83A9" w14:textId="77777777" w:rsidR="00E244C6" w:rsidRPr="00C76DF3" w:rsidRDefault="00E244C6" w:rsidP="00E244C6">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Pr>
                <w:rStyle w:val="Hyperlink"/>
                <w:sz w:val="14"/>
                <w:szCs w:val="14"/>
              </w:rPr>
              <w:t>Índice</w:t>
            </w:r>
          </w:hyperlink>
        </w:p>
      </w:tc>
      <w:tc>
        <w:tcPr>
          <w:tcW w:w="270" w:type="dxa"/>
          <w:tcBorders>
            <w:top w:val="nil"/>
            <w:bottom w:val="nil"/>
          </w:tcBorders>
          <w:vAlign w:val="center"/>
        </w:tcPr>
        <w:p w14:paraId="7AF3E20E" w14:textId="77777777" w:rsidR="00E244C6" w:rsidRPr="00C76DF3" w:rsidRDefault="00E244C6" w:rsidP="00E244C6">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vAlign w:val="center"/>
        </w:tcPr>
        <w:p w14:paraId="793426FF" w14:textId="77777777" w:rsidR="00E244C6" w:rsidRPr="00C76DF3" w:rsidRDefault="00E244C6" w:rsidP="00E244C6">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ção" w:history="1">
            <w:r w:rsidRPr="00E244C6">
              <w:rPr>
                <w:rStyle w:val="Hyperlink"/>
                <w:sz w:val="14"/>
                <w:szCs w:val="14"/>
              </w:rPr>
              <w:t>Introdução</w:t>
            </w:r>
          </w:hyperlink>
        </w:p>
      </w:tc>
      <w:tc>
        <w:tcPr>
          <w:tcW w:w="271" w:type="dxa"/>
          <w:tcBorders>
            <w:top w:val="nil"/>
            <w:bottom w:val="nil"/>
          </w:tcBorders>
          <w:vAlign w:val="center"/>
        </w:tcPr>
        <w:p w14:paraId="60C904D6" w14:textId="77777777" w:rsidR="00E244C6" w:rsidRPr="00C76DF3" w:rsidRDefault="00E244C6" w:rsidP="00E244C6">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vAlign w:val="center"/>
        </w:tcPr>
        <w:p w14:paraId="1ACB7DDB" w14:textId="77777777" w:rsidR="00E244C6" w:rsidRPr="00C76DF3" w:rsidRDefault="00E244C6" w:rsidP="00E244C6">
          <w:pPr>
            <w:pStyle w:val="ProductList-OfferingBody"/>
            <w:tabs>
              <w:tab w:val="clear" w:pos="360"/>
              <w:tab w:val="clear" w:pos="720"/>
              <w:tab w:val="clear" w:pos="1080"/>
            </w:tabs>
            <w:ind w:left="-72" w:right="-75"/>
            <w:jc w:val="center"/>
            <w:rPr>
              <w:color w:val="808080" w:themeColor="background1" w:themeShade="80"/>
              <w:sz w:val="14"/>
              <w:szCs w:val="14"/>
            </w:rPr>
          </w:pPr>
          <w:hyperlink w:anchor="TermosGerais" w:history="1">
            <w:r w:rsidRPr="00E244C6">
              <w:rPr>
                <w:rStyle w:val="Hyperlink"/>
                <w:sz w:val="14"/>
                <w:szCs w:val="14"/>
              </w:rPr>
              <w:t>Termos Gerais</w:t>
            </w:r>
          </w:hyperlink>
        </w:p>
      </w:tc>
      <w:tc>
        <w:tcPr>
          <w:tcW w:w="272" w:type="dxa"/>
          <w:tcBorders>
            <w:top w:val="nil"/>
            <w:bottom w:val="nil"/>
          </w:tcBorders>
          <w:vAlign w:val="center"/>
        </w:tcPr>
        <w:p w14:paraId="0BA7F48E" w14:textId="77777777" w:rsidR="00E244C6" w:rsidRPr="00C76DF3" w:rsidRDefault="00E244C6" w:rsidP="00E244C6">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vAlign w:val="center"/>
        </w:tcPr>
        <w:p w14:paraId="455DB5B1" w14:textId="77777777" w:rsidR="00E244C6" w:rsidRPr="00C76DF3" w:rsidRDefault="00E244C6" w:rsidP="00E244C6">
          <w:pPr>
            <w:pStyle w:val="ProductList-OfferingBody"/>
            <w:tabs>
              <w:tab w:val="clear" w:pos="360"/>
              <w:tab w:val="clear" w:pos="720"/>
              <w:tab w:val="clear" w:pos="1080"/>
            </w:tabs>
            <w:ind w:left="-72" w:right="-77"/>
            <w:jc w:val="center"/>
            <w:rPr>
              <w:color w:val="808080" w:themeColor="background1" w:themeShade="80"/>
              <w:sz w:val="14"/>
              <w:szCs w:val="14"/>
            </w:rPr>
          </w:pPr>
          <w:hyperlink w:anchor="TermosEspecíficosdoServiço" w:history="1">
            <w:r w:rsidRPr="00E244C6">
              <w:rPr>
                <w:rStyle w:val="Hyperlink"/>
                <w:sz w:val="14"/>
                <w:szCs w:val="14"/>
              </w:rPr>
              <w:t>Termos Específicos do Serviço</w:t>
            </w:r>
          </w:hyperlink>
        </w:p>
      </w:tc>
      <w:tc>
        <w:tcPr>
          <w:tcW w:w="273" w:type="dxa"/>
          <w:tcBorders>
            <w:top w:val="nil"/>
            <w:bottom w:val="nil"/>
          </w:tcBorders>
          <w:vAlign w:val="center"/>
        </w:tcPr>
        <w:p w14:paraId="3710136E" w14:textId="77777777" w:rsidR="00E244C6" w:rsidRPr="00C76DF3" w:rsidRDefault="00E244C6" w:rsidP="00E244C6">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vAlign w:val="center"/>
        </w:tcPr>
        <w:p w14:paraId="7EC62B6A" w14:textId="294433CC" w:rsidR="00E244C6" w:rsidRPr="00C76DF3" w:rsidRDefault="005814E2" w:rsidP="00E244C6">
          <w:pPr>
            <w:pStyle w:val="ProductList-OfferingBody"/>
            <w:tabs>
              <w:tab w:val="clear" w:pos="360"/>
              <w:tab w:val="clear" w:pos="720"/>
              <w:tab w:val="clear" w:pos="1080"/>
            </w:tabs>
            <w:ind w:left="-72" w:right="-76"/>
            <w:jc w:val="center"/>
            <w:rPr>
              <w:color w:val="808080" w:themeColor="background1" w:themeShade="80"/>
              <w:sz w:val="14"/>
              <w:szCs w:val="14"/>
            </w:rPr>
          </w:pPr>
          <w:hyperlink w:anchor="ApêndiceA" w:history="1">
            <w:r>
              <w:rPr>
                <w:rStyle w:val="Hyperlink"/>
                <w:sz w:val="14"/>
                <w:szCs w:val="14"/>
              </w:rPr>
              <w:t>Apêndices</w:t>
            </w:r>
          </w:hyperlink>
        </w:p>
      </w:tc>
    </w:tr>
  </w:tbl>
  <w:p w14:paraId="2880AC59" w14:textId="77777777" w:rsidR="00E244C6" w:rsidRPr="007D49D9" w:rsidRDefault="00E244C6" w:rsidP="00E244C6">
    <w:pPr>
      <w:pStyle w:val="ProductList-Body"/>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92BAF" w14:textId="77777777" w:rsidR="00B42878" w:rsidRDefault="00B42878" w:rsidP="009A573F">
      <w:pPr>
        <w:spacing w:after="0" w:line="240" w:lineRule="auto"/>
      </w:pPr>
      <w:r>
        <w:separator/>
      </w:r>
    </w:p>
    <w:p w14:paraId="1A4DA8AD" w14:textId="77777777" w:rsidR="00B42878" w:rsidRDefault="00B42878"/>
    <w:p w14:paraId="304CAEFE" w14:textId="77777777" w:rsidR="00B42878" w:rsidRDefault="00B42878"/>
    <w:p w14:paraId="08E21E51" w14:textId="77777777" w:rsidR="00B42878" w:rsidRDefault="00B42878"/>
    <w:p w14:paraId="65B1CD4F" w14:textId="77777777" w:rsidR="00B42878" w:rsidRDefault="00B42878"/>
  </w:footnote>
  <w:footnote w:type="continuationSeparator" w:id="0">
    <w:p w14:paraId="306DFF4D" w14:textId="77777777" w:rsidR="00B42878" w:rsidRDefault="00B42878" w:rsidP="009A573F">
      <w:pPr>
        <w:spacing w:after="0" w:line="240" w:lineRule="auto"/>
      </w:pPr>
      <w:r>
        <w:continuationSeparator/>
      </w:r>
    </w:p>
    <w:p w14:paraId="06E80086" w14:textId="77777777" w:rsidR="00B42878" w:rsidRDefault="00B42878"/>
    <w:p w14:paraId="0D68B61A" w14:textId="77777777" w:rsidR="00B42878" w:rsidRDefault="00B42878"/>
    <w:p w14:paraId="051EB760" w14:textId="77777777" w:rsidR="00B42878" w:rsidRDefault="00B42878"/>
    <w:p w14:paraId="066D8CA2" w14:textId="77777777" w:rsidR="00B42878" w:rsidRDefault="00B42878"/>
  </w:footnote>
  <w:footnote w:type="continuationNotice" w:id="1">
    <w:p w14:paraId="56FD0F6D" w14:textId="77777777" w:rsidR="00B42878" w:rsidRDefault="00B42878">
      <w:pPr>
        <w:spacing w:after="0" w:line="240" w:lineRule="auto"/>
      </w:pPr>
    </w:p>
    <w:p w14:paraId="4545A595" w14:textId="77777777" w:rsidR="00B42878" w:rsidRDefault="00B42878"/>
    <w:p w14:paraId="1BEE2EEE" w14:textId="77777777" w:rsidR="00B42878" w:rsidRDefault="00B42878"/>
    <w:p w14:paraId="1B8B2639" w14:textId="77777777" w:rsidR="00B42878" w:rsidRDefault="00B42878"/>
    <w:p w14:paraId="4446104E" w14:textId="77777777" w:rsidR="00B42878" w:rsidRDefault="00B428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0C2E781D" w:rsidR="00380305"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380305">
          <w:rPr>
            <w:sz w:val="16"/>
            <w:szCs w:val="16"/>
          </w:rPr>
          <w:t xml:space="preserve">Contrato de Nível de Serviço com Licenciamento em Volume da Microsoft para Serviços Online da Microsoft (Português de Portugal, </w:t>
        </w:r>
        <w:r w:rsidR="00C040A1">
          <w:rPr>
            <w:rFonts w:ascii="Calibri" w:hAnsi="Calibri" w:cs="Calibri"/>
            <w:sz w:val="16"/>
            <w:szCs w:val="16"/>
          </w:rPr>
          <w:t xml:space="preserve">1 de setembro </w:t>
        </w:r>
        <w:r w:rsidR="00E90DFF">
          <w:rPr>
            <w:rFonts w:ascii="Calibri" w:hAnsi="Calibri" w:cs="Calibri"/>
            <w:sz w:val="16"/>
            <w:szCs w:val="16"/>
          </w:rPr>
          <w:t xml:space="preserve">de </w:t>
        </w:r>
        <w:r w:rsidR="00DF12EB">
          <w:rPr>
            <w:rFonts w:ascii="Calibri" w:hAnsi="Calibri" w:cs="Calibri"/>
            <w:sz w:val="16"/>
            <w:szCs w:val="16"/>
          </w:rPr>
          <w:t>202</w:t>
        </w:r>
        <w:r w:rsidR="009027CF">
          <w:rPr>
            <w:rFonts w:ascii="Calibri" w:hAnsi="Calibri" w:cs="Calibri"/>
            <w:sz w:val="16"/>
            <w:szCs w:val="16"/>
          </w:rPr>
          <w:t>6</w:t>
        </w:r>
        <w:r w:rsidR="00380305">
          <w:rPr>
            <w:sz w:val="16"/>
            <w:szCs w:val="16"/>
          </w:rPr>
          <w:t>)</w:t>
        </w:r>
        <w:r w:rsidR="00380305">
          <w:rPr>
            <w:sz w:val="16"/>
            <w:szCs w:val="16"/>
          </w:rPr>
          <w:tab/>
        </w:r>
        <w:r w:rsidR="00380305">
          <w:rPr>
            <w:sz w:val="16"/>
            <w:szCs w:val="16"/>
          </w:rPr>
          <w:fldChar w:fldCharType="begin"/>
        </w:r>
        <w:r w:rsidR="00380305" w:rsidRPr="00A247F3">
          <w:rPr>
            <w:sz w:val="16"/>
            <w:szCs w:val="16"/>
          </w:rPr>
          <w:instrText xml:space="preserve"> PAGE </w:instrText>
        </w:r>
        <w:r w:rsidR="00380305">
          <w:rPr>
            <w:sz w:val="16"/>
            <w:szCs w:val="16"/>
          </w:rPr>
          <w:fldChar w:fldCharType="separate"/>
        </w:r>
        <w:r w:rsidR="007946AC">
          <w:rPr>
            <w:noProof/>
            <w:sz w:val="16"/>
            <w:szCs w:val="16"/>
          </w:rPr>
          <w:t>10</w:t>
        </w:r>
        <w:r w:rsidR="00380305">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15C8E2BD" w:rsidR="00380305"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380305">
          <w:rPr>
            <w:sz w:val="16"/>
            <w:szCs w:val="16"/>
          </w:rPr>
          <w:t xml:space="preserve">Contrato de Nível de Serviço com Licenciamento em Volume da Microsoft para Serviços Online da Microsoft (Português de Portugal, </w:t>
        </w:r>
        <w:r w:rsidR="00C040A1">
          <w:rPr>
            <w:rFonts w:ascii="Calibri" w:hAnsi="Calibri" w:cs="Calibri"/>
            <w:sz w:val="16"/>
            <w:szCs w:val="16"/>
          </w:rPr>
          <w:t xml:space="preserve">1 de setembro </w:t>
        </w:r>
        <w:r w:rsidR="00E90DFF">
          <w:rPr>
            <w:rFonts w:ascii="Calibri" w:hAnsi="Calibri" w:cs="Calibri"/>
            <w:sz w:val="16"/>
            <w:szCs w:val="16"/>
          </w:rPr>
          <w:t xml:space="preserve">de </w:t>
        </w:r>
        <w:r w:rsidR="00DF12EB">
          <w:rPr>
            <w:rFonts w:ascii="Calibri" w:hAnsi="Calibri" w:cs="Calibri"/>
            <w:sz w:val="16"/>
            <w:szCs w:val="16"/>
          </w:rPr>
          <w:t>202</w:t>
        </w:r>
        <w:r w:rsidR="009027CF">
          <w:rPr>
            <w:rFonts w:ascii="Calibri" w:hAnsi="Calibri" w:cs="Calibri"/>
            <w:sz w:val="16"/>
            <w:szCs w:val="16"/>
          </w:rPr>
          <w:t>6</w:t>
        </w:r>
        <w:r w:rsidR="00380305">
          <w:rPr>
            <w:sz w:val="16"/>
            <w:szCs w:val="16"/>
          </w:rPr>
          <w:t>)</w:t>
        </w:r>
        <w:r w:rsidR="00380305">
          <w:rPr>
            <w:sz w:val="16"/>
            <w:szCs w:val="16"/>
          </w:rPr>
          <w:tab/>
        </w:r>
        <w:r w:rsidR="00380305">
          <w:rPr>
            <w:sz w:val="16"/>
            <w:szCs w:val="16"/>
          </w:rPr>
          <w:fldChar w:fldCharType="begin"/>
        </w:r>
        <w:r w:rsidR="00380305" w:rsidRPr="00A247F3">
          <w:rPr>
            <w:sz w:val="16"/>
            <w:szCs w:val="16"/>
          </w:rPr>
          <w:instrText xml:space="preserve"> PAGE </w:instrText>
        </w:r>
        <w:r w:rsidR="00380305">
          <w:rPr>
            <w:sz w:val="16"/>
            <w:szCs w:val="16"/>
          </w:rPr>
          <w:fldChar w:fldCharType="separate"/>
        </w:r>
        <w:r w:rsidR="007946AC">
          <w:rPr>
            <w:noProof/>
            <w:sz w:val="16"/>
            <w:szCs w:val="16"/>
          </w:rPr>
          <w:t>2</w:t>
        </w:r>
        <w:r w:rsidR="00380305">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898C453A">
      <w:start w:val="1"/>
      <w:numFmt w:val="bullet"/>
      <w:lvlText w:val=""/>
      <w:lvlJc w:val="left"/>
      <w:pPr>
        <w:ind w:left="720" w:hanging="360"/>
      </w:pPr>
      <w:rPr>
        <w:rFonts w:ascii="Symbol" w:hAnsi="Symbol" w:hint="default"/>
      </w:rPr>
    </w:lvl>
    <w:lvl w:ilvl="1" w:tplc="165C3F84" w:tentative="1">
      <w:start w:val="1"/>
      <w:numFmt w:val="bullet"/>
      <w:lvlText w:val="o"/>
      <w:lvlJc w:val="left"/>
      <w:pPr>
        <w:ind w:left="1440" w:hanging="360"/>
      </w:pPr>
      <w:rPr>
        <w:rFonts w:ascii="Courier New" w:hAnsi="Courier New" w:cs="Courier New" w:hint="default"/>
      </w:rPr>
    </w:lvl>
    <w:lvl w:ilvl="2" w:tplc="24C021B2" w:tentative="1">
      <w:start w:val="1"/>
      <w:numFmt w:val="bullet"/>
      <w:lvlText w:val=""/>
      <w:lvlJc w:val="left"/>
      <w:pPr>
        <w:ind w:left="2160" w:hanging="360"/>
      </w:pPr>
      <w:rPr>
        <w:rFonts w:ascii="Wingdings" w:hAnsi="Wingdings" w:hint="default"/>
      </w:rPr>
    </w:lvl>
    <w:lvl w:ilvl="3" w:tplc="F006BB6C" w:tentative="1">
      <w:start w:val="1"/>
      <w:numFmt w:val="bullet"/>
      <w:lvlText w:val=""/>
      <w:lvlJc w:val="left"/>
      <w:pPr>
        <w:ind w:left="2880" w:hanging="360"/>
      </w:pPr>
      <w:rPr>
        <w:rFonts w:ascii="Symbol" w:hAnsi="Symbol" w:hint="default"/>
      </w:rPr>
    </w:lvl>
    <w:lvl w:ilvl="4" w:tplc="92F682C0" w:tentative="1">
      <w:start w:val="1"/>
      <w:numFmt w:val="bullet"/>
      <w:lvlText w:val="o"/>
      <w:lvlJc w:val="left"/>
      <w:pPr>
        <w:ind w:left="3600" w:hanging="360"/>
      </w:pPr>
      <w:rPr>
        <w:rFonts w:ascii="Courier New" w:hAnsi="Courier New" w:cs="Courier New" w:hint="default"/>
      </w:rPr>
    </w:lvl>
    <w:lvl w:ilvl="5" w:tplc="6FD83E42" w:tentative="1">
      <w:start w:val="1"/>
      <w:numFmt w:val="bullet"/>
      <w:lvlText w:val=""/>
      <w:lvlJc w:val="left"/>
      <w:pPr>
        <w:ind w:left="4320" w:hanging="360"/>
      </w:pPr>
      <w:rPr>
        <w:rFonts w:ascii="Wingdings" w:hAnsi="Wingdings" w:hint="default"/>
      </w:rPr>
    </w:lvl>
    <w:lvl w:ilvl="6" w:tplc="BAE42BC0" w:tentative="1">
      <w:start w:val="1"/>
      <w:numFmt w:val="bullet"/>
      <w:lvlText w:val=""/>
      <w:lvlJc w:val="left"/>
      <w:pPr>
        <w:ind w:left="5040" w:hanging="360"/>
      </w:pPr>
      <w:rPr>
        <w:rFonts w:ascii="Symbol" w:hAnsi="Symbol" w:hint="default"/>
      </w:rPr>
    </w:lvl>
    <w:lvl w:ilvl="7" w:tplc="ABA0AB04" w:tentative="1">
      <w:start w:val="1"/>
      <w:numFmt w:val="bullet"/>
      <w:lvlText w:val="o"/>
      <w:lvlJc w:val="left"/>
      <w:pPr>
        <w:ind w:left="5760" w:hanging="360"/>
      </w:pPr>
      <w:rPr>
        <w:rFonts w:ascii="Courier New" w:hAnsi="Courier New" w:cs="Courier New" w:hint="default"/>
      </w:rPr>
    </w:lvl>
    <w:lvl w:ilvl="8" w:tplc="41DE5C62"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0548D5C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19"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4"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586245"/>
    <w:multiLevelType w:val="hybridMultilevel"/>
    <w:tmpl w:val="87B6B078"/>
    <w:lvl w:ilvl="0" w:tplc="B1E66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3"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9"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0748619">
    <w:abstractNumId w:val="37"/>
  </w:num>
  <w:num w:numId="2" w16cid:durableId="676343050">
    <w:abstractNumId w:val="21"/>
  </w:num>
  <w:num w:numId="3" w16cid:durableId="2083674415">
    <w:abstractNumId w:val="11"/>
  </w:num>
  <w:num w:numId="4" w16cid:durableId="1914269571">
    <w:abstractNumId w:val="30"/>
  </w:num>
  <w:num w:numId="5" w16cid:durableId="906037492">
    <w:abstractNumId w:val="27"/>
  </w:num>
  <w:num w:numId="6" w16cid:durableId="1811287243">
    <w:abstractNumId w:val="19"/>
  </w:num>
  <w:num w:numId="7" w16cid:durableId="1474054354">
    <w:abstractNumId w:val="33"/>
  </w:num>
  <w:num w:numId="8" w16cid:durableId="1356925131">
    <w:abstractNumId w:val="20"/>
  </w:num>
  <w:num w:numId="9" w16cid:durableId="557277237">
    <w:abstractNumId w:val="34"/>
  </w:num>
  <w:num w:numId="10" w16cid:durableId="1397781744">
    <w:abstractNumId w:val="3"/>
  </w:num>
  <w:num w:numId="11" w16cid:durableId="624628384">
    <w:abstractNumId w:val="7"/>
  </w:num>
  <w:num w:numId="12" w16cid:durableId="1203635">
    <w:abstractNumId w:val="17"/>
  </w:num>
  <w:num w:numId="13" w16cid:durableId="1898273707">
    <w:abstractNumId w:val="31"/>
  </w:num>
  <w:num w:numId="14" w16cid:durableId="775716256">
    <w:abstractNumId w:val="1"/>
  </w:num>
  <w:num w:numId="15" w16cid:durableId="297148162">
    <w:abstractNumId w:val="14"/>
  </w:num>
  <w:num w:numId="16" w16cid:durableId="799112112">
    <w:abstractNumId w:val="39"/>
  </w:num>
  <w:num w:numId="17" w16cid:durableId="1450396582">
    <w:abstractNumId w:val="9"/>
  </w:num>
  <w:num w:numId="18" w16cid:durableId="22051518">
    <w:abstractNumId w:val="12"/>
  </w:num>
  <w:num w:numId="19" w16cid:durableId="228729692">
    <w:abstractNumId w:val="8"/>
  </w:num>
  <w:num w:numId="20" w16cid:durableId="2094277879">
    <w:abstractNumId w:val="24"/>
  </w:num>
  <w:num w:numId="21" w16cid:durableId="484781895">
    <w:abstractNumId w:val="6"/>
  </w:num>
  <w:num w:numId="22" w16cid:durableId="3942838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4855008">
    <w:abstractNumId w:val="29"/>
  </w:num>
  <w:num w:numId="24" w16cid:durableId="281883770">
    <w:abstractNumId w:val="28"/>
  </w:num>
  <w:num w:numId="25" w16cid:durableId="157842551">
    <w:abstractNumId w:val="25"/>
  </w:num>
  <w:num w:numId="26" w16cid:durableId="1704204850">
    <w:abstractNumId w:val="22"/>
  </w:num>
  <w:num w:numId="27" w16cid:durableId="1967008098">
    <w:abstractNumId w:val="15"/>
  </w:num>
  <w:num w:numId="28" w16cid:durableId="2050719396">
    <w:abstractNumId w:val="10"/>
  </w:num>
  <w:num w:numId="29" w16cid:durableId="1365448681">
    <w:abstractNumId w:val="5"/>
  </w:num>
  <w:num w:numId="30" w16cid:durableId="666129910">
    <w:abstractNumId w:val="0"/>
  </w:num>
  <w:num w:numId="31" w16cid:durableId="492338581">
    <w:abstractNumId w:val="2"/>
  </w:num>
  <w:num w:numId="32" w16cid:durableId="552622661">
    <w:abstractNumId w:val="35"/>
  </w:num>
  <w:num w:numId="33" w16cid:durableId="1468400097">
    <w:abstractNumId w:val="23"/>
  </w:num>
  <w:num w:numId="34" w16cid:durableId="574319472">
    <w:abstractNumId w:val="36"/>
  </w:num>
  <w:num w:numId="35" w16cid:durableId="1850171257">
    <w:abstractNumId w:val="38"/>
  </w:num>
  <w:num w:numId="36" w16cid:durableId="659576334">
    <w:abstractNumId w:val="16"/>
  </w:num>
  <w:num w:numId="37" w16cid:durableId="1403327781">
    <w:abstractNumId w:val="4"/>
  </w:num>
  <w:num w:numId="38" w16cid:durableId="1701471270">
    <w:abstractNumId w:val="26"/>
  </w:num>
  <w:num w:numId="39" w16cid:durableId="900554677">
    <w:abstractNumId w:val="32"/>
  </w:num>
  <w:num w:numId="40" w16cid:durableId="396588347">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readOnly" w:formatting="1" w:enforcement="1" w:cryptProviderType="rsaAES" w:cryptAlgorithmClass="hash" w:cryptAlgorithmType="typeAny" w:cryptAlgorithmSid="14" w:cryptSpinCount="100000" w:hash="zg/19ggVob1RURF1/II53ga1YrMo+Ie8cZhl8Kg9EHICQWqT4aK7p1NyhmcxXvS13Ueu4ipRNrhaqu2hkE2XBg==" w:salt="IB6IT+4d58ltFk7Ktcd4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AE0"/>
    <w:rsid w:val="00001F23"/>
    <w:rsid w:val="00002663"/>
    <w:rsid w:val="0000282B"/>
    <w:rsid w:val="00002989"/>
    <w:rsid w:val="00002CD6"/>
    <w:rsid w:val="00003307"/>
    <w:rsid w:val="00003FD2"/>
    <w:rsid w:val="0000417A"/>
    <w:rsid w:val="00004697"/>
    <w:rsid w:val="00004BE2"/>
    <w:rsid w:val="000056F6"/>
    <w:rsid w:val="00006365"/>
    <w:rsid w:val="00006EDC"/>
    <w:rsid w:val="00007391"/>
    <w:rsid w:val="0000793E"/>
    <w:rsid w:val="00007E40"/>
    <w:rsid w:val="000106A8"/>
    <w:rsid w:val="00010930"/>
    <w:rsid w:val="00010E6D"/>
    <w:rsid w:val="00011653"/>
    <w:rsid w:val="00011885"/>
    <w:rsid w:val="000126EF"/>
    <w:rsid w:val="0001272B"/>
    <w:rsid w:val="00012831"/>
    <w:rsid w:val="00012F9F"/>
    <w:rsid w:val="00013786"/>
    <w:rsid w:val="000137E9"/>
    <w:rsid w:val="00013D56"/>
    <w:rsid w:val="00014493"/>
    <w:rsid w:val="000146AE"/>
    <w:rsid w:val="00014752"/>
    <w:rsid w:val="00014BF6"/>
    <w:rsid w:val="00014EB8"/>
    <w:rsid w:val="000165EF"/>
    <w:rsid w:val="0001673C"/>
    <w:rsid w:val="00017075"/>
    <w:rsid w:val="00017346"/>
    <w:rsid w:val="00017C88"/>
    <w:rsid w:val="000201CE"/>
    <w:rsid w:val="000211C1"/>
    <w:rsid w:val="0002120A"/>
    <w:rsid w:val="0002129B"/>
    <w:rsid w:val="0002175D"/>
    <w:rsid w:val="00021B59"/>
    <w:rsid w:val="00021C99"/>
    <w:rsid w:val="00021F08"/>
    <w:rsid w:val="000223BC"/>
    <w:rsid w:val="000228B0"/>
    <w:rsid w:val="00024B72"/>
    <w:rsid w:val="00024DD1"/>
    <w:rsid w:val="00024FE1"/>
    <w:rsid w:val="00025477"/>
    <w:rsid w:val="00025908"/>
    <w:rsid w:val="0002605D"/>
    <w:rsid w:val="00026DDE"/>
    <w:rsid w:val="000270A4"/>
    <w:rsid w:val="0002719C"/>
    <w:rsid w:val="00031223"/>
    <w:rsid w:val="00031662"/>
    <w:rsid w:val="00032082"/>
    <w:rsid w:val="0003269D"/>
    <w:rsid w:val="00032DD0"/>
    <w:rsid w:val="000331B9"/>
    <w:rsid w:val="000346AC"/>
    <w:rsid w:val="00034D3B"/>
    <w:rsid w:val="000357C5"/>
    <w:rsid w:val="00035F22"/>
    <w:rsid w:val="00036242"/>
    <w:rsid w:val="0003651D"/>
    <w:rsid w:val="00040120"/>
    <w:rsid w:val="000401F7"/>
    <w:rsid w:val="00040759"/>
    <w:rsid w:val="00040878"/>
    <w:rsid w:val="0004094B"/>
    <w:rsid w:val="00040AB1"/>
    <w:rsid w:val="00040DA8"/>
    <w:rsid w:val="00041620"/>
    <w:rsid w:val="00041E0A"/>
    <w:rsid w:val="00042CC1"/>
    <w:rsid w:val="00042DC2"/>
    <w:rsid w:val="00043712"/>
    <w:rsid w:val="000438F9"/>
    <w:rsid w:val="00043BAC"/>
    <w:rsid w:val="00044317"/>
    <w:rsid w:val="00045168"/>
    <w:rsid w:val="00045C64"/>
    <w:rsid w:val="0004612F"/>
    <w:rsid w:val="0004685C"/>
    <w:rsid w:val="000469DE"/>
    <w:rsid w:val="00047018"/>
    <w:rsid w:val="000476AA"/>
    <w:rsid w:val="00047DC7"/>
    <w:rsid w:val="00050163"/>
    <w:rsid w:val="000506C5"/>
    <w:rsid w:val="00050BC6"/>
    <w:rsid w:val="000514F4"/>
    <w:rsid w:val="0005158E"/>
    <w:rsid w:val="00052115"/>
    <w:rsid w:val="000521B5"/>
    <w:rsid w:val="00052E1C"/>
    <w:rsid w:val="00053629"/>
    <w:rsid w:val="00053691"/>
    <w:rsid w:val="00053D7E"/>
    <w:rsid w:val="00053FEF"/>
    <w:rsid w:val="000541DB"/>
    <w:rsid w:val="0005465C"/>
    <w:rsid w:val="00054762"/>
    <w:rsid w:val="00055772"/>
    <w:rsid w:val="00056265"/>
    <w:rsid w:val="000562B9"/>
    <w:rsid w:val="00056522"/>
    <w:rsid w:val="0005666E"/>
    <w:rsid w:val="00056767"/>
    <w:rsid w:val="00056D89"/>
    <w:rsid w:val="00056FAF"/>
    <w:rsid w:val="00057D38"/>
    <w:rsid w:val="00057D82"/>
    <w:rsid w:val="000602B4"/>
    <w:rsid w:val="00060BB6"/>
    <w:rsid w:val="00060F59"/>
    <w:rsid w:val="00061075"/>
    <w:rsid w:val="0006109B"/>
    <w:rsid w:val="0006114A"/>
    <w:rsid w:val="00061A8B"/>
    <w:rsid w:val="00061F6E"/>
    <w:rsid w:val="00063633"/>
    <w:rsid w:val="000642C3"/>
    <w:rsid w:val="00067286"/>
    <w:rsid w:val="0006740A"/>
    <w:rsid w:val="000676B3"/>
    <w:rsid w:val="0006787D"/>
    <w:rsid w:val="00067B4B"/>
    <w:rsid w:val="000710A6"/>
    <w:rsid w:val="00071A79"/>
    <w:rsid w:val="00071C2C"/>
    <w:rsid w:val="0007363B"/>
    <w:rsid w:val="00073F3C"/>
    <w:rsid w:val="0007491F"/>
    <w:rsid w:val="00075137"/>
    <w:rsid w:val="0007551D"/>
    <w:rsid w:val="00075561"/>
    <w:rsid w:val="000756A2"/>
    <w:rsid w:val="00075BBB"/>
    <w:rsid w:val="00076CC4"/>
    <w:rsid w:val="00076D26"/>
    <w:rsid w:val="00077286"/>
    <w:rsid w:val="000776AB"/>
    <w:rsid w:val="0007788F"/>
    <w:rsid w:val="000779FD"/>
    <w:rsid w:val="00077A6B"/>
    <w:rsid w:val="000805F3"/>
    <w:rsid w:val="00081149"/>
    <w:rsid w:val="00081380"/>
    <w:rsid w:val="00081B1C"/>
    <w:rsid w:val="00081CA7"/>
    <w:rsid w:val="0008293B"/>
    <w:rsid w:val="00082AA8"/>
    <w:rsid w:val="0008307A"/>
    <w:rsid w:val="00083564"/>
    <w:rsid w:val="00083FE8"/>
    <w:rsid w:val="00084635"/>
    <w:rsid w:val="00084C5A"/>
    <w:rsid w:val="00085833"/>
    <w:rsid w:val="00085A0D"/>
    <w:rsid w:val="00085CEE"/>
    <w:rsid w:val="00085D21"/>
    <w:rsid w:val="000872EB"/>
    <w:rsid w:val="00087BC2"/>
    <w:rsid w:val="00087DB8"/>
    <w:rsid w:val="00087E64"/>
    <w:rsid w:val="000900F7"/>
    <w:rsid w:val="00090E7C"/>
    <w:rsid w:val="000915D5"/>
    <w:rsid w:val="0009164C"/>
    <w:rsid w:val="000918AB"/>
    <w:rsid w:val="00092062"/>
    <w:rsid w:val="00092257"/>
    <w:rsid w:val="0009260A"/>
    <w:rsid w:val="000933AB"/>
    <w:rsid w:val="00094E0B"/>
    <w:rsid w:val="000953A4"/>
    <w:rsid w:val="00095673"/>
    <w:rsid w:val="0009588E"/>
    <w:rsid w:val="0009720F"/>
    <w:rsid w:val="000972B6"/>
    <w:rsid w:val="000972E7"/>
    <w:rsid w:val="000974C9"/>
    <w:rsid w:val="000A03D2"/>
    <w:rsid w:val="000A05E2"/>
    <w:rsid w:val="000A0AC7"/>
    <w:rsid w:val="000A0C63"/>
    <w:rsid w:val="000A0CD9"/>
    <w:rsid w:val="000A216A"/>
    <w:rsid w:val="000A255E"/>
    <w:rsid w:val="000A2E8E"/>
    <w:rsid w:val="000A3062"/>
    <w:rsid w:val="000A3AA1"/>
    <w:rsid w:val="000A57B7"/>
    <w:rsid w:val="000A5DC6"/>
    <w:rsid w:val="000A5FA1"/>
    <w:rsid w:val="000A6233"/>
    <w:rsid w:val="000A68A8"/>
    <w:rsid w:val="000A6F07"/>
    <w:rsid w:val="000A7E41"/>
    <w:rsid w:val="000B0114"/>
    <w:rsid w:val="000B02C9"/>
    <w:rsid w:val="000B098B"/>
    <w:rsid w:val="000B09BD"/>
    <w:rsid w:val="000B0EE9"/>
    <w:rsid w:val="000B1256"/>
    <w:rsid w:val="000B143A"/>
    <w:rsid w:val="000B1561"/>
    <w:rsid w:val="000B2005"/>
    <w:rsid w:val="000B24EC"/>
    <w:rsid w:val="000B2C97"/>
    <w:rsid w:val="000B2E2F"/>
    <w:rsid w:val="000B2E8C"/>
    <w:rsid w:val="000B38CA"/>
    <w:rsid w:val="000B7F4B"/>
    <w:rsid w:val="000C0007"/>
    <w:rsid w:val="000C0156"/>
    <w:rsid w:val="000C0331"/>
    <w:rsid w:val="000C03EC"/>
    <w:rsid w:val="000C05C9"/>
    <w:rsid w:val="000C0ACA"/>
    <w:rsid w:val="000C13D4"/>
    <w:rsid w:val="000C15FB"/>
    <w:rsid w:val="000C1785"/>
    <w:rsid w:val="000C1AEC"/>
    <w:rsid w:val="000C2CAE"/>
    <w:rsid w:val="000C3BE3"/>
    <w:rsid w:val="000C457F"/>
    <w:rsid w:val="000C4BD0"/>
    <w:rsid w:val="000C4CD3"/>
    <w:rsid w:val="000C5AF3"/>
    <w:rsid w:val="000C5BE8"/>
    <w:rsid w:val="000C6732"/>
    <w:rsid w:val="000C67DE"/>
    <w:rsid w:val="000C688A"/>
    <w:rsid w:val="000C79C9"/>
    <w:rsid w:val="000C7D2A"/>
    <w:rsid w:val="000D1B93"/>
    <w:rsid w:val="000D29F0"/>
    <w:rsid w:val="000D2AE0"/>
    <w:rsid w:val="000D2BDB"/>
    <w:rsid w:val="000D41C7"/>
    <w:rsid w:val="000D4219"/>
    <w:rsid w:val="000D47D0"/>
    <w:rsid w:val="000D4A08"/>
    <w:rsid w:val="000D51B2"/>
    <w:rsid w:val="000D5314"/>
    <w:rsid w:val="000D5752"/>
    <w:rsid w:val="000D5A78"/>
    <w:rsid w:val="000D5E17"/>
    <w:rsid w:val="000D6060"/>
    <w:rsid w:val="000D635C"/>
    <w:rsid w:val="000D64BE"/>
    <w:rsid w:val="000D693B"/>
    <w:rsid w:val="000D71BE"/>
    <w:rsid w:val="000D7418"/>
    <w:rsid w:val="000D7CD0"/>
    <w:rsid w:val="000E08C0"/>
    <w:rsid w:val="000E0CD6"/>
    <w:rsid w:val="000E1DEC"/>
    <w:rsid w:val="000E2113"/>
    <w:rsid w:val="000E2DFF"/>
    <w:rsid w:val="000E2E0F"/>
    <w:rsid w:val="000E3C0B"/>
    <w:rsid w:val="000E4FED"/>
    <w:rsid w:val="000E5E46"/>
    <w:rsid w:val="000E6583"/>
    <w:rsid w:val="000E65C7"/>
    <w:rsid w:val="000E718E"/>
    <w:rsid w:val="000F0057"/>
    <w:rsid w:val="000F00E4"/>
    <w:rsid w:val="000F032B"/>
    <w:rsid w:val="000F047B"/>
    <w:rsid w:val="000F08B9"/>
    <w:rsid w:val="000F0AAC"/>
    <w:rsid w:val="000F0C5D"/>
    <w:rsid w:val="000F0F28"/>
    <w:rsid w:val="000F0FB8"/>
    <w:rsid w:val="000F1869"/>
    <w:rsid w:val="000F1CEA"/>
    <w:rsid w:val="000F2B16"/>
    <w:rsid w:val="000F31B4"/>
    <w:rsid w:val="000F39DA"/>
    <w:rsid w:val="000F3D98"/>
    <w:rsid w:val="000F4130"/>
    <w:rsid w:val="000F41E8"/>
    <w:rsid w:val="000F4E13"/>
    <w:rsid w:val="000F56C8"/>
    <w:rsid w:val="001000C6"/>
    <w:rsid w:val="001009D4"/>
    <w:rsid w:val="001012EB"/>
    <w:rsid w:val="00101342"/>
    <w:rsid w:val="00101E5B"/>
    <w:rsid w:val="00103962"/>
    <w:rsid w:val="001040A6"/>
    <w:rsid w:val="00104DBC"/>
    <w:rsid w:val="0010585C"/>
    <w:rsid w:val="0010587C"/>
    <w:rsid w:val="00105B4C"/>
    <w:rsid w:val="00105D51"/>
    <w:rsid w:val="00106C29"/>
    <w:rsid w:val="00107441"/>
    <w:rsid w:val="001079F6"/>
    <w:rsid w:val="00107EFC"/>
    <w:rsid w:val="00107F31"/>
    <w:rsid w:val="001100E3"/>
    <w:rsid w:val="00110BAD"/>
    <w:rsid w:val="00110FE2"/>
    <w:rsid w:val="00111408"/>
    <w:rsid w:val="00111A7A"/>
    <w:rsid w:val="00111C8E"/>
    <w:rsid w:val="00111C9C"/>
    <w:rsid w:val="00111EE9"/>
    <w:rsid w:val="00112A23"/>
    <w:rsid w:val="0011309F"/>
    <w:rsid w:val="00113A89"/>
    <w:rsid w:val="00113B71"/>
    <w:rsid w:val="00114B26"/>
    <w:rsid w:val="001151EF"/>
    <w:rsid w:val="001155F9"/>
    <w:rsid w:val="00115987"/>
    <w:rsid w:val="001178FD"/>
    <w:rsid w:val="00117AFF"/>
    <w:rsid w:val="001205C6"/>
    <w:rsid w:val="00120CC2"/>
    <w:rsid w:val="00122CF3"/>
    <w:rsid w:val="00122D3E"/>
    <w:rsid w:val="00122DB6"/>
    <w:rsid w:val="00122F40"/>
    <w:rsid w:val="001235AF"/>
    <w:rsid w:val="00123ABC"/>
    <w:rsid w:val="0012403F"/>
    <w:rsid w:val="001242BA"/>
    <w:rsid w:val="00124F73"/>
    <w:rsid w:val="00125081"/>
    <w:rsid w:val="001250CC"/>
    <w:rsid w:val="00125581"/>
    <w:rsid w:val="00125CBE"/>
    <w:rsid w:val="00125F0C"/>
    <w:rsid w:val="00126263"/>
    <w:rsid w:val="00126886"/>
    <w:rsid w:val="001268E5"/>
    <w:rsid w:val="001269CA"/>
    <w:rsid w:val="00126DC2"/>
    <w:rsid w:val="00127510"/>
    <w:rsid w:val="00127C5F"/>
    <w:rsid w:val="001320C2"/>
    <w:rsid w:val="00132982"/>
    <w:rsid w:val="00132A99"/>
    <w:rsid w:val="0013320F"/>
    <w:rsid w:val="001344BF"/>
    <w:rsid w:val="001345FE"/>
    <w:rsid w:val="0013474F"/>
    <w:rsid w:val="00134DA1"/>
    <w:rsid w:val="00134EF8"/>
    <w:rsid w:val="00135786"/>
    <w:rsid w:val="00136452"/>
    <w:rsid w:val="001364FA"/>
    <w:rsid w:val="00136599"/>
    <w:rsid w:val="0013659B"/>
    <w:rsid w:val="00136A62"/>
    <w:rsid w:val="001372AB"/>
    <w:rsid w:val="00137741"/>
    <w:rsid w:val="00137E59"/>
    <w:rsid w:val="00140900"/>
    <w:rsid w:val="00140A95"/>
    <w:rsid w:val="0014192B"/>
    <w:rsid w:val="00141936"/>
    <w:rsid w:val="00141C86"/>
    <w:rsid w:val="00141CAD"/>
    <w:rsid w:val="00141F07"/>
    <w:rsid w:val="00142BC8"/>
    <w:rsid w:val="001439A9"/>
    <w:rsid w:val="00143DA7"/>
    <w:rsid w:val="00144735"/>
    <w:rsid w:val="00144A5E"/>
    <w:rsid w:val="00146E03"/>
    <w:rsid w:val="00147224"/>
    <w:rsid w:val="001472FC"/>
    <w:rsid w:val="001479F5"/>
    <w:rsid w:val="00150F54"/>
    <w:rsid w:val="00151002"/>
    <w:rsid w:val="001517E0"/>
    <w:rsid w:val="00151FF1"/>
    <w:rsid w:val="001525A3"/>
    <w:rsid w:val="00153021"/>
    <w:rsid w:val="0015371D"/>
    <w:rsid w:val="00153A22"/>
    <w:rsid w:val="0015445A"/>
    <w:rsid w:val="001560B4"/>
    <w:rsid w:val="00156234"/>
    <w:rsid w:val="00156C1C"/>
    <w:rsid w:val="001571CB"/>
    <w:rsid w:val="00157240"/>
    <w:rsid w:val="0015746B"/>
    <w:rsid w:val="0015785C"/>
    <w:rsid w:val="001602AC"/>
    <w:rsid w:val="001602F8"/>
    <w:rsid w:val="00160676"/>
    <w:rsid w:val="001606C9"/>
    <w:rsid w:val="00160F75"/>
    <w:rsid w:val="001613A3"/>
    <w:rsid w:val="0016181D"/>
    <w:rsid w:val="00161EBB"/>
    <w:rsid w:val="00161F35"/>
    <w:rsid w:val="00163053"/>
    <w:rsid w:val="00164026"/>
    <w:rsid w:val="00165138"/>
    <w:rsid w:val="00165962"/>
    <w:rsid w:val="00165C82"/>
    <w:rsid w:val="00165F81"/>
    <w:rsid w:val="00166039"/>
    <w:rsid w:val="001667A8"/>
    <w:rsid w:val="00166978"/>
    <w:rsid w:val="00166E69"/>
    <w:rsid w:val="00167128"/>
    <w:rsid w:val="00167443"/>
    <w:rsid w:val="001675DF"/>
    <w:rsid w:val="00167E37"/>
    <w:rsid w:val="00170401"/>
    <w:rsid w:val="0017060C"/>
    <w:rsid w:val="001706E2"/>
    <w:rsid w:val="00170FD9"/>
    <w:rsid w:val="00172102"/>
    <w:rsid w:val="001722E6"/>
    <w:rsid w:val="00172BF0"/>
    <w:rsid w:val="00173623"/>
    <w:rsid w:val="00173870"/>
    <w:rsid w:val="00173EC5"/>
    <w:rsid w:val="00174388"/>
    <w:rsid w:val="00174C82"/>
    <w:rsid w:val="00174EEE"/>
    <w:rsid w:val="00175814"/>
    <w:rsid w:val="00175C81"/>
    <w:rsid w:val="0017786C"/>
    <w:rsid w:val="00177934"/>
    <w:rsid w:val="0018185B"/>
    <w:rsid w:val="001821F6"/>
    <w:rsid w:val="0018257C"/>
    <w:rsid w:val="00182B87"/>
    <w:rsid w:val="00183408"/>
    <w:rsid w:val="001834DE"/>
    <w:rsid w:val="00183579"/>
    <w:rsid w:val="001837C8"/>
    <w:rsid w:val="001838D6"/>
    <w:rsid w:val="00185431"/>
    <w:rsid w:val="00185EA5"/>
    <w:rsid w:val="0018615A"/>
    <w:rsid w:val="00186295"/>
    <w:rsid w:val="001864DD"/>
    <w:rsid w:val="00187D50"/>
    <w:rsid w:val="00187E87"/>
    <w:rsid w:val="001901DC"/>
    <w:rsid w:val="001909EC"/>
    <w:rsid w:val="00193F9D"/>
    <w:rsid w:val="00194219"/>
    <w:rsid w:val="00194B97"/>
    <w:rsid w:val="001963CD"/>
    <w:rsid w:val="00196B1B"/>
    <w:rsid w:val="00197620"/>
    <w:rsid w:val="00197FAD"/>
    <w:rsid w:val="001A0074"/>
    <w:rsid w:val="001A0977"/>
    <w:rsid w:val="001A1704"/>
    <w:rsid w:val="001A278B"/>
    <w:rsid w:val="001A2B56"/>
    <w:rsid w:val="001A3566"/>
    <w:rsid w:val="001A3EF1"/>
    <w:rsid w:val="001A4520"/>
    <w:rsid w:val="001A49C2"/>
    <w:rsid w:val="001A5148"/>
    <w:rsid w:val="001A5E18"/>
    <w:rsid w:val="001A6663"/>
    <w:rsid w:val="001A750E"/>
    <w:rsid w:val="001A75A3"/>
    <w:rsid w:val="001A7BFE"/>
    <w:rsid w:val="001A7EE4"/>
    <w:rsid w:val="001B020C"/>
    <w:rsid w:val="001B02CF"/>
    <w:rsid w:val="001B07B6"/>
    <w:rsid w:val="001B0807"/>
    <w:rsid w:val="001B0E4C"/>
    <w:rsid w:val="001B16F3"/>
    <w:rsid w:val="001B25E0"/>
    <w:rsid w:val="001B2CF6"/>
    <w:rsid w:val="001B351E"/>
    <w:rsid w:val="001B36EE"/>
    <w:rsid w:val="001B3FEB"/>
    <w:rsid w:val="001B44F9"/>
    <w:rsid w:val="001B4F20"/>
    <w:rsid w:val="001B7180"/>
    <w:rsid w:val="001B72D8"/>
    <w:rsid w:val="001C09BD"/>
    <w:rsid w:val="001C1F84"/>
    <w:rsid w:val="001C20E7"/>
    <w:rsid w:val="001C2DA1"/>
    <w:rsid w:val="001C3EDC"/>
    <w:rsid w:val="001C3F2C"/>
    <w:rsid w:val="001C41EA"/>
    <w:rsid w:val="001C576E"/>
    <w:rsid w:val="001C6108"/>
    <w:rsid w:val="001C62ED"/>
    <w:rsid w:val="001C6B3E"/>
    <w:rsid w:val="001C6F6A"/>
    <w:rsid w:val="001C72B8"/>
    <w:rsid w:val="001C73B5"/>
    <w:rsid w:val="001C7C14"/>
    <w:rsid w:val="001D0765"/>
    <w:rsid w:val="001D092B"/>
    <w:rsid w:val="001D0B2A"/>
    <w:rsid w:val="001D0B44"/>
    <w:rsid w:val="001D1AA6"/>
    <w:rsid w:val="001D1C2C"/>
    <w:rsid w:val="001D286D"/>
    <w:rsid w:val="001D2A76"/>
    <w:rsid w:val="001D2D1E"/>
    <w:rsid w:val="001D3166"/>
    <w:rsid w:val="001D4537"/>
    <w:rsid w:val="001D494D"/>
    <w:rsid w:val="001D4B6B"/>
    <w:rsid w:val="001D60FE"/>
    <w:rsid w:val="001D62E3"/>
    <w:rsid w:val="001D6A79"/>
    <w:rsid w:val="001D70B9"/>
    <w:rsid w:val="001D7C37"/>
    <w:rsid w:val="001E02A1"/>
    <w:rsid w:val="001E0407"/>
    <w:rsid w:val="001E08BA"/>
    <w:rsid w:val="001E0CE1"/>
    <w:rsid w:val="001E297D"/>
    <w:rsid w:val="001E32A0"/>
    <w:rsid w:val="001E3678"/>
    <w:rsid w:val="001E3855"/>
    <w:rsid w:val="001E4175"/>
    <w:rsid w:val="001E471E"/>
    <w:rsid w:val="001E5012"/>
    <w:rsid w:val="001E507D"/>
    <w:rsid w:val="001E5C50"/>
    <w:rsid w:val="001E5E37"/>
    <w:rsid w:val="001E603D"/>
    <w:rsid w:val="001E6724"/>
    <w:rsid w:val="001E6C5D"/>
    <w:rsid w:val="001E74BD"/>
    <w:rsid w:val="001F028E"/>
    <w:rsid w:val="001F0AF4"/>
    <w:rsid w:val="001F163D"/>
    <w:rsid w:val="001F1EC1"/>
    <w:rsid w:val="001F243D"/>
    <w:rsid w:val="001F2480"/>
    <w:rsid w:val="001F2DDF"/>
    <w:rsid w:val="001F3215"/>
    <w:rsid w:val="001F3F1F"/>
    <w:rsid w:val="001F4069"/>
    <w:rsid w:val="001F474F"/>
    <w:rsid w:val="001F47DC"/>
    <w:rsid w:val="001F4990"/>
    <w:rsid w:val="001F4A2A"/>
    <w:rsid w:val="001F4C4C"/>
    <w:rsid w:val="001F4EFA"/>
    <w:rsid w:val="001F6675"/>
    <w:rsid w:val="001F738A"/>
    <w:rsid w:val="001F78A1"/>
    <w:rsid w:val="00200ABA"/>
    <w:rsid w:val="00200E38"/>
    <w:rsid w:val="002013EB"/>
    <w:rsid w:val="00202349"/>
    <w:rsid w:val="002024BF"/>
    <w:rsid w:val="00202C57"/>
    <w:rsid w:val="0020319C"/>
    <w:rsid w:val="002032CA"/>
    <w:rsid w:val="00203D8F"/>
    <w:rsid w:val="00203F6F"/>
    <w:rsid w:val="00204453"/>
    <w:rsid w:val="002049B2"/>
    <w:rsid w:val="002056B1"/>
    <w:rsid w:val="00205A59"/>
    <w:rsid w:val="00205BD0"/>
    <w:rsid w:val="00206C82"/>
    <w:rsid w:val="00207026"/>
    <w:rsid w:val="00207C2C"/>
    <w:rsid w:val="00207CF5"/>
    <w:rsid w:val="00210530"/>
    <w:rsid w:val="0021097F"/>
    <w:rsid w:val="002112F9"/>
    <w:rsid w:val="002117F9"/>
    <w:rsid w:val="00212A48"/>
    <w:rsid w:val="002130FB"/>
    <w:rsid w:val="002134AE"/>
    <w:rsid w:val="0021393A"/>
    <w:rsid w:val="002146DC"/>
    <w:rsid w:val="002152A2"/>
    <w:rsid w:val="00215536"/>
    <w:rsid w:val="00215E3B"/>
    <w:rsid w:val="002160E0"/>
    <w:rsid w:val="00216B4F"/>
    <w:rsid w:val="00216BE3"/>
    <w:rsid w:val="00216CAA"/>
    <w:rsid w:val="0021725E"/>
    <w:rsid w:val="00217724"/>
    <w:rsid w:val="002203AF"/>
    <w:rsid w:val="00220B38"/>
    <w:rsid w:val="002212EA"/>
    <w:rsid w:val="0022184B"/>
    <w:rsid w:val="002218A9"/>
    <w:rsid w:val="00221BE9"/>
    <w:rsid w:val="00221CBE"/>
    <w:rsid w:val="00222B23"/>
    <w:rsid w:val="002239BA"/>
    <w:rsid w:val="00224C54"/>
    <w:rsid w:val="002257C7"/>
    <w:rsid w:val="00225972"/>
    <w:rsid w:val="002263B6"/>
    <w:rsid w:val="002267F9"/>
    <w:rsid w:val="002270F9"/>
    <w:rsid w:val="00227978"/>
    <w:rsid w:val="00227E01"/>
    <w:rsid w:val="002315DB"/>
    <w:rsid w:val="002322BE"/>
    <w:rsid w:val="00233069"/>
    <w:rsid w:val="00233A1A"/>
    <w:rsid w:val="00233AE3"/>
    <w:rsid w:val="00233FBB"/>
    <w:rsid w:val="0023408A"/>
    <w:rsid w:val="0023411D"/>
    <w:rsid w:val="002346B6"/>
    <w:rsid w:val="0023539C"/>
    <w:rsid w:val="00235556"/>
    <w:rsid w:val="002355EB"/>
    <w:rsid w:val="00235B48"/>
    <w:rsid w:val="00235DB5"/>
    <w:rsid w:val="00236AEC"/>
    <w:rsid w:val="00237299"/>
    <w:rsid w:val="00237725"/>
    <w:rsid w:val="00237F16"/>
    <w:rsid w:val="00237F2E"/>
    <w:rsid w:val="0024012F"/>
    <w:rsid w:val="0024052C"/>
    <w:rsid w:val="00241D62"/>
    <w:rsid w:val="00241DE3"/>
    <w:rsid w:val="00241F8F"/>
    <w:rsid w:val="00241FA0"/>
    <w:rsid w:val="00242A7E"/>
    <w:rsid w:val="002435BF"/>
    <w:rsid w:val="00243D3D"/>
    <w:rsid w:val="002449E9"/>
    <w:rsid w:val="00244A42"/>
    <w:rsid w:val="00244E5E"/>
    <w:rsid w:val="00245C71"/>
    <w:rsid w:val="0024659B"/>
    <w:rsid w:val="0024684E"/>
    <w:rsid w:val="00246929"/>
    <w:rsid w:val="002473EB"/>
    <w:rsid w:val="0025012C"/>
    <w:rsid w:val="00250244"/>
    <w:rsid w:val="002502BF"/>
    <w:rsid w:val="002505EB"/>
    <w:rsid w:val="00250620"/>
    <w:rsid w:val="00250B1B"/>
    <w:rsid w:val="00250C9F"/>
    <w:rsid w:val="0025267B"/>
    <w:rsid w:val="00252BD0"/>
    <w:rsid w:val="00253062"/>
    <w:rsid w:val="00253A62"/>
    <w:rsid w:val="002544D2"/>
    <w:rsid w:val="00254A27"/>
    <w:rsid w:val="00254C71"/>
    <w:rsid w:val="00254CA5"/>
    <w:rsid w:val="00254F58"/>
    <w:rsid w:val="00255553"/>
    <w:rsid w:val="00255BFC"/>
    <w:rsid w:val="00256320"/>
    <w:rsid w:val="00256F64"/>
    <w:rsid w:val="002575AB"/>
    <w:rsid w:val="002579E3"/>
    <w:rsid w:val="00257DDF"/>
    <w:rsid w:val="00257E7E"/>
    <w:rsid w:val="00260768"/>
    <w:rsid w:val="002609A0"/>
    <w:rsid w:val="00261F60"/>
    <w:rsid w:val="00262609"/>
    <w:rsid w:val="002634DC"/>
    <w:rsid w:val="00263D02"/>
    <w:rsid w:val="00264230"/>
    <w:rsid w:val="002647B9"/>
    <w:rsid w:val="00264BC1"/>
    <w:rsid w:val="00264F54"/>
    <w:rsid w:val="00265200"/>
    <w:rsid w:val="00265292"/>
    <w:rsid w:val="00266425"/>
    <w:rsid w:val="002664A1"/>
    <w:rsid w:val="00266EE8"/>
    <w:rsid w:val="00270341"/>
    <w:rsid w:val="00270CD4"/>
    <w:rsid w:val="00271353"/>
    <w:rsid w:val="0027169B"/>
    <w:rsid w:val="00271701"/>
    <w:rsid w:val="00271A25"/>
    <w:rsid w:val="002728D2"/>
    <w:rsid w:val="00272E37"/>
    <w:rsid w:val="00272E53"/>
    <w:rsid w:val="0027316E"/>
    <w:rsid w:val="002731FA"/>
    <w:rsid w:val="00273364"/>
    <w:rsid w:val="002743C4"/>
    <w:rsid w:val="00274A9F"/>
    <w:rsid w:val="00275131"/>
    <w:rsid w:val="00275499"/>
    <w:rsid w:val="00275618"/>
    <w:rsid w:val="00276826"/>
    <w:rsid w:val="00276F19"/>
    <w:rsid w:val="00277097"/>
    <w:rsid w:val="002774BF"/>
    <w:rsid w:val="00281DF8"/>
    <w:rsid w:val="00282408"/>
    <w:rsid w:val="0028263A"/>
    <w:rsid w:val="00282745"/>
    <w:rsid w:val="002831FC"/>
    <w:rsid w:val="002845AC"/>
    <w:rsid w:val="00285240"/>
    <w:rsid w:val="00285310"/>
    <w:rsid w:val="002859DB"/>
    <w:rsid w:val="002866CF"/>
    <w:rsid w:val="00286D81"/>
    <w:rsid w:val="00286F48"/>
    <w:rsid w:val="00287117"/>
    <w:rsid w:val="0028720C"/>
    <w:rsid w:val="00287717"/>
    <w:rsid w:val="002879FE"/>
    <w:rsid w:val="00287CDE"/>
    <w:rsid w:val="00287E09"/>
    <w:rsid w:val="002904AF"/>
    <w:rsid w:val="00290ED0"/>
    <w:rsid w:val="00290FB8"/>
    <w:rsid w:val="00291105"/>
    <w:rsid w:val="002913D7"/>
    <w:rsid w:val="0029252C"/>
    <w:rsid w:val="002949FD"/>
    <w:rsid w:val="00295872"/>
    <w:rsid w:val="00296780"/>
    <w:rsid w:val="002967A3"/>
    <w:rsid w:val="002967C1"/>
    <w:rsid w:val="002968DA"/>
    <w:rsid w:val="00296E76"/>
    <w:rsid w:val="00297098"/>
    <w:rsid w:val="0029712D"/>
    <w:rsid w:val="002A002F"/>
    <w:rsid w:val="002A1186"/>
    <w:rsid w:val="002A1447"/>
    <w:rsid w:val="002A1B9F"/>
    <w:rsid w:val="002A22DE"/>
    <w:rsid w:val="002A23FB"/>
    <w:rsid w:val="002A35C6"/>
    <w:rsid w:val="002A395F"/>
    <w:rsid w:val="002A42D2"/>
    <w:rsid w:val="002A4C21"/>
    <w:rsid w:val="002A54B4"/>
    <w:rsid w:val="002A5772"/>
    <w:rsid w:val="002A586E"/>
    <w:rsid w:val="002A5B13"/>
    <w:rsid w:val="002A5D15"/>
    <w:rsid w:val="002A5D61"/>
    <w:rsid w:val="002A642D"/>
    <w:rsid w:val="002A67A9"/>
    <w:rsid w:val="002A6AAB"/>
    <w:rsid w:val="002A7AEF"/>
    <w:rsid w:val="002B0330"/>
    <w:rsid w:val="002B123C"/>
    <w:rsid w:val="002B16EF"/>
    <w:rsid w:val="002B1962"/>
    <w:rsid w:val="002B1BBA"/>
    <w:rsid w:val="002B207D"/>
    <w:rsid w:val="002B258A"/>
    <w:rsid w:val="002B2E32"/>
    <w:rsid w:val="002B345F"/>
    <w:rsid w:val="002B3472"/>
    <w:rsid w:val="002B3B0F"/>
    <w:rsid w:val="002B4B19"/>
    <w:rsid w:val="002B538C"/>
    <w:rsid w:val="002B6211"/>
    <w:rsid w:val="002B66F3"/>
    <w:rsid w:val="002B686B"/>
    <w:rsid w:val="002B686C"/>
    <w:rsid w:val="002B6D85"/>
    <w:rsid w:val="002B7512"/>
    <w:rsid w:val="002B779A"/>
    <w:rsid w:val="002B789A"/>
    <w:rsid w:val="002C0221"/>
    <w:rsid w:val="002C05D0"/>
    <w:rsid w:val="002C0961"/>
    <w:rsid w:val="002C1320"/>
    <w:rsid w:val="002C2D16"/>
    <w:rsid w:val="002C3137"/>
    <w:rsid w:val="002C3399"/>
    <w:rsid w:val="002C501C"/>
    <w:rsid w:val="002C7589"/>
    <w:rsid w:val="002C75B0"/>
    <w:rsid w:val="002D0BF6"/>
    <w:rsid w:val="002D32FC"/>
    <w:rsid w:val="002D3658"/>
    <w:rsid w:val="002D3937"/>
    <w:rsid w:val="002D3FC6"/>
    <w:rsid w:val="002D4788"/>
    <w:rsid w:val="002D4C08"/>
    <w:rsid w:val="002D53AE"/>
    <w:rsid w:val="002D54E7"/>
    <w:rsid w:val="002D55B0"/>
    <w:rsid w:val="002D5AD5"/>
    <w:rsid w:val="002D5FB0"/>
    <w:rsid w:val="002D6760"/>
    <w:rsid w:val="002D6913"/>
    <w:rsid w:val="002D6A90"/>
    <w:rsid w:val="002D6B50"/>
    <w:rsid w:val="002D77A2"/>
    <w:rsid w:val="002D7FDC"/>
    <w:rsid w:val="002E028F"/>
    <w:rsid w:val="002E0892"/>
    <w:rsid w:val="002E14ED"/>
    <w:rsid w:val="002E1CFE"/>
    <w:rsid w:val="002E1F83"/>
    <w:rsid w:val="002E1F99"/>
    <w:rsid w:val="002E202B"/>
    <w:rsid w:val="002E3B8E"/>
    <w:rsid w:val="002E3F99"/>
    <w:rsid w:val="002E402E"/>
    <w:rsid w:val="002E4A1D"/>
    <w:rsid w:val="002E530C"/>
    <w:rsid w:val="002E5454"/>
    <w:rsid w:val="002E6E58"/>
    <w:rsid w:val="002E6E74"/>
    <w:rsid w:val="002E7154"/>
    <w:rsid w:val="002E7A7D"/>
    <w:rsid w:val="002E7D37"/>
    <w:rsid w:val="002F06B0"/>
    <w:rsid w:val="002F0E74"/>
    <w:rsid w:val="002F1CDB"/>
    <w:rsid w:val="002F249A"/>
    <w:rsid w:val="002F275E"/>
    <w:rsid w:val="002F2CA4"/>
    <w:rsid w:val="002F3019"/>
    <w:rsid w:val="002F3A7B"/>
    <w:rsid w:val="002F3FF6"/>
    <w:rsid w:val="002F4FA0"/>
    <w:rsid w:val="002F5BDB"/>
    <w:rsid w:val="002F6051"/>
    <w:rsid w:val="002F6407"/>
    <w:rsid w:val="002F669D"/>
    <w:rsid w:val="002F7FEB"/>
    <w:rsid w:val="003000B6"/>
    <w:rsid w:val="00300AFC"/>
    <w:rsid w:val="00301068"/>
    <w:rsid w:val="00302126"/>
    <w:rsid w:val="00302DE5"/>
    <w:rsid w:val="00302EF1"/>
    <w:rsid w:val="00302F4C"/>
    <w:rsid w:val="003034CF"/>
    <w:rsid w:val="003035AD"/>
    <w:rsid w:val="00305488"/>
    <w:rsid w:val="003061DB"/>
    <w:rsid w:val="00306808"/>
    <w:rsid w:val="00306B0E"/>
    <w:rsid w:val="00307930"/>
    <w:rsid w:val="00307E17"/>
    <w:rsid w:val="00307EFF"/>
    <w:rsid w:val="0031099E"/>
    <w:rsid w:val="003118A7"/>
    <w:rsid w:val="00311C18"/>
    <w:rsid w:val="00311D2B"/>
    <w:rsid w:val="0031258A"/>
    <w:rsid w:val="00312DB2"/>
    <w:rsid w:val="003134A1"/>
    <w:rsid w:val="00314C1B"/>
    <w:rsid w:val="00314DF5"/>
    <w:rsid w:val="0031516B"/>
    <w:rsid w:val="00315885"/>
    <w:rsid w:val="00315F59"/>
    <w:rsid w:val="00316B95"/>
    <w:rsid w:val="00317042"/>
    <w:rsid w:val="003172E9"/>
    <w:rsid w:val="00317C01"/>
    <w:rsid w:val="00317FC7"/>
    <w:rsid w:val="00320399"/>
    <w:rsid w:val="00320484"/>
    <w:rsid w:val="0032109E"/>
    <w:rsid w:val="00321349"/>
    <w:rsid w:val="00321577"/>
    <w:rsid w:val="00321AF0"/>
    <w:rsid w:val="00321B89"/>
    <w:rsid w:val="00321BDB"/>
    <w:rsid w:val="0032241C"/>
    <w:rsid w:val="00325D68"/>
    <w:rsid w:val="00325DEE"/>
    <w:rsid w:val="00326191"/>
    <w:rsid w:val="0032621C"/>
    <w:rsid w:val="003264A7"/>
    <w:rsid w:val="00330321"/>
    <w:rsid w:val="003308C7"/>
    <w:rsid w:val="00330FC1"/>
    <w:rsid w:val="00331A48"/>
    <w:rsid w:val="00331F3B"/>
    <w:rsid w:val="00332075"/>
    <w:rsid w:val="00332CEE"/>
    <w:rsid w:val="00332DA2"/>
    <w:rsid w:val="00333185"/>
    <w:rsid w:val="003334A3"/>
    <w:rsid w:val="00333B52"/>
    <w:rsid w:val="00333F02"/>
    <w:rsid w:val="00333FE2"/>
    <w:rsid w:val="00334D35"/>
    <w:rsid w:val="003356CE"/>
    <w:rsid w:val="003356F4"/>
    <w:rsid w:val="003357B2"/>
    <w:rsid w:val="00335B97"/>
    <w:rsid w:val="003362D5"/>
    <w:rsid w:val="003365BF"/>
    <w:rsid w:val="00336C28"/>
    <w:rsid w:val="00340F28"/>
    <w:rsid w:val="00341301"/>
    <w:rsid w:val="003413A5"/>
    <w:rsid w:val="00341EFD"/>
    <w:rsid w:val="0034201B"/>
    <w:rsid w:val="00342960"/>
    <w:rsid w:val="00342EBA"/>
    <w:rsid w:val="00343417"/>
    <w:rsid w:val="00343B6C"/>
    <w:rsid w:val="00343FD1"/>
    <w:rsid w:val="003445D3"/>
    <w:rsid w:val="00344F32"/>
    <w:rsid w:val="0034691B"/>
    <w:rsid w:val="00346DA6"/>
    <w:rsid w:val="00347016"/>
    <w:rsid w:val="003474F0"/>
    <w:rsid w:val="00347511"/>
    <w:rsid w:val="00347E88"/>
    <w:rsid w:val="003508DC"/>
    <w:rsid w:val="00350FCF"/>
    <w:rsid w:val="0035123C"/>
    <w:rsid w:val="003512B3"/>
    <w:rsid w:val="00351A83"/>
    <w:rsid w:val="00351C36"/>
    <w:rsid w:val="003523CE"/>
    <w:rsid w:val="00353414"/>
    <w:rsid w:val="00353E4C"/>
    <w:rsid w:val="00354321"/>
    <w:rsid w:val="00354D09"/>
    <w:rsid w:val="00356011"/>
    <w:rsid w:val="003564EF"/>
    <w:rsid w:val="00356662"/>
    <w:rsid w:val="00357FC6"/>
    <w:rsid w:val="00360033"/>
    <w:rsid w:val="00360301"/>
    <w:rsid w:val="00360594"/>
    <w:rsid w:val="00362758"/>
    <w:rsid w:val="00362900"/>
    <w:rsid w:val="003631EE"/>
    <w:rsid w:val="003632D9"/>
    <w:rsid w:val="00363902"/>
    <w:rsid w:val="00363C45"/>
    <w:rsid w:val="003642E3"/>
    <w:rsid w:val="003646C3"/>
    <w:rsid w:val="003653F7"/>
    <w:rsid w:val="00366E31"/>
    <w:rsid w:val="003670BB"/>
    <w:rsid w:val="003671E6"/>
    <w:rsid w:val="0036780D"/>
    <w:rsid w:val="003678F1"/>
    <w:rsid w:val="00367A65"/>
    <w:rsid w:val="003702A6"/>
    <w:rsid w:val="00370619"/>
    <w:rsid w:val="00370875"/>
    <w:rsid w:val="00371CE9"/>
    <w:rsid w:val="00372CE2"/>
    <w:rsid w:val="003730C8"/>
    <w:rsid w:val="003740AC"/>
    <w:rsid w:val="00374576"/>
    <w:rsid w:val="0037484F"/>
    <w:rsid w:val="00374D89"/>
    <w:rsid w:val="00375E48"/>
    <w:rsid w:val="00376CFE"/>
    <w:rsid w:val="00376D5D"/>
    <w:rsid w:val="0037709A"/>
    <w:rsid w:val="00377A85"/>
    <w:rsid w:val="00380305"/>
    <w:rsid w:val="00380D4D"/>
    <w:rsid w:val="00380F55"/>
    <w:rsid w:val="00381207"/>
    <w:rsid w:val="003813F5"/>
    <w:rsid w:val="00381597"/>
    <w:rsid w:val="003817FE"/>
    <w:rsid w:val="00381981"/>
    <w:rsid w:val="00382174"/>
    <w:rsid w:val="003821A8"/>
    <w:rsid w:val="003830A7"/>
    <w:rsid w:val="003832E8"/>
    <w:rsid w:val="00383A94"/>
    <w:rsid w:val="00383E03"/>
    <w:rsid w:val="003848B5"/>
    <w:rsid w:val="00385208"/>
    <w:rsid w:val="003855C0"/>
    <w:rsid w:val="0038794D"/>
    <w:rsid w:val="003904F0"/>
    <w:rsid w:val="00390FF4"/>
    <w:rsid w:val="00391FE2"/>
    <w:rsid w:val="003920F0"/>
    <w:rsid w:val="00392282"/>
    <w:rsid w:val="00392B93"/>
    <w:rsid w:val="00392D4F"/>
    <w:rsid w:val="00393F6B"/>
    <w:rsid w:val="003940E8"/>
    <w:rsid w:val="00394338"/>
    <w:rsid w:val="003946B6"/>
    <w:rsid w:val="00394959"/>
    <w:rsid w:val="00394E85"/>
    <w:rsid w:val="00395026"/>
    <w:rsid w:val="00395267"/>
    <w:rsid w:val="003952C4"/>
    <w:rsid w:val="00395CB2"/>
    <w:rsid w:val="00395D5F"/>
    <w:rsid w:val="00397761"/>
    <w:rsid w:val="0039784E"/>
    <w:rsid w:val="00397EB0"/>
    <w:rsid w:val="003A0DB6"/>
    <w:rsid w:val="003A0ED3"/>
    <w:rsid w:val="003A14F6"/>
    <w:rsid w:val="003A16EB"/>
    <w:rsid w:val="003A2454"/>
    <w:rsid w:val="003A2455"/>
    <w:rsid w:val="003A33AB"/>
    <w:rsid w:val="003A35A1"/>
    <w:rsid w:val="003A4385"/>
    <w:rsid w:val="003A43D0"/>
    <w:rsid w:val="003A4DAD"/>
    <w:rsid w:val="003A4FDF"/>
    <w:rsid w:val="003A53F8"/>
    <w:rsid w:val="003A5BEF"/>
    <w:rsid w:val="003A632A"/>
    <w:rsid w:val="003A6669"/>
    <w:rsid w:val="003A6A04"/>
    <w:rsid w:val="003A6B5C"/>
    <w:rsid w:val="003B0416"/>
    <w:rsid w:val="003B0439"/>
    <w:rsid w:val="003B0869"/>
    <w:rsid w:val="003B0B23"/>
    <w:rsid w:val="003B0EBA"/>
    <w:rsid w:val="003B1144"/>
    <w:rsid w:val="003B14BC"/>
    <w:rsid w:val="003B16D8"/>
    <w:rsid w:val="003B1725"/>
    <w:rsid w:val="003B1CF2"/>
    <w:rsid w:val="003B2041"/>
    <w:rsid w:val="003B269A"/>
    <w:rsid w:val="003B28A7"/>
    <w:rsid w:val="003B335C"/>
    <w:rsid w:val="003B3EBC"/>
    <w:rsid w:val="003B4047"/>
    <w:rsid w:val="003B474A"/>
    <w:rsid w:val="003B4E10"/>
    <w:rsid w:val="003B4EA0"/>
    <w:rsid w:val="003B79DF"/>
    <w:rsid w:val="003B7A21"/>
    <w:rsid w:val="003C07AC"/>
    <w:rsid w:val="003C0B57"/>
    <w:rsid w:val="003C0D2E"/>
    <w:rsid w:val="003C0FE6"/>
    <w:rsid w:val="003C18C5"/>
    <w:rsid w:val="003C19B1"/>
    <w:rsid w:val="003C1FF6"/>
    <w:rsid w:val="003C3496"/>
    <w:rsid w:val="003C399B"/>
    <w:rsid w:val="003C3B94"/>
    <w:rsid w:val="003C4306"/>
    <w:rsid w:val="003C5306"/>
    <w:rsid w:val="003C57B8"/>
    <w:rsid w:val="003C62FE"/>
    <w:rsid w:val="003C65F4"/>
    <w:rsid w:val="003C7432"/>
    <w:rsid w:val="003C74BC"/>
    <w:rsid w:val="003C75FF"/>
    <w:rsid w:val="003D0497"/>
    <w:rsid w:val="003D0969"/>
    <w:rsid w:val="003D0BC6"/>
    <w:rsid w:val="003D1789"/>
    <w:rsid w:val="003D1D81"/>
    <w:rsid w:val="003D31EB"/>
    <w:rsid w:val="003D3305"/>
    <w:rsid w:val="003D351C"/>
    <w:rsid w:val="003D36C4"/>
    <w:rsid w:val="003D396A"/>
    <w:rsid w:val="003D3DF4"/>
    <w:rsid w:val="003D4C2B"/>
    <w:rsid w:val="003D5599"/>
    <w:rsid w:val="003D6069"/>
    <w:rsid w:val="003D66C9"/>
    <w:rsid w:val="003D6A6E"/>
    <w:rsid w:val="003D6F3A"/>
    <w:rsid w:val="003D733D"/>
    <w:rsid w:val="003D7974"/>
    <w:rsid w:val="003D7A21"/>
    <w:rsid w:val="003D7C6B"/>
    <w:rsid w:val="003D7D56"/>
    <w:rsid w:val="003E0987"/>
    <w:rsid w:val="003E0B06"/>
    <w:rsid w:val="003E1568"/>
    <w:rsid w:val="003E32A3"/>
    <w:rsid w:val="003E3526"/>
    <w:rsid w:val="003E36B1"/>
    <w:rsid w:val="003E44BF"/>
    <w:rsid w:val="003E74A6"/>
    <w:rsid w:val="003E7D23"/>
    <w:rsid w:val="003F01AA"/>
    <w:rsid w:val="003F047F"/>
    <w:rsid w:val="003F212A"/>
    <w:rsid w:val="003F2E53"/>
    <w:rsid w:val="003F2F03"/>
    <w:rsid w:val="003F46A0"/>
    <w:rsid w:val="003F4EE4"/>
    <w:rsid w:val="003F5377"/>
    <w:rsid w:val="003F56B8"/>
    <w:rsid w:val="003F5829"/>
    <w:rsid w:val="003F5C70"/>
    <w:rsid w:val="003F6A8B"/>
    <w:rsid w:val="003F6BD4"/>
    <w:rsid w:val="003F7175"/>
    <w:rsid w:val="004002E5"/>
    <w:rsid w:val="004005AF"/>
    <w:rsid w:val="004012C0"/>
    <w:rsid w:val="004018BA"/>
    <w:rsid w:val="00401ECD"/>
    <w:rsid w:val="0040275F"/>
    <w:rsid w:val="004029C9"/>
    <w:rsid w:val="00403CA8"/>
    <w:rsid w:val="00404B6F"/>
    <w:rsid w:val="00404EAA"/>
    <w:rsid w:val="00405189"/>
    <w:rsid w:val="0040530F"/>
    <w:rsid w:val="004053A6"/>
    <w:rsid w:val="004059E0"/>
    <w:rsid w:val="00405BA5"/>
    <w:rsid w:val="004063C0"/>
    <w:rsid w:val="00406FB4"/>
    <w:rsid w:val="00407104"/>
    <w:rsid w:val="0040715C"/>
    <w:rsid w:val="00407554"/>
    <w:rsid w:val="00407597"/>
    <w:rsid w:val="00407E60"/>
    <w:rsid w:val="00407F10"/>
    <w:rsid w:val="004126E0"/>
    <w:rsid w:val="00412E14"/>
    <w:rsid w:val="004134D9"/>
    <w:rsid w:val="004134E4"/>
    <w:rsid w:val="004137B4"/>
    <w:rsid w:val="0041388D"/>
    <w:rsid w:val="00413DD7"/>
    <w:rsid w:val="004152BB"/>
    <w:rsid w:val="004159A1"/>
    <w:rsid w:val="004168EA"/>
    <w:rsid w:val="00416D6B"/>
    <w:rsid w:val="0041745A"/>
    <w:rsid w:val="00417DC1"/>
    <w:rsid w:val="00420E5F"/>
    <w:rsid w:val="00422587"/>
    <w:rsid w:val="00422841"/>
    <w:rsid w:val="00423F9A"/>
    <w:rsid w:val="00424EF7"/>
    <w:rsid w:val="00425912"/>
    <w:rsid w:val="004259E7"/>
    <w:rsid w:val="00426581"/>
    <w:rsid w:val="00426727"/>
    <w:rsid w:val="00426C5D"/>
    <w:rsid w:val="00427A58"/>
    <w:rsid w:val="00427FFA"/>
    <w:rsid w:val="00430979"/>
    <w:rsid w:val="00430C94"/>
    <w:rsid w:val="00431263"/>
    <w:rsid w:val="00431BC8"/>
    <w:rsid w:val="00431EB4"/>
    <w:rsid w:val="00432379"/>
    <w:rsid w:val="004329C5"/>
    <w:rsid w:val="0043353B"/>
    <w:rsid w:val="00433A0A"/>
    <w:rsid w:val="00433B97"/>
    <w:rsid w:val="0043417B"/>
    <w:rsid w:val="00434589"/>
    <w:rsid w:val="0043464F"/>
    <w:rsid w:val="00434703"/>
    <w:rsid w:val="00434B26"/>
    <w:rsid w:val="0043598B"/>
    <w:rsid w:val="00435C45"/>
    <w:rsid w:val="00435E69"/>
    <w:rsid w:val="0043646E"/>
    <w:rsid w:val="004364AB"/>
    <w:rsid w:val="0043674F"/>
    <w:rsid w:val="00436FA3"/>
    <w:rsid w:val="00437184"/>
    <w:rsid w:val="0043772F"/>
    <w:rsid w:val="00440A6E"/>
    <w:rsid w:val="00440E18"/>
    <w:rsid w:val="0044175E"/>
    <w:rsid w:val="00441BD4"/>
    <w:rsid w:val="00442B9A"/>
    <w:rsid w:val="00442FE2"/>
    <w:rsid w:val="0044379B"/>
    <w:rsid w:val="00443BC2"/>
    <w:rsid w:val="00443EC1"/>
    <w:rsid w:val="00444B01"/>
    <w:rsid w:val="00444DB0"/>
    <w:rsid w:val="00445133"/>
    <w:rsid w:val="004456F3"/>
    <w:rsid w:val="004457FD"/>
    <w:rsid w:val="00445E4F"/>
    <w:rsid w:val="00445F70"/>
    <w:rsid w:val="004461C6"/>
    <w:rsid w:val="004477F1"/>
    <w:rsid w:val="00447D51"/>
    <w:rsid w:val="00447F7F"/>
    <w:rsid w:val="0045030D"/>
    <w:rsid w:val="0045078D"/>
    <w:rsid w:val="00450ABA"/>
    <w:rsid w:val="00450BEA"/>
    <w:rsid w:val="00450EF0"/>
    <w:rsid w:val="004510A0"/>
    <w:rsid w:val="0045158F"/>
    <w:rsid w:val="00451C0A"/>
    <w:rsid w:val="00451E14"/>
    <w:rsid w:val="00452717"/>
    <w:rsid w:val="004528A4"/>
    <w:rsid w:val="0045292D"/>
    <w:rsid w:val="00452FB3"/>
    <w:rsid w:val="00453E24"/>
    <w:rsid w:val="00454A0B"/>
    <w:rsid w:val="004550EB"/>
    <w:rsid w:val="004557D9"/>
    <w:rsid w:val="00455FE1"/>
    <w:rsid w:val="00456898"/>
    <w:rsid w:val="004569A5"/>
    <w:rsid w:val="004569FA"/>
    <w:rsid w:val="00456BFF"/>
    <w:rsid w:val="00457230"/>
    <w:rsid w:val="004573F1"/>
    <w:rsid w:val="00457B40"/>
    <w:rsid w:val="00457D2C"/>
    <w:rsid w:val="00457EA6"/>
    <w:rsid w:val="00460105"/>
    <w:rsid w:val="004605BC"/>
    <w:rsid w:val="00460BEB"/>
    <w:rsid w:val="0046182D"/>
    <w:rsid w:val="00461F02"/>
    <w:rsid w:val="00462263"/>
    <w:rsid w:val="00462987"/>
    <w:rsid w:val="00462C59"/>
    <w:rsid w:val="00462EB3"/>
    <w:rsid w:val="0046303D"/>
    <w:rsid w:val="00464F36"/>
    <w:rsid w:val="00465FC4"/>
    <w:rsid w:val="00466857"/>
    <w:rsid w:val="004676C1"/>
    <w:rsid w:val="00467A6B"/>
    <w:rsid w:val="00467BD3"/>
    <w:rsid w:val="00467C95"/>
    <w:rsid w:val="00467ED4"/>
    <w:rsid w:val="004704B0"/>
    <w:rsid w:val="00472072"/>
    <w:rsid w:val="0047224F"/>
    <w:rsid w:val="00472DC2"/>
    <w:rsid w:val="00472FC6"/>
    <w:rsid w:val="004731F2"/>
    <w:rsid w:val="00473DD3"/>
    <w:rsid w:val="00475C35"/>
    <w:rsid w:val="00476320"/>
    <w:rsid w:val="00476641"/>
    <w:rsid w:val="00476830"/>
    <w:rsid w:val="00476E3B"/>
    <w:rsid w:val="00476F7C"/>
    <w:rsid w:val="00477621"/>
    <w:rsid w:val="004809A6"/>
    <w:rsid w:val="00480C98"/>
    <w:rsid w:val="00481542"/>
    <w:rsid w:val="00482271"/>
    <w:rsid w:val="00482531"/>
    <w:rsid w:val="00482BC7"/>
    <w:rsid w:val="00482FCB"/>
    <w:rsid w:val="00483231"/>
    <w:rsid w:val="00483861"/>
    <w:rsid w:val="0048402F"/>
    <w:rsid w:val="00484821"/>
    <w:rsid w:val="00485134"/>
    <w:rsid w:val="00485818"/>
    <w:rsid w:val="00485BEC"/>
    <w:rsid w:val="00486DA0"/>
    <w:rsid w:val="00487199"/>
    <w:rsid w:val="00487335"/>
    <w:rsid w:val="00491AB9"/>
    <w:rsid w:val="00491D0A"/>
    <w:rsid w:val="00491F63"/>
    <w:rsid w:val="004922CC"/>
    <w:rsid w:val="004925A1"/>
    <w:rsid w:val="004926B7"/>
    <w:rsid w:val="0049292B"/>
    <w:rsid w:val="00492BC0"/>
    <w:rsid w:val="0049360D"/>
    <w:rsid w:val="0049363D"/>
    <w:rsid w:val="004947AF"/>
    <w:rsid w:val="004947FD"/>
    <w:rsid w:val="004949B3"/>
    <w:rsid w:val="00494A45"/>
    <w:rsid w:val="00494CDE"/>
    <w:rsid w:val="00494F85"/>
    <w:rsid w:val="004951A0"/>
    <w:rsid w:val="00495285"/>
    <w:rsid w:val="00495DD9"/>
    <w:rsid w:val="00495E4F"/>
    <w:rsid w:val="0049639F"/>
    <w:rsid w:val="004973ED"/>
    <w:rsid w:val="00497AED"/>
    <w:rsid w:val="00497B7B"/>
    <w:rsid w:val="00497F36"/>
    <w:rsid w:val="004A082E"/>
    <w:rsid w:val="004A0A5E"/>
    <w:rsid w:val="004A17FE"/>
    <w:rsid w:val="004A1D38"/>
    <w:rsid w:val="004A30FA"/>
    <w:rsid w:val="004A3858"/>
    <w:rsid w:val="004A3FA6"/>
    <w:rsid w:val="004A4169"/>
    <w:rsid w:val="004A5078"/>
    <w:rsid w:val="004A5441"/>
    <w:rsid w:val="004A561E"/>
    <w:rsid w:val="004A6CAA"/>
    <w:rsid w:val="004A6CF5"/>
    <w:rsid w:val="004A6F71"/>
    <w:rsid w:val="004B0E85"/>
    <w:rsid w:val="004B1425"/>
    <w:rsid w:val="004B169F"/>
    <w:rsid w:val="004B18D7"/>
    <w:rsid w:val="004B1F8C"/>
    <w:rsid w:val="004B2D48"/>
    <w:rsid w:val="004B372F"/>
    <w:rsid w:val="004B3A06"/>
    <w:rsid w:val="004B4212"/>
    <w:rsid w:val="004B4BEE"/>
    <w:rsid w:val="004B53BA"/>
    <w:rsid w:val="004B61B8"/>
    <w:rsid w:val="004B6DAB"/>
    <w:rsid w:val="004B7539"/>
    <w:rsid w:val="004C13CC"/>
    <w:rsid w:val="004C15BB"/>
    <w:rsid w:val="004C1D2D"/>
    <w:rsid w:val="004C1D7D"/>
    <w:rsid w:val="004C3350"/>
    <w:rsid w:val="004C49FB"/>
    <w:rsid w:val="004C4C2F"/>
    <w:rsid w:val="004C523B"/>
    <w:rsid w:val="004C593D"/>
    <w:rsid w:val="004C68E3"/>
    <w:rsid w:val="004C7334"/>
    <w:rsid w:val="004C7377"/>
    <w:rsid w:val="004C79A0"/>
    <w:rsid w:val="004C7DC6"/>
    <w:rsid w:val="004D0A34"/>
    <w:rsid w:val="004D0ACF"/>
    <w:rsid w:val="004D0C9C"/>
    <w:rsid w:val="004D0DFC"/>
    <w:rsid w:val="004D0EF2"/>
    <w:rsid w:val="004D0F25"/>
    <w:rsid w:val="004D140E"/>
    <w:rsid w:val="004D238A"/>
    <w:rsid w:val="004D39BA"/>
    <w:rsid w:val="004D3CEB"/>
    <w:rsid w:val="004D4312"/>
    <w:rsid w:val="004D4DBB"/>
    <w:rsid w:val="004D50F2"/>
    <w:rsid w:val="004D59DE"/>
    <w:rsid w:val="004D5DFB"/>
    <w:rsid w:val="004D5FAD"/>
    <w:rsid w:val="004D6553"/>
    <w:rsid w:val="004D6E40"/>
    <w:rsid w:val="004D6ED7"/>
    <w:rsid w:val="004D72C1"/>
    <w:rsid w:val="004D7FD5"/>
    <w:rsid w:val="004E0FBE"/>
    <w:rsid w:val="004E17CD"/>
    <w:rsid w:val="004E2588"/>
    <w:rsid w:val="004E3344"/>
    <w:rsid w:val="004E3E63"/>
    <w:rsid w:val="004E4800"/>
    <w:rsid w:val="004E53FA"/>
    <w:rsid w:val="004E58E9"/>
    <w:rsid w:val="004E6A78"/>
    <w:rsid w:val="004E6F4C"/>
    <w:rsid w:val="004E725A"/>
    <w:rsid w:val="004F034D"/>
    <w:rsid w:val="004F0457"/>
    <w:rsid w:val="004F0AEC"/>
    <w:rsid w:val="004F0B8A"/>
    <w:rsid w:val="004F0CEC"/>
    <w:rsid w:val="004F0E58"/>
    <w:rsid w:val="004F1A5C"/>
    <w:rsid w:val="004F2172"/>
    <w:rsid w:val="004F217B"/>
    <w:rsid w:val="004F2381"/>
    <w:rsid w:val="004F259F"/>
    <w:rsid w:val="004F25AA"/>
    <w:rsid w:val="004F36CE"/>
    <w:rsid w:val="004F3C6D"/>
    <w:rsid w:val="004F4126"/>
    <w:rsid w:val="004F4232"/>
    <w:rsid w:val="004F5952"/>
    <w:rsid w:val="004F681E"/>
    <w:rsid w:val="004F7448"/>
    <w:rsid w:val="004F74CF"/>
    <w:rsid w:val="004F774C"/>
    <w:rsid w:val="004F790E"/>
    <w:rsid w:val="00500540"/>
    <w:rsid w:val="00500791"/>
    <w:rsid w:val="00500A4B"/>
    <w:rsid w:val="0050152D"/>
    <w:rsid w:val="00501CBA"/>
    <w:rsid w:val="00501EF2"/>
    <w:rsid w:val="0050204E"/>
    <w:rsid w:val="0050263B"/>
    <w:rsid w:val="00502BC6"/>
    <w:rsid w:val="00502E27"/>
    <w:rsid w:val="00503FB5"/>
    <w:rsid w:val="0050453C"/>
    <w:rsid w:val="00504547"/>
    <w:rsid w:val="00505C7B"/>
    <w:rsid w:val="00506357"/>
    <w:rsid w:val="00506EFF"/>
    <w:rsid w:val="0050772B"/>
    <w:rsid w:val="00507D7B"/>
    <w:rsid w:val="00510119"/>
    <w:rsid w:val="005102A4"/>
    <w:rsid w:val="0051055C"/>
    <w:rsid w:val="00512D78"/>
    <w:rsid w:val="00512DE3"/>
    <w:rsid w:val="00512E95"/>
    <w:rsid w:val="005133C6"/>
    <w:rsid w:val="00514288"/>
    <w:rsid w:val="005142D2"/>
    <w:rsid w:val="0051452A"/>
    <w:rsid w:val="005149F7"/>
    <w:rsid w:val="00514A8B"/>
    <w:rsid w:val="00515CD7"/>
    <w:rsid w:val="00515EF4"/>
    <w:rsid w:val="00516278"/>
    <w:rsid w:val="00516AB3"/>
    <w:rsid w:val="00516AB4"/>
    <w:rsid w:val="005171B6"/>
    <w:rsid w:val="00517CFE"/>
    <w:rsid w:val="0052042C"/>
    <w:rsid w:val="00520EB1"/>
    <w:rsid w:val="00521B46"/>
    <w:rsid w:val="00521CBF"/>
    <w:rsid w:val="00521F6D"/>
    <w:rsid w:val="005222DD"/>
    <w:rsid w:val="005223E9"/>
    <w:rsid w:val="00524303"/>
    <w:rsid w:val="005247C1"/>
    <w:rsid w:val="00525936"/>
    <w:rsid w:val="00526667"/>
    <w:rsid w:val="00527010"/>
    <w:rsid w:val="0052716F"/>
    <w:rsid w:val="005273EB"/>
    <w:rsid w:val="00527A60"/>
    <w:rsid w:val="00527DC0"/>
    <w:rsid w:val="00530493"/>
    <w:rsid w:val="0053069E"/>
    <w:rsid w:val="00530D1A"/>
    <w:rsid w:val="005310A7"/>
    <w:rsid w:val="0053155E"/>
    <w:rsid w:val="00532226"/>
    <w:rsid w:val="005326DD"/>
    <w:rsid w:val="005328B4"/>
    <w:rsid w:val="00532997"/>
    <w:rsid w:val="00532FF2"/>
    <w:rsid w:val="00533233"/>
    <w:rsid w:val="00533DD5"/>
    <w:rsid w:val="0053420D"/>
    <w:rsid w:val="00534AEA"/>
    <w:rsid w:val="00535078"/>
    <w:rsid w:val="00535A01"/>
    <w:rsid w:val="00535BAB"/>
    <w:rsid w:val="00535D57"/>
    <w:rsid w:val="0053721F"/>
    <w:rsid w:val="0053726B"/>
    <w:rsid w:val="00540043"/>
    <w:rsid w:val="005403A3"/>
    <w:rsid w:val="00540635"/>
    <w:rsid w:val="00540AF6"/>
    <w:rsid w:val="00541075"/>
    <w:rsid w:val="005411BD"/>
    <w:rsid w:val="005414D7"/>
    <w:rsid w:val="00541963"/>
    <w:rsid w:val="00541C3A"/>
    <w:rsid w:val="005422AA"/>
    <w:rsid w:val="0054282A"/>
    <w:rsid w:val="0054317D"/>
    <w:rsid w:val="0054334B"/>
    <w:rsid w:val="00543682"/>
    <w:rsid w:val="00543ACC"/>
    <w:rsid w:val="00543CDB"/>
    <w:rsid w:val="00544156"/>
    <w:rsid w:val="005442A2"/>
    <w:rsid w:val="00544597"/>
    <w:rsid w:val="00544654"/>
    <w:rsid w:val="00544A38"/>
    <w:rsid w:val="00544D9F"/>
    <w:rsid w:val="0054505A"/>
    <w:rsid w:val="00545073"/>
    <w:rsid w:val="00545638"/>
    <w:rsid w:val="00545821"/>
    <w:rsid w:val="00545D0C"/>
    <w:rsid w:val="005469CB"/>
    <w:rsid w:val="00546BF2"/>
    <w:rsid w:val="005470A9"/>
    <w:rsid w:val="0054734D"/>
    <w:rsid w:val="00547B5F"/>
    <w:rsid w:val="00547CB7"/>
    <w:rsid w:val="00547ECC"/>
    <w:rsid w:val="00550011"/>
    <w:rsid w:val="005505A7"/>
    <w:rsid w:val="00550B50"/>
    <w:rsid w:val="00551AC5"/>
    <w:rsid w:val="00551AEB"/>
    <w:rsid w:val="00551E1F"/>
    <w:rsid w:val="00551F10"/>
    <w:rsid w:val="005520F0"/>
    <w:rsid w:val="00552604"/>
    <w:rsid w:val="00552F1B"/>
    <w:rsid w:val="00552F9A"/>
    <w:rsid w:val="005533FF"/>
    <w:rsid w:val="00553404"/>
    <w:rsid w:val="005535A4"/>
    <w:rsid w:val="00553757"/>
    <w:rsid w:val="0055487E"/>
    <w:rsid w:val="00554F41"/>
    <w:rsid w:val="00554F9B"/>
    <w:rsid w:val="0055507F"/>
    <w:rsid w:val="00555965"/>
    <w:rsid w:val="00555EB8"/>
    <w:rsid w:val="0056125C"/>
    <w:rsid w:val="00561361"/>
    <w:rsid w:val="00561387"/>
    <w:rsid w:val="00561759"/>
    <w:rsid w:val="005618C8"/>
    <w:rsid w:val="005619BB"/>
    <w:rsid w:val="00561F63"/>
    <w:rsid w:val="00562747"/>
    <w:rsid w:val="00562EF3"/>
    <w:rsid w:val="00563C5A"/>
    <w:rsid w:val="00563F75"/>
    <w:rsid w:val="005642C9"/>
    <w:rsid w:val="00564419"/>
    <w:rsid w:val="00564502"/>
    <w:rsid w:val="00564697"/>
    <w:rsid w:val="005647D5"/>
    <w:rsid w:val="00564BC9"/>
    <w:rsid w:val="00564C66"/>
    <w:rsid w:val="00565771"/>
    <w:rsid w:val="00565D14"/>
    <w:rsid w:val="00566946"/>
    <w:rsid w:val="00567AAC"/>
    <w:rsid w:val="00567D13"/>
    <w:rsid w:val="00570A23"/>
    <w:rsid w:val="00571855"/>
    <w:rsid w:val="00571E1D"/>
    <w:rsid w:val="00572290"/>
    <w:rsid w:val="00572ADB"/>
    <w:rsid w:val="00573E54"/>
    <w:rsid w:val="005741AA"/>
    <w:rsid w:val="005742DB"/>
    <w:rsid w:val="005745B1"/>
    <w:rsid w:val="00574A83"/>
    <w:rsid w:val="00574C89"/>
    <w:rsid w:val="00574F69"/>
    <w:rsid w:val="00575105"/>
    <w:rsid w:val="0057545C"/>
    <w:rsid w:val="00575833"/>
    <w:rsid w:val="00576357"/>
    <w:rsid w:val="00576763"/>
    <w:rsid w:val="00576F3A"/>
    <w:rsid w:val="00577174"/>
    <w:rsid w:val="00577A42"/>
    <w:rsid w:val="00577E49"/>
    <w:rsid w:val="005801B7"/>
    <w:rsid w:val="00581323"/>
    <w:rsid w:val="005814E2"/>
    <w:rsid w:val="00582694"/>
    <w:rsid w:val="00583304"/>
    <w:rsid w:val="00583D89"/>
    <w:rsid w:val="00583F72"/>
    <w:rsid w:val="00584073"/>
    <w:rsid w:val="0058430D"/>
    <w:rsid w:val="00584AA2"/>
    <w:rsid w:val="005851AA"/>
    <w:rsid w:val="0058568A"/>
    <w:rsid w:val="0058574B"/>
    <w:rsid w:val="005857A9"/>
    <w:rsid w:val="00585A48"/>
    <w:rsid w:val="005861E6"/>
    <w:rsid w:val="005867EC"/>
    <w:rsid w:val="005868CF"/>
    <w:rsid w:val="00586E9A"/>
    <w:rsid w:val="00591147"/>
    <w:rsid w:val="0059163F"/>
    <w:rsid w:val="005923D3"/>
    <w:rsid w:val="00592582"/>
    <w:rsid w:val="00592BC4"/>
    <w:rsid w:val="00592D0C"/>
    <w:rsid w:val="00592E6E"/>
    <w:rsid w:val="00593CC9"/>
    <w:rsid w:val="00593E99"/>
    <w:rsid w:val="00594255"/>
    <w:rsid w:val="00594501"/>
    <w:rsid w:val="00595AF5"/>
    <w:rsid w:val="00595E65"/>
    <w:rsid w:val="0059664A"/>
    <w:rsid w:val="00596759"/>
    <w:rsid w:val="005968EB"/>
    <w:rsid w:val="0059704A"/>
    <w:rsid w:val="00597218"/>
    <w:rsid w:val="005975D4"/>
    <w:rsid w:val="00597E8D"/>
    <w:rsid w:val="005A0392"/>
    <w:rsid w:val="005A0966"/>
    <w:rsid w:val="005A0DDC"/>
    <w:rsid w:val="005A1265"/>
    <w:rsid w:val="005A1F36"/>
    <w:rsid w:val="005A2044"/>
    <w:rsid w:val="005A2188"/>
    <w:rsid w:val="005A2543"/>
    <w:rsid w:val="005A2599"/>
    <w:rsid w:val="005A483A"/>
    <w:rsid w:val="005A4BE0"/>
    <w:rsid w:val="005A5401"/>
    <w:rsid w:val="005A6402"/>
    <w:rsid w:val="005B05A5"/>
    <w:rsid w:val="005B1686"/>
    <w:rsid w:val="005B1F4D"/>
    <w:rsid w:val="005B272A"/>
    <w:rsid w:val="005B2831"/>
    <w:rsid w:val="005B28FA"/>
    <w:rsid w:val="005B41C8"/>
    <w:rsid w:val="005B501D"/>
    <w:rsid w:val="005B559A"/>
    <w:rsid w:val="005B595B"/>
    <w:rsid w:val="005B5A76"/>
    <w:rsid w:val="005B6F66"/>
    <w:rsid w:val="005B7359"/>
    <w:rsid w:val="005B7555"/>
    <w:rsid w:val="005C0605"/>
    <w:rsid w:val="005C061C"/>
    <w:rsid w:val="005C0FEC"/>
    <w:rsid w:val="005C2035"/>
    <w:rsid w:val="005C257C"/>
    <w:rsid w:val="005C299D"/>
    <w:rsid w:val="005C2B44"/>
    <w:rsid w:val="005C2F5C"/>
    <w:rsid w:val="005C40C4"/>
    <w:rsid w:val="005C59AF"/>
    <w:rsid w:val="005C5A28"/>
    <w:rsid w:val="005C600C"/>
    <w:rsid w:val="005C601C"/>
    <w:rsid w:val="005C638F"/>
    <w:rsid w:val="005C6953"/>
    <w:rsid w:val="005C6DC8"/>
    <w:rsid w:val="005C7157"/>
    <w:rsid w:val="005C7D5F"/>
    <w:rsid w:val="005D03C4"/>
    <w:rsid w:val="005D065A"/>
    <w:rsid w:val="005D099F"/>
    <w:rsid w:val="005D0AC4"/>
    <w:rsid w:val="005D0C2F"/>
    <w:rsid w:val="005D1414"/>
    <w:rsid w:val="005D1B4C"/>
    <w:rsid w:val="005D2062"/>
    <w:rsid w:val="005D22F8"/>
    <w:rsid w:val="005D3116"/>
    <w:rsid w:val="005D3916"/>
    <w:rsid w:val="005D4367"/>
    <w:rsid w:val="005D4A94"/>
    <w:rsid w:val="005D4E1F"/>
    <w:rsid w:val="005D4FFC"/>
    <w:rsid w:val="005D544A"/>
    <w:rsid w:val="005D5CB5"/>
    <w:rsid w:val="005D5E14"/>
    <w:rsid w:val="005D6244"/>
    <w:rsid w:val="005D64BB"/>
    <w:rsid w:val="005D6E75"/>
    <w:rsid w:val="005D74CC"/>
    <w:rsid w:val="005D764F"/>
    <w:rsid w:val="005E0BE6"/>
    <w:rsid w:val="005E208E"/>
    <w:rsid w:val="005E22B4"/>
    <w:rsid w:val="005E2606"/>
    <w:rsid w:val="005E2D85"/>
    <w:rsid w:val="005E2EF6"/>
    <w:rsid w:val="005E3B8C"/>
    <w:rsid w:val="005E3CA9"/>
    <w:rsid w:val="005E5097"/>
    <w:rsid w:val="005E5A82"/>
    <w:rsid w:val="005E5DC2"/>
    <w:rsid w:val="005E69C9"/>
    <w:rsid w:val="005E7956"/>
    <w:rsid w:val="005E7AC5"/>
    <w:rsid w:val="005E7F3E"/>
    <w:rsid w:val="005F068D"/>
    <w:rsid w:val="005F0BFB"/>
    <w:rsid w:val="005F10A4"/>
    <w:rsid w:val="005F12BC"/>
    <w:rsid w:val="005F156B"/>
    <w:rsid w:val="005F17AF"/>
    <w:rsid w:val="005F2BBA"/>
    <w:rsid w:val="005F31BD"/>
    <w:rsid w:val="005F375E"/>
    <w:rsid w:val="005F3D49"/>
    <w:rsid w:val="005F3E99"/>
    <w:rsid w:val="005F42E7"/>
    <w:rsid w:val="005F4A05"/>
    <w:rsid w:val="005F6A67"/>
    <w:rsid w:val="005F7196"/>
    <w:rsid w:val="005F7C66"/>
    <w:rsid w:val="005F7CBA"/>
    <w:rsid w:val="00600926"/>
    <w:rsid w:val="00600A6D"/>
    <w:rsid w:val="00600D36"/>
    <w:rsid w:val="00601776"/>
    <w:rsid w:val="00601B1A"/>
    <w:rsid w:val="00601FFC"/>
    <w:rsid w:val="00603580"/>
    <w:rsid w:val="00604DCB"/>
    <w:rsid w:val="00604F22"/>
    <w:rsid w:val="0060587D"/>
    <w:rsid w:val="00605D7F"/>
    <w:rsid w:val="00605E40"/>
    <w:rsid w:val="00606577"/>
    <w:rsid w:val="006065E6"/>
    <w:rsid w:val="00606601"/>
    <w:rsid w:val="0060744A"/>
    <w:rsid w:val="00607C0F"/>
    <w:rsid w:val="00607F71"/>
    <w:rsid w:val="00610081"/>
    <w:rsid w:val="006100C4"/>
    <w:rsid w:val="00610C3F"/>
    <w:rsid w:val="006113F1"/>
    <w:rsid w:val="0061151D"/>
    <w:rsid w:val="00611682"/>
    <w:rsid w:val="00611C99"/>
    <w:rsid w:val="00611E56"/>
    <w:rsid w:val="00612017"/>
    <w:rsid w:val="00612F4C"/>
    <w:rsid w:val="00614354"/>
    <w:rsid w:val="006146A3"/>
    <w:rsid w:val="00614A89"/>
    <w:rsid w:val="0061507D"/>
    <w:rsid w:val="006155BD"/>
    <w:rsid w:val="006159AE"/>
    <w:rsid w:val="006161E0"/>
    <w:rsid w:val="006162B8"/>
    <w:rsid w:val="00616A42"/>
    <w:rsid w:val="00616E28"/>
    <w:rsid w:val="0061712A"/>
    <w:rsid w:val="00617627"/>
    <w:rsid w:val="00617ADC"/>
    <w:rsid w:val="006207CB"/>
    <w:rsid w:val="00620991"/>
    <w:rsid w:val="0062188D"/>
    <w:rsid w:val="00622080"/>
    <w:rsid w:val="00622949"/>
    <w:rsid w:val="00622C03"/>
    <w:rsid w:val="00622DF6"/>
    <w:rsid w:val="00623273"/>
    <w:rsid w:val="0062346A"/>
    <w:rsid w:val="00623706"/>
    <w:rsid w:val="00623F46"/>
    <w:rsid w:val="00624C98"/>
    <w:rsid w:val="00624D19"/>
    <w:rsid w:val="0062669E"/>
    <w:rsid w:val="00626814"/>
    <w:rsid w:val="00626C97"/>
    <w:rsid w:val="00626E15"/>
    <w:rsid w:val="00627168"/>
    <w:rsid w:val="00627F3F"/>
    <w:rsid w:val="00630E28"/>
    <w:rsid w:val="006327D2"/>
    <w:rsid w:val="00633463"/>
    <w:rsid w:val="0063398B"/>
    <w:rsid w:val="00633CC2"/>
    <w:rsid w:val="006341AD"/>
    <w:rsid w:val="00634A1C"/>
    <w:rsid w:val="00634D93"/>
    <w:rsid w:val="00635199"/>
    <w:rsid w:val="006357D4"/>
    <w:rsid w:val="00635EBE"/>
    <w:rsid w:val="00636C5B"/>
    <w:rsid w:val="00637350"/>
    <w:rsid w:val="006379B5"/>
    <w:rsid w:val="00637B02"/>
    <w:rsid w:val="00637D9A"/>
    <w:rsid w:val="006410DA"/>
    <w:rsid w:val="0064110C"/>
    <w:rsid w:val="0064152F"/>
    <w:rsid w:val="006415DD"/>
    <w:rsid w:val="0064209D"/>
    <w:rsid w:val="00642513"/>
    <w:rsid w:val="006434A0"/>
    <w:rsid w:val="00643935"/>
    <w:rsid w:val="00643E10"/>
    <w:rsid w:val="00644374"/>
    <w:rsid w:val="006449BB"/>
    <w:rsid w:val="00644D75"/>
    <w:rsid w:val="00645B8F"/>
    <w:rsid w:val="00645F9A"/>
    <w:rsid w:val="0064688B"/>
    <w:rsid w:val="00647998"/>
    <w:rsid w:val="0065049D"/>
    <w:rsid w:val="006519F7"/>
    <w:rsid w:val="00651A42"/>
    <w:rsid w:val="00651B27"/>
    <w:rsid w:val="006524A3"/>
    <w:rsid w:val="00652E45"/>
    <w:rsid w:val="006536B2"/>
    <w:rsid w:val="00653932"/>
    <w:rsid w:val="00653E71"/>
    <w:rsid w:val="00654656"/>
    <w:rsid w:val="00655A3E"/>
    <w:rsid w:val="00656510"/>
    <w:rsid w:val="00656EFA"/>
    <w:rsid w:val="00657A3A"/>
    <w:rsid w:val="00660296"/>
    <w:rsid w:val="0066099B"/>
    <w:rsid w:val="00660ACF"/>
    <w:rsid w:val="00660E55"/>
    <w:rsid w:val="00661180"/>
    <w:rsid w:val="0066193D"/>
    <w:rsid w:val="00661CA5"/>
    <w:rsid w:val="00662221"/>
    <w:rsid w:val="006627F9"/>
    <w:rsid w:val="00662BA4"/>
    <w:rsid w:val="00662D1B"/>
    <w:rsid w:val="00664357"/>
    <w:rsid w:val="00665883"/>
    <w:rsid w:val="006665FD"/>
    <w:rsid w:val="0066696B"/>
    <w:rsid w:val="006708E9"/>
    <w:rsid w:val="00671221"/>
    <w:rsid w:val="006715C9"/>
    <w:rsid w:val="00671B8F"/>
    <w:rsid w:val="00672DAB"/>
    <w:rsid w:val="00672EEE"/>
    <w:rsid w:val="0067305F"/>
    <w:rsid w:val="00673475"/>
    <w:rsid w:val="006734AD"/>
    <w:rsid w:val="00673511"/>
    <w:rsid w:val="00673829"/>
    <w:rsid w:val="00673D3F"/>
    <w:rsid w:val="00673D78"/>
    <w:rsid w:val="00673D8E"/>
    <w:rsid w:val="00673FC5"/>
    <w:rsid w:val="006756A7"/>
    <w:rsid w:val="00675BCC"/>
    <w:rsid w:val="00677274"/>
    <w:rsid w:val="00677293"/>
    <w:rsid w:val="0067783E"/>
    <w:rsid w:val="00677C94"/>
    <w:rsid w:val="00677E9A"/>
    <w:rsid w:val="00680018"/>
    <w:rsid w:val="00680432"/>
    <w:rsid w:val="00680926"/>
    <w:rsid w:val="00680B23"/>
    <w:rsid w:val="00680B4D"/>
    <w:rsid w:val="00680C65"/>
    <w:rsid w:val="00680E06"/>
    <w:rsid w:val="0068167B"/>
    <w:rsid w:val="00681F63"/>
    <w:rsid w:val="0068278C"/>
    <w:rsid w:val="0068295D"/>
    <w:rsid w:val="00682D1C"/>
    <w:rsid w:val="0068311D"/>
    <w:rsid w:val="00683684"/>
    <w:rsid w:val="00684249"/>
    <w:rsid w:val="006842A7"/>
    <w:rsid w:val="00684714"/>
    <w:rsid w:val="00684A60"/>
    <w:rsid w:val="00685ABF"/>
    <w:rsid w:val="00685B0E"/>
    <w:rsid w:val="00686027"/>
    <w:rsid w:val="00686EF8"/>
    <w:rsid w:val="0068789E"/>
    <w:rsid w:val="00687A6B"/>
    <w:rsid w:val="00687E46"/>
    <w:rsid w:val="00690D0C"/>
    <w:rsid w:val="00691854"/>
    <w:rsid w:val="00691D16"/>
    <w:rsid w:val="00692548"/>
    <w:rsid w:val="006925AE"/>
    <w:rsid w:val="00692F0C"/>
    <w:rsid w:val="006932CD"/>
    <w:rsid w:val="00693493"/>
    <w:rsid w:val="0069378D"/>
    <w:rsid w:val="00693C11"/>
    <w:rsid w:val="00693F11"/>
    <w:rsid w:val="00694578"/>
    <w:rsid w:val="006946B0"/>
    <w:rsid w:val="00694D60"/>
    <w:rsid w:val="00695A61"/>
    <w:rsid w:val="00695CBF"/>
    <w:rsid w:val="00695EE9"/>
    <w:rsid w:val="00695F61"/>
    <w:rsid w:val="00696175"/>
    <w:rsid w:val="006967D7"/>
    <w:rsid w:val="006969DF"/>
    <w:rsid w:val="006A01E3"/>
    <w:rsid w:val="006A07C3"/>
    <w:rsid w:val="006A135B"/>
    <w:rsid w:val="006A15F0"/>
    <w:rsid w:val="006A16BA"/>
    <w:rsid w:val="006A17CA"/>
    <w:rsid w:val="006A1BCD"/>
    <w:rsid w:val="006A1FA3"/>
    <w:rsid w:val="006A2150"/>
    <w:rsid w:val="006A28BC"/>
    <w:rsid w:val="006A2AA6"/>
    <w:rsid w:val="006A3CC0"/>
    <w:rsid w:val="006A47EC"/>
    <w:rsid w:val="006A485A"/>
    <w:rsid w:val="006A4890"/>
    <w:rsid w:val="006A4959"/>
    <w:rsid w:val="006A49E9"/>
    <w:rsid w:val="006A4EAE"/>
    <w:rsid w:val="006A698E"/>
    <w:rsid w:val="006A6E45"/>
    <w:rsid w:val="006B151D"/>
    <w:rsid w:val="006B1986"/>
    <w:rsid w:val="006B2591"/>
    <w:rsid w:val="006B31E1"/>
    <w:rsid w:val="006B3D00"/>
    <w:rsid w:val="006B527D"/>
    <w:rsid w:val="006B5525"/>
    <w:rsid w:val="006B5626"/>
    <w:rsid w:val="006B5A74"/>
    <w:rsid w:val="006B5B83"/>
    <w:rsid w:val="006B5C97"/>
    <w:rsid w:val="006B5D87"/>
    <w:rsid w:val="006B62A7"/>
    <w:rsid w:val="006B662A"/>
    <w:rsid w:val="006C0116"/>
    <w:rsid w:val="006C054D"/>
    <w:rsid w:val="006C0911"/>
    <w:rsid w:val="006C0B5E"/>
    <w:rsid w:val="006C0DA8"/>
    <w:rsid w:val="006C111E"/>
    <w:rsid w:val="006C1576"/>
    <w:rsid w:val="006C1D39"/>
    <w:rsid w:val="006C238E"/>
    <w:rsid w:val="006C2505"/>
    <w:rsid w:val="006C2617"/>
    <w:rsid w:val="006C460E"/>
    <w:rsid w:val="006C4B16"/>
    <w:rsid w:val="006C5517"/>
    <w:rsid w:val="006C620E"/>
    <w:rsid w:val="006C6E4A"/>
    <w:rsid w:val="006C77E2"/>
    <w:rsid w:val="006D010B"/>
    <w:rsid w:val="006D0A95"/>
    <w:rsid w:val="006D1141"/>
    <w:rsid w:val="006D1B82"/>
    <w:rsid w:val="006D24F3"/>
    <w:rsid w:val="006D2693"/>
    <w:rsid w:val="006D2F02"/>
    <w:rsid w:val="006D3D44"/>
    <w:rsid w:val="006D4179"/>
    <w:rsid w:val="006D4483"/>
    <w:rsid w:val="006D4A41"/>
    <w:rsid w:val="006D52D3"/>
    <w:rsid w:val="006D5705"/>
    <w:rsid w:val="006D59C7"/>
    <w:rsid w:val="006D59E1"/>
    <w:rsid w:val="006D5EA8"/>
    <w:rsid w:val="006D75F2"/>
    <w:rsid w:val="006E043B"/>
    <w:rsid w:val="006E0977"/>
    <w:rsid w:val="006E0A42"/>
    <w:rsid w:val="006E0B7E"/>
    <w:rsid w:val="006E1280"/>
    <w:rsid w:val="006E291E"/>
    <w:rsid w:val="006E2FEC"/>
    <w:rsid w:val="006E320D"/>
    <w:rsid w:val="006E3306"/>
    <w:rsid w:val="006E3B3F"/>
    <w:rsid w:val="006E454E"/>
    <w:rsid w:val="006E4B32"/>
    <w:rsid w:val="006E50E4"/>
    <w:rsid w:val="006E52E3"/>
    <w:rsid w:val="006E5DF5"/>
    <w:rsid w:val="006E6963"/>
    <w:rsid w:val="006E6A2F"/>
    <w:rsid w:val="006E73AE"/>
    <w:rsid w:val="006E7EEC"/>
    <w:rsid w:val="006F06D9"/>
    <w:rsid w:val="006F1126"/>
    <w:rsid w:val="006F1618"/>
    <w:rsid w:val="006F1C87"/>
    <w:rsid w:val="006F1E85"/>
    <w:rsid w:val="006F2563"/>
    <w:rsid w:val="006F2862"/>
    <w:rsid w:val="006F341C"/>
    <w:rsid w:val="006F341E"/>
    <w:rsid w:val="006F34E1"/>
    <w:rsid w:val="006F3CBD"/>
    <w:rsid w:val="006F4716"/>
    <w:rsid w:val="006F666A"/>
    <w:rsid w:val="006F6997"/>
    <w:rsid w:val="006F6DEB"/>
    <w:rsid w:val="006F70B1"/>
    <w:rsid w:val="006F76A2"/>
    <w:rsid w:val="006F7980"/>
    <w:rsid w:val="007005AE"/>
    <w:rsid w:val="00701000"/>
    <w:rsid w:val="007014F0"/>
    <w:rsid w:val="0070170D"/>
    <w:rsid w:val="007019FA"/>
    <w:rsid w:val="0070291A"/>
    <w:rsid w:val="00702DC0"/>
    <w:rsid w:val="00703344"/>
    <w:rsid w:val="00703520"/>
    <w:rsid w:val="00704223"/>
    <w:rsid w:val="00704313"/>
    <w:rsid w:val="00704D9C"/>
    <w:rsid w:val="00704E5D"/>
    <w:rsid w:val="0070538C"/>
    <w:rsid w:val="00705779"/>
    <w:rsid w:val="00705D3F"/>
    <w:rsid w:val="00705D8A"/>
    <w:rsid w:val="00706E2C"/>
    <w:rsid w:val="00707269"/>
    <w:rsid w:val="00707860"/>
    <w:rsid w:val="007109F7"/>
    <w:rsid w:val="007110DC"/>
    <w:rsid w:val="00711815"/>
    <w:rsid w:val="00711A42"/>
    <w:rsid w:val="00711C91"/>
    <w:rsid w:val="007123CF"/>
    <w:rsid w:val="007136C0"/>
    <w:rsid w:val="007150E4"/>
    <w:rsid w:val="007155B2"/>
    <w:rsid w:val="007156C9"/>
    <w:rsid w:val="00715C65"/>
    <w:rsid w:val="0071644D"/>
    <w:rsid w:val="00716808"/>
    <w:rsid w:val="007212C1"/>
    <w:rsid w:val="0072192B"/>
    <w:rsid w:val="00721CA3"/>
    <w:rsid w:val="007223E3"/>
    <w:rsid w:val="0072252B"/>
    <w:rsid w:val="0072259C"/>
    <w:rsid w:val="00722EB1"/>
    <w:rsid w:val="00723D60"/>
    <w:rsid w:val="007246D4"/>
    <w:rsid w:val="007257F9"/>
    <w:rsid w:val="007259BF"/>
    <w:rsid w:val="00725FDB"/>
    <w:rsid w:val="007265EF"/>
    <w:rsid w:val="00726639"/>
    <w:rsid w:val="00726AEC"/>
    <w:rsid w:val="007304A1"/>
    <w:rsid w:val="0073097F"/>
    <w:rsid w:val="00730C28"/>
    <w:rsid w:val="00730E25"/>
    <w:rsid w:val="00731669"/>
    <w:rsid w:val="00731FD5"/>
    <w:rsid w:val="00732386"/>
    <w:rsid w:val="00732517"/>
    <w:rsid w:val="0073268F"/>
    <w:rsid w:val="00733083"/>
    <w:rsid w:val="0073317D"/>
    <w:rsid w:val="007337E7"/>
    <w:rsid w:val="007347E5"/>
    <w:rsid w:val="00734DB5"/>
    <w:rsid w:val="007359FA"/>
    <w:rsid w:val="0073620A"/>
    <w:rsid w:val="0073680F"/>
    <w:rsid w:val="00736AFE"/>
    <w:rsid w:val="00737D73"/>
    <w:rsid w:val="0074049A"/>
    <w:rsid w:val="00740841"/>
    <w:rsid w:val="00742030"/>
    <w:rsid w:val="0074378B"/>
    <w:rsid w:val="00743DF2"/>
    <w:rsid w:val="007442E8"/>
    <w:rsid w:val="007447C6"/>
    <w:rsid w:val="00744E62"/>
    <w:rsid w:val="007451DA"/>
    <w:rsid w:val="00745257"/>
    <w:rsid w:val="007456B1"/>
    <w:rsid w:val="007462BF"/>
    <w:rsid w:val="00746FF1"/>
    <w:rsid w:val="00747218"/>
    <w:rsid w:val="007476EE"/>
    <w:rsid w:val="00747B6E"/>
    <w:rsid w:val="007505A4"/>
    <w:rsid w:val="0075155C"/>
    <w:rsid w:val="00752382"/>
    <w:rsid w:val="00752424"/>
    <w:rsid w:val="00752730"/>
    <w:rsid w:val="00752976"/>
    <w:rsid w:val="00753527"/>
    <w:rsid w:val="0075478E"/>
    <w:rsid w:val="00754795"/>
    <w:rsid w:val="007550AD"/>
    <w:rsid w:val="00755122"/>
    <w:rsid w:val="007553FE"/>
    <w:rsid w:val="00755B76"/>
    <w:rsid w:val="0075676C"/>
    <w:rsid w:val="00756F0B"/>
    <w:rsid w:val="00756FF1"/>
    <w:rsid w:val="00757D5B"/>
    <w:rsid w:val="00760A3A"/>
    <w:rsid w:val="00761047"/>
    <w:rsid w:val="007619B6"/>
    <w:rsid w:val="0076238C"/>
    <w:rsid w:val="007625AC"/>
    <w:rsid w:val="00762971"/>
    <w:rsid w:val="00762AA5"/>
    <w:rsid w:val="0076350B"/>
    <w:rsid w:val="00763855"/>
    <w:rsid w:val="00763A6A"/>
    <w:rsid w:val="007642DF"/>
    <w:rsid w:val="00764C0C"/>
    <w:rsid w:val="00765C85"/>
    <w:rsid w:val="00765DA8"/>
    <w:rsid w:val="00765EA8"/>
    <w:rsid w:val="00766665"/>
    <w:rsid w:val="0076670C"/>
    <w:rsid w:val="007674D1"/>
    <w:rsid w:val="00767740"/>
    <w:rsid w:val="00767845"/>
    <w:rsid w:val="007702C8"/>
    <w:rsid w:val="00770417"/>
    <w:rsid w:val="00770556"/>
    <w:rsid w:val="007716B1"/>
    <w:rsid w:val="00771CE5"/>
    <w:rsid w:val="00771D8A"/>
    <w:rsid w:val="00771E0B"/>
    <w:rsid w:val="00772715"/>
    <w:rsid w:val="0077344D"/>
    <w:rsid w:val="00773783"/>
    <w:rsid w:val="00773C2A"/>
    <w:rsid w:val="00774368"/>
    <w:rsid w:val="0077451D"/>
    <w:rsid w:val="00774C01"/>
    <w:rsid w:val="00774CA1"/>
    <w:rsid w:val="00775428"/>
    <w:rsid w:val="00776435"/>
    <w:rsid w:val="00776624"/>
    <w:rsid w:val="0077694A"/>
    <w:rsid w:val="00776C23"/>
    <w:rsid w:val="00777363"/>
    <w:rsid w:val="00777FB4"/>
    <w:rsid w:val="00780493"/>
    <w:rsid w:val="007804B9"/>
    <w:rsid w:val="007804C9"/>
    <w:rsid w:val="00780D45"/>
    <w:rsid w:val="00781010"/>
    <w:rsid w:val="00781084"/>
    <w:rsid w:val="007812B4"/>
    <w:rsid w:val="00781A81"/>
    <w:rsid w:val="00781B55"/>
    <w:rsid w:val="00781D5F"/>
    <w:rsid w:val="00782926"/>
    <w:rsid w:val="00782945"/>
    <w:rsid w:val="00782C7B"/>
    <w:rsid w:val="00783294"/>
    <w:rsid w:val="007835FC"/>
    <w:rsid w:val="007837B0"/>
    <w:rsid w:val="00784263"/>
    <w:rsid w:val="00785E3E"/>
    <w:rsid w:val="00787931"/>
    <w:rsid w:val="00787996"/>
    <w:rsid w:val="00787B04"/>
    <w:rsid w:val="00787B9B"/>
    <w:rsid w:val="00787D50"/>
    <w:rsid w:val="00790594"/>
    <w:rsid w:val="00790ABA"/>
    <w:rsid w:val="00790E88"/>
    <w:rsid w:val="007910ED"/>
    <w:rsid w:val="00791391"/>
    <w:rsid w:val="00791A1C"/>
    <w:rsid w:val="00793E43"/>
    <w:rsid w:val="0079433D"/>
    <w:rsid w:val="007944FB"/>
    <w:rsid w:val="007946AC"/>
    <w:rsid w:val="00795604"/>
    <w:rsid w:val="00795FA1"/>
    <w:rsid w:val="00796379"/>
    <w:rsid w:val="00796834"/>
    <w:rsid w:val="00796E1C"/>
    <w:rsid w:val="00797406"/>
    <w:rsid w:val="00797744"/>
    <w:rsid w:val="007A08BF"/>
    <w:rsid w:val="007A17FB"/>
    <w:rsid w:val="007A1B71"/>
    <w:rsid w:val="007A1BC7"/>
    <w:rsid w:val="007A1DD7"/>
    <w:rsid w:val="007A24E0"/>
    <w:rsid w:val="007A2E0B"/>
    <w:rsid w:val="007A3E03"/>
    <w:rsid w:val="007A5622"/>
    <w:rsid w:val="007A5CCA"/>
    <w:rsid w:val="007A5D4D"/>
    <w:rsid w:val="007A5EE1"/>
    <w:rsid w:val="007A6D31"/>
    <w:rsid w:val="007A6D78"/>
    <w:rsid w:val="007B00EA"/>
    <w:rsid w:val="007B07AE"/>
    <w:rsid w:val="007B0ED4"/>
    <w:rsid w:val="007B1E76"/>
    <w:rsid w:val="007B2C9B"/>
    <w:rsid w:val="007B34ED"/>
    <w:rsid w:val="007B3565"/>
    <w:rsid w:val="007B44F9"/>
    <w:rsid w:val="007B4B78"/>
    <w:rsid w:val="007B4B87"/>
    <w:rsid w:val="007B5CDE"/>
    <w:rsid w:val="007B5EFE"/>
    <w:rsid w:val="007B5F4A"/>
    <w:rsid w:val="007B6604"/>
    <w:rsid w:val="007B68D7"/>
    <w:rsid w:val="007B6BC6"/>
    <w:rsid w:val="007B6D13"/>
    <w:rsid w:val="007B77A7"/>
    <w:rsid w:val="007B7A97"/>
    <w:rsid w:val="007C0172"/>
    <w:rsid w:val="007C048D"/>
    <w:rsid w:val="007C05A9"/>
    <w:rsid w:val="007C0613"/>
    <w:rsid w:val="007C0ADA"/>
    <w:rsid w:val="007C1983"/>
    <w:rsid w:val="007C1AC4"/>
    <w:rsid w:val="007C21BD"/>
    <w:rsid w:val="007C2E9F"/>
    <w:rsid w:val="007C2EA7"/>
    <w:rsid w:val="007C459A"/>
    <w:rsid w:val="007C4E48"/>
    <w:rsid w:val="007C5AC8"/>
    <w:rsid w:val="007C656D"/>
    <w:rsid w:val="007C68D6"/>
    <w:rsid w:val="007C69E0"/>
    <w:rsid w:val="007C790C"/>
    <w:rsid w:val="007D131F"/>
    <w:rsid w:val="007D132E"/>
    <w:rsid w:val="007D156A"/>
    <w:rsid w:val="007D22FF"/>
    <w:rsid w:val="007D29D8"/>
    <w:rsid w:val="007D3E78"/>
    <w:rsid w:val="007D3E93"/>
    <w:rsid w:val="007D405F"/>
    <w:rsid w:val="007D4221"/>
    <w:rsid w:val="007D43C9"/>
    <w:rsid w:val="007D49D9"/>
    <w:rsid w:val="007D56EB"/>
    <w:rsid w:val="007D5872"/>
    <w:rsid w:val="007D6F20"/>
    <w:rsid w:val="007E0105"/>
    <w:rsid w:val="007E0266"/>
    <w:rsid w:val="007E1269"/>
    <w:rsid w:val="007E1901"/>
    <w:rsid w:val="007E2305"/>
    <w:rsid w:val="007E25BD"/>
    <w:rsid w:val="007E27E9"/>
    <w:rsid w:val="007E282A"/>
    <w:rsid w:val="007E3F14"/>
    <w:rsid w:val="007E418A"/>
    <w:rsid w:val="007E4674"/>
    <w:rsid w:val="007E563F"/>
    <w:rsid w:val="007E57A7"/>
    <w:rsid w:val="007E5A8A"/>
    <w:rsid w:val="007E6837"/>
    <w:rsid w:val="007E6CC6"/>
    <w:rsid w:val="007E7727"/>
    <w:rsid w:val="007E7A39"/>
    <w:rsid w:val="007E7DB0"/>
    <w:rsid w:val="007F0276"/>
    <w:rsid w:val="007F0C3D"/>
    <w:rsid w:val="007F16C4"/>
    <w:rsid w:val="007F27BB"/>
    <w:rsid w:val="007F2936"/>
    <w:rsid w:val="007F2F44"/>
    <w:rsid w:val="007F3377"/>
    <w:rsid w:val="007F34A9"/>
    <w:rsid w:val="007F35A6"/>
    <w:rsid w:val="007F3D92"/>
    <w:rsid w:val="007F3FE6"/>
    <w:rsid w:val="007F41A2"/>
    <w:rsid w:val="007F49B0"/>
    <w:rsid w:val="007F4EE2"/>
    <w:rsid w:val="007F6436"/>
    <w:rsid w:val="007F6BD5"/>
    <w:rsid w:val="007F74EF"/>
    <w:rsid w:val="007F79FE"/>
    <w:rsid w:val="007F7D0E"/>
    <w:rsid w:val="007F7DB2"/>
    <w:rsid w:val="00800FA3"/>
    <w:rsid w:val="00801E9E"/>
    <w:rsid w:val="008022E5"/>
    <w:rsid w:val="00802F81"/>
    <w:rsid w:val="008041CD"/>
    <w:rsid w:val="008041F1"/>
    <w:rsid w:val="00804913"/>
    <w:rsid w:val="00804D8E"/>
    <w:rsid w:val="00804FA3"/>
    <w:rsid w:val="008051D9"/>
    <w:rsid w:val="0080528B"/>
    <w:rsid w:val="008053A3"/>
    <w:rsid w:val="008062DB"/>
    <w:rsid w:val="008070B0"/>
    <w:rsid w:val="00807286"/>
    <w:rsid w:val="00807378"/>
    <w:rsid w:val="0080752B"/>
    <w:rsid w:val="0080795D"/>
    <w:rsid w:val="00807C36"/>
    <w:rsid w:val="0081003D"/>
    <w:rsid w:val="00812038"/>
    <w:rsid w:val="00812549"/>
    <w:rsid w:val="00812643"/>
    <w:rsid w:val="00812E0D"/>
    <w:rsid w:val="00813656"/>
    <w:rsid w:val="00813FC9"/>
    <w:rsid w:val="008145BA"/>
    <w:rsid w:val="00815753"/>
    <w:rsid w:val="008164DE"/>
    <w:rsid w:val="00817042"/>
    <w:rsid w:val="008174A4"/>
    <w:rsid w:val="00820FCA"/>
    <w:rsid w:val="008216E6"/>
    <w:rsid w:val="008217E5"/>
    <w:rsid w:val="00821824"/>
    <w:rsid w:val="00821A2D"/>
    <w:rsid w:val="008221EF"/>
    <w:rsid w:val="00822663"/>
    <w:rsid w:val="00822F15"/>
    <w:rsid w:val="00823808"/>
    <w:rsid w:val="00823A9F"/>
    <w:rsid w:val="00823D73"/>
    <w:rsid w:val="008271B8"/>
    <w:rsid w:val="008278BE"/>
    <w:rsid w:val="008279F8"/>
    <w:rsid w:val="00827B1F"/>
    <w:rsid w:val="00830432"/>
    <w:rsid w:val="00830472"/>
    <w:rsid w:val="00830584"/>
    <w:rsid w:val="00830CA5"/>
    <w:rsid w:val="00830ED6"/>
    <w:rsid w:val="00831096"/>
    <w:rsid w:val="00831165"/>
    <w:rsid w:val="0083121A"/>
    <w:rsid w:val="008312C0"/>
    <w:rsid w:val="0083154C"/>
    <w:rsid w:val="00832F23"/>
    <w:rsid w:val="008331CE"/>
    <w:rsid w:val="00833215"/>
    <w:rsid w:val="008348E7"/>
    <w:rsid w:val="00834BF3"/>
    <w:rsid w:val="0083500E"/>
    <w:rsid w:val="0083545F"/>
    <w:rsid w:val="0083582D"/>
    <w:rsid w:val="00835DCD"/>
    <w:rsid w:val="00836106"/>
    <w:rsid w:val="00836117"/>
    <w:rsid w:val="00836411"/>
    <w:rsid w:val="00837DB3"/>
    <w:rsid w:val="00840862"/>
    <w:rsid w:val="00840AE1"/>
    <w:rsid w:val="00840F96"/>
    <w:rsid w:val="00841136"/>
    <w:rsid w:val="008413A0"/>
    <w:rsid w:val="008414C4"/>
    <w:rsid w:val="00843015"/>
    <w:rsid w:val="00843406"/>
    <w:rsid w:val="008440F7"/>
    <w:rsid w:val="0084418C"/>
    <w:rsid w:val="00844254"/>
    <w:rsid w:val="008444D8"/>
    <w:rsid w:val="008453BC"/>
    <w:rsid w:val="00846057"/>
    <w:rsid w:val="00846426"/>
    <w:rsid w:val="00846616"/>
    <w:rsid w:val="00846ABA"/>
    <w:rsid w:val="00846CB9"/>
    <w:rsid w:val="0084752D"/>
    <w:rsid w:val="00847C33"/>
    <w:rsid w:val="008507CF"/>
    <w:rsid w:val="00850E85"/>
    <w:rsid w:val="00851945"/>
    <w:rsid w:val="00851FE0"/>
    <w:rsid w:val="008524D6"/>
    <w:rsid w:val="00852623"/>
    <w:rsid w:val="008526EC"/>
    <w:rsid w:val="00852CBF"/>
    <w:rsid w:val="0085308E"/>
    <w:rsid w:val="00853A0E"/>
    <w:rsid w:val="00854588"/>
    <w:rsid w:val="0085604C"/>
    <w:rsid w:val="008561D3"/>
    <w:rsid w:val="00857059"/>
    <w:rsid w:val="0085720F"/>
    <w:rsid w:val="008573BE"/>
    <w:rsid w:val="00860090"/>
    <w:rsid w:val="00861FEC"/>
    <w:rsid w:val="00863696"/>
    <w:rsid w:val="0086376D"/>
    <w:rsid w:val="0086405D"/>
    <w:rsid w:val="00864C0F"/>
    <w:rsid w:val="00864CF5"/>
    <w:rsid w:val="00865531"/>
    <w:rsid w:val="0086560D"/>
    <w:rsid w:val="008665FF"/>
    <w:rsid w:val="00867AAE"/>
    <w:rsid w:val="00867B7D"/>
    <w:rsid w:val="00867D3C"/>
    <w:rsid w:val="0087035B"/>
    <w:rsid w:val="00870B51"/>
    <w:rsid w:val="00870D57"/>
    <w:rsid w:val="0087146A"/>
    <w:rsid w:val="008716CE"/>
    <w:rsid w:val="008718AC"/>
    <w:rsid w:val="00871922"/>
    <w:rsid w:val="00871B8A"/>
    <w:rsid w:val="00871E0B"/>
    <w:rsid w:val="008729B5"/>
    <w:rsid w:val="00873545"/>
    <w:rsid w:val="0087399A"/>
    <w:rsid w:val="00874215"/>
    <w:rsid w:val="00874868"/>
    <w:rsid w:val="0087490E"/>
    <w:rsid w:val="00874A71"/>
    <w:rsid w:val="00874E71"/>
    <w:rsid w:val="008761C7"/>
    <w:rsid w:val="008774E5"/>
    <w:rsid w:val="00877891"/>
    <w:rsid w:val="0088023E"/>
    <w:rsid w:val="008804E2"/>
    <w:rsid w:val="008809A5"/>
    <w:rsid w:val="00880CA2"/>
    <w:rsid w:val="00881CA4"/>
    <w:rsid w:val="00881D39"/>
    <w:rsid w:val="008822D7"/>
    <w:rsid w:val="00882C43"/>
    <w:rsid w:val="00882CC9"/>
    <w:rsid w:val="008835A9"/>
    <w:rsid w:val="0088389E"/>
    <w:rsid w:val="00884019"/>
    <w:rsid w:val="00885319"/>
    <w:rsid w:val="00885476"/>
    <w:rsid w:val="00885CFE"/>
    <w:rsid w:val="008865DD"/>
    <w:rsid w:val="00887377"/>
    <w:rsid w:val="00887502"/>
    <w:rsid w:val="00887E02"/>
    <w:rsid w:val="00890E8C"/>
    <w:rsid w:val="00891785"/>
    <w:rsid w:val="008929C2"/>
    <w:rsid w:val="00892C28"/>
    <w:rsid w:val="008939FD"/>
    <w:rsid w:val="008940CA"/>
    <w:rsid w:val="00894415"/>
    <w:rsid w:val="0089477A"/>
    <w:rsid w:val="0089563C"/>
    <w:rsid w:val="00895658"/>
    <w:rsid w:val="00895748"/>
    <w:rsid w:val="008968F4"/>
    <w:rsid w:val="0089698C"/>
    <w:rsid w:val="00896A38"/>
    <w:rsid w:val="00896C83"/>
    <w:rsid w:val="00897417"/>
    <w:rsid w:val="00897D19"/>
    <w:rsid w:val="00897E26"/>
    <w:rsid w:val="008A0064"/>
    <w:rsid w:val="008A01B3"/>
    <w:rsid w:val="008A0DA3"/>
    <w:rsid w:val="008A0DA5"/>
    <w:rsid w:val="008A115E"/>
    <w:rsid w:val="008A157C"/>
    <w:rsid w:val="008A164C"/>
    <w:rsid w:val="008A2AEE"/>
    <w:rsid w:val="008A2E96"/>
    <w:rsid w:val="008A5485"/>
    <w:rsid w:val="008A599B"/>
    <w:rsid w:val="008A618D"/>
    <w:rsid w:val="008A633A"/>
    <w:rsid w:val="008A652F"/>
    <w:rsid w:val="008A6AA4"/>
    <w:rsid w:val="008A759D"/>
    <w:rsid w:val="008A778E"/>
    <w:rsid w:val="008A7E10"/>
    <w:rsid w:val="008B0005"/>
    <w:rsid w:val="008B02EF"/>
    <w:rsid w:val="008B030A"/>
    <w:rsid w:val="008B082A"/>
    <w:rsid w:val="008B08EC"/>
    <w:rsid w:val="008B0913"/>
    <w:rsid w:val="008B0AAE"/>
    <w:rsid w:val="008B0ED6"/>
    <w:rsid w:val="008B0F9D"/>
    <w:rsid w:val="008B1CA1"/>
    <w:rsid w:val="008B23AE"/>
    <w:rsid w:val="008B2475"/>
    <w:rsid w:val="008B2E04"/>
    <w:rsid w:val="008B4306"/>
    <w:rsid w:val="008B4CAA"/>
    <w:rsid w:val="008B5DFD"/>
    <w:rsid w:val="008B5EA6"/>
    <w:rsid w:val="008B61D5"/>
    <w:rsid w:val="008B61F6"/>
    <w:rsid w:val="008B6ABD"/>
    <w:rsid w:val="008B732B"/>
    <w:rsid w:val="008B77C9"/>
    <w:rsid w:val="008B7A36"/>
    <w:rsid w:val="008B7B8D"/>
    <w:rsid w:val="008B7BF0"/>
    <w:rsid w:val="008C0120"/>
    <w:rsid w:val="008C0FB9"/>
    <w:rsid w:val="008C1042"/>
    <w:rsid w:val="008C162B"/>
    <w:rsid w:val="008C1714"/>
    <w:rsid w:val="008C1B76"/>
    <w:rsid w:val="008C2391"/>
    <w:rsid w:val="008C27EC"/>
    <w:rsid w:val="008C2ED5"/>
    <w:rsid w:val="008C306C"/>
    <w:rsid w:val="008C3135"/>
    <w:rsid w:val="008C3E2C"/>
    <w:rsid w:val="008C5AC7"/>
    <w:rsid w:val="008C5C83"/>
    <w:rsid w:val="008C5EDB"/>
    <w:rsid w:val="008C615C"/>
    <w:rsid w:val="008C6215"/>
    <w:rsid w:val="008C6312"/>
    <w:rsid w:val="008C65F0"/>
    <w:rsid w:val="008C7282"/>
    <w:rsid w:val="008C733D"/>
    <w:rsid w:val="008D0DB4"/>
    <w:rsid w:val="008D1A52"/>
    <w:rsid w:val="008D2E91"/>
    <w:rsid w:val="008D38E9"/>
    <w:rsid w:val="008D412A"/>
    <w:rsid w:val="008D41B8"/>
    <w:rsid w:val="008D4434"/>
    <w:rsid w:val="008D48C6"/>
    <w:rsid w:val="008D4A05"/>
    <w:rsid w:val="008D51E4"/>
    <w:rsid w:val="008D557B"/>
    <w:rsid w:val="008D6F21"/>
    <w:rsid w:val="008D6F2E"/>
    <w:rsid w:val="008D71AC"/>
    <w:rsid w:val="008D7448"/>
    <w:rsid w:val="008D74AC"/>
    <w:rsid w:val="008D7AE7"/>
    <w:rsid w:val="008E0326"/>
    <w:rsid w:val="008E0593"/>
    <w:rsid w:val="008E15EC"/>
    <w:rsid w:val="008E18CD"/>
    <w:rsid w:val="008E1B94"/>
    <w:rsid w:val="008E2E9E"/>
    <w:rsid w:val="008E31EF"/>
    <w:rsid w:val="008E36C0"/>
    <w:rsid w:val="008E36F2"/>
    <w:rsid w:val="008E450B"/>
    <w:rsid w:val="008E4C23"/>
    <w:rsid w:val="008E5959"/>
    <w:rsid w:val="008E667F"/>
    <w:rsid w:val="008E676F"/>
    <w:rsid w:val="008E6785"/>
    <w:rsid w:val="008E68F7"/>
    <w:rsid w:val="008E7251"/>
    <w:rsid w:val="008E76EF"/>
    <w:rsid w:val="008E7C1C"/>
    <w:rsid w:val="008E7D7C"/>
    <w:rsid w:val="008F0097"/>
    <w:rsid w:val="008F0BC4"/>
    <w:rsid w:val="008F1594"/>
    <w:rsid w:val="008F2449"/>
    <w:rsid w:val="008F290E"/>
    <w:rsid w:val="008F2AC6"/>
    <w:rsid w:val="008F2EC0"/>
    <w:rsid w:val="008F44DB"/>
    <w:rsid w:val="008F4615"/>
    <w:rsid w:val="008F4ABC"/>
    <w:rsid w:val="008F591D"/>
    <w:rsid w:val="008F5E68"/>
    <w:rsid w:val="008F5FF8"/>
    <w:rsid w:val="008F60F8"/>
    <w:rsid w:val="008F619B"/>
    <w:rsid w:val="008F7199"/>
    <w:rsid w:val="008F74BB"/>
    <w:rsid w:val="008F7728"/>
    <w:rsid w:val="008F7CB6"/>
    <w:rsid w:val="00900066"/>
    <w:rsid w:val="009007FB"/>
    <w:rsid w:val="00900807"/>
    <w:rsid w:val="009008A9"/>
    <w:rsid w:val="00901452"/>
    <w:rsid w:val="00901740"/>
    <w:rsid w:val="00901D78"/>
    <w:rsid w:val="00901D92"/>
    <w:rsid w:val="009027CF"/>
    <w:rsid w:val="00902A5D"/>
    <w:rsid w:val="00903003"/>
    <w:rsid w:val="00903C90"/>
    <w:rsid w:val="009041B8"/>
    <w:rsid w:val="009048D8"/>
    <w:rsid w:val="00904FF8"/>
    <w:rsid w:val="00905040"/>
    <w:rsid w:val="009052AA"/>
    <w:rsid w:val="00905A05"/>
    <w:rsid w:val="00906A75"/>
    <w:rsid w:val="00906F11"/>
    <w:rsid w:val="00907267"/>
    <w:rsid w:val="00907318"/>
    <w:rsid w:val="0090773A"/>
    <w:rsid w:val="009106BC"/>
    <w:rsid w:val="0091177E"/>
    <w:rsid w:val="0091193A"/>
    <w:rsid w:val="00911DE6"/>
    <w:rsid w:val="0091227A"/>
    <w:rsid w:val="009123E5"/>
    <w:rsid w:val="00912C01"/>
    <w:rsid w:val="00912C67"/>
    <w:rsid w:val="0091308A"/>
    <w:rsid w:val="009130AF"/>
    <w:rsid w:val="00913546"/>
    <w:rsid w:val="009141A9"/>
    <w:rsid w:val="00914BDB"/>
    <w:rsid w:val="0091673E"/>
    <w:rsid w:val="00916C77"/>
    <w:rsid w:val="00916FAA"/>
    <w:rsid w:val="009177DF"/>
    <w:rsid w:val="0091798B"/>
    <w:rsid w:val="00917C22"/>
    <w:rsid w:val="009203E8"/>
    <w:rsid w:val="00920617"/>
    <w:rsid w:val="00920827"/>
    <w:rsid w:val="0092093B"/>
    <w:rsid w:val="00920AC6"/>
    <w:rsid w:val="00921152"/>
    <w:rsid w:val="00921423"/>
    <w:rsid w:val="009216DB"/>
    <w:rsid w:val="0092246B"/>
    <w:rsid w:val="00922AE7"/>
    <w:rsid w:val="00924CFF"/>
    <w:rsid w:val="00925750"/>
    <w:rsid w:val="00925DB8"/>
    <w:rsid w:val="00925F7D"/>
    <w:rsid w:val="009260E8"/>
    <w:rsid w:val="009266AF"/>
    <w:rsid w:val="009267F8"/>
    <w:rsid w:val="00927552"/>
    <w:rsid w:val="009279DF"/>
    <w:rsid w:val="00927E1E"/>
    <w:rsid w:val="00927E3F"/>
    <w:rsid w:val="009308E9"/>
    <w:rsid w:val="00930A79"/>
    <w:rsid w:val="00930AEA"/>
    <w:rsid w:val="00930B49"/>
    <w:rsid w:val="00930D5E"/>
    <w:rsid w:val="00931AF3"/>
    <w:rsid w:val="00931F98"/>
    <w:rsid w:val="009325B8"/>
    <w:rsid w:val="0093270E"/>
    <w:rsid w:val="00934067"/>
    <w:rsid w:val="009341F9"/>
    <w:rsid w:val="00934B9C"/>
    <w:rsid w:val="0093687F"/>
    <w:rsid w:val="009377C8"/>
    <w:rsid w:val="009406FC"/>
    <w:rsid w:val="0094248A"/>
    <w:rsid w:val="00942A7E"/>
    <w:rsid w:val="00942C5A"/>
    <w:rsid w:val="00943212"/>
    <w:rsid w:val="00943761"/>
    <w:rsid w:val="00943F45"/>
    <w:rsid w:val="0094401B"/>
    <w:rsid w:val="009446CB"/>
    <w:rsid w:val="00944F89"/>
    <w:rsid w:val="0094502F"/>
    <w:rsid w:val="00946A93"/>
    <w:rsid w:val="00946ED5"/>
    <w:rsid w:val="009470DA"/>
    <w:rsid w:val="009472AC"/>
    <w:rsid w:val="0095090E"/>
    <w:rsid w:val="009517E6"/>
    <w:rsid w:val="0095190C"/>
    <w:rsid w:val="00951EE6"/>
    <w:rsid w:val="00952919"/>
    <w:rsid w:val="00952D09"/>
    <w:rsid w:val="00953229"/>
    <w:rsid w:val="00953739"/>
    <w:rsid w:val="0095373D"/>
    <w:rsid w:val="00953775"/>
    <w:rsid w:val="00954022"/>
    <w:rsid w:val="00954232"/>
    <w:rsid w:val="00954942"/>
    <w:rsid w:val="00955A9E"/>
    <w:rsid w:val="00956918"/>
    <w:rsid w:val="00956AFC"/>
    <w:rsid w:val="00957253"/>
    <w:rsid w:val="00957C2A"/>
    <w:rsid w:val="00957E4A"/>
    <w:rsid w:val="00957FF7"/>
    <w:rsid w:val="0096125C"/>
    <w:rsid w:val="009612D6"/>
    <w:rsid w:val="009619AC"/>
    <w:rsid w:val="00963DD8"/>
    <w:rsid w:val="00963E11"/>
    <w:rsid w:val="00963E43"/>
    <w:rsid w:val="009656FC"/>
    <w:rsid w:val="00965718"/>
    <w:rsid w:val="00965777"/>
    <w:rsid w:val="00966040"/>
    <w:rsid w:val="00966074"/>
    <w:rsid w:val="00966F48"/>
    <w:rsid w:val="009677CB"/>
    <w:rsid w:val="009703A9"/>
    <w:rsid w:val="009708AE"/>
    <w:rsid w:val="00971220"/>
    <w:rsid w:val="00971DC1"/>
    <w:rsid w:val="00972D21"/>
    <w:rsid w:val="00972F1C"/>
    <w:rsid w:val="00973243"/>
    <w:rsid w:val="00973595"/>
    <w:rsid w:val="00973E7C"/>
    <w:rsid w:val="00974563"/>
    <w:rsid w:val="00974D6F"/>
    <w:rsid w:val="009752E2"/>
    <w:rsid w:val="009757C2"/>
    <w:rsid w:val="009759E2"/>
    <w:rsid w:val="00976456"/>
    <w:rsid w:val="00976475"/>
    <w:rsid w:val="00977598"/>
    <w:rsid w:val="0097769C"/>
    <w:rsid w:val="00977A83"/>
    <w:rsid w:val="00980207"/>
    <w:rsid w:val="00980AC9"/>
    <w:rsid w:val="009811FF"/>
    <w:rsid w:val="0098146F"/>
    <w:rsid w:val="00981B7C"/>
    <w:rsid w:val="00982191"/>
    <w:rsid w:val="0098222D"/>
    <w:rsid w:val="009825E8"/>
    <w:rsid w:val="00983BD9"/>
    <w:rsid w:val="00984383"/>
    <w:rsid w:val="009848F2"/>
    <w:rsid w:val="00984B31"/>
    <w:rsid w:val="00984D78"/>
    <w:rsid w:val="00984ECC"/>
    <w:rsid w:val="009857C8"/>
    <w:rsid w:val="00985F6A"/>
    <w:rsid w:val="00986400"/>
    <w:rsid w:val="009872B9"/>
    <w:rsid w:val="009908F0"/>
    <w:rsid w:val="0099101D"/>
    <w:rsid w:val="009919D2"/>
    <w:rsid w:val="00991E89"/>
    <w:rsid w:val="00992355"/>
    <w:rsid w:val="00992E15"/>
    <w:rsid w:val="00993957"/>
    <w:rsid w:val="00993A1E"/>
    <w:rsid w:val="009946E6"/>
    <w:rsid w:val="0099471C"/>
    <w:rsid w:val="00994842"/>
    <w:rsid w:val="00995A2A"/>
    <w:rsid w:val="009960E7"/>
    <w:rsid w:val="009964D4"/>
    <w:rsid w:val="00996786"/>
    <w:rsid w:val="0099687F"/>
    <w:rsid w:val="00996DF3"/>
    <w:rsid w:val="009977DE"/>
    <w:rsid w:val="009A02C6"/>
    <w:rsid w:val="009A09F9"/>
    <w:rsid w:val="009A0C93"/>
    <w:rsid w:val="009A1515"/>
    <w:rsid w:val="009A167F"/>
    <w:rsid w:val="009A1CED"/>
    <w:rsid w:val="009A22F9"/>
    <w:rsid w:val="009A27A1"/>
    <w:rsid w:val="009A306C"/>
    <w:rsid w:val="009A32C6"/>
    <w:rsid w:val="009A38BC"/>
    <w:rsid w:val="009A48E0"/>
    <w:rsid w:val="009A4B03"/>
    <w:rsid w:val="009A573F"/>
    <w:rsid w:val="009A58E9"/>
    <w:rsid w:val="009A72F9"/>
    <w:rsid w:val="009A7769"/>
    <w:rsid w:val="009A7BA1"/>
    <w:rsid w:val="009A7C4E"/>
    <w:rsid w:val="009A7F90"/>
    <w:rsid w:val="009B0F82"/>
    <w:rsid w:val="009B10D0"/>
    <w:rsid w:val="009B1360"/>
    <w:rsid w:val="009B1D48"/>
    <w:rsid w:val="009B2B26"/>
    <w:rsid w:val="009B3712"/>
    <w:rsid w:val="009B373A"/>
    <w:rsid w:val="009B3FD1"/>
    <w:rsid w:val="009B4528"/>
    <w:rsid w:val="009B462A"/>
    <w:rsid w:val="009B5519"/>
    <w:rsid w:val="009B5625"/>
    <w:rsid w:val="009B56B6"/>
    <w:rsid w:val="009B6B6C"/>
    <w:rsid w:val="009B6EAB"/>
    <w:rsid w:val="009B7110"/>
    <w:rsid w:val="009B719A"/>
    <w:rsid w:val="009C0242"/>
    <w:rsid w:val="009C07AD"/>
    <w:rsid w:val="009C0E0B"/>
    <w:rsid w:val="009C1263"/>
    <w:rsid w:val="009C1D1F"/>
    <w:rsid w:val="009C1F0E"/>
    <w:rsid w:val="009C2216"/>
    <w:rsid w:val="009C2439"/>
    <w:rsid w:val="009C2499"/>
    <w:rsid w:val="009C2E11"/>
    <w:rsid w:val="009C332D"/>
    <w:rsid w:val="009C3571"/>
    <w:rsid w:val="009C3946"/>
    <w:rsid w:val="009C3BA8"/>
    <w:rsid w:val="009C45A3"/>
    <w:rsid w:val="009C4DC6"/>
    <w:rsid w:val="009C4F47"/>
    <w:rsid w:val="009C5748"/>
    <w:rsid w:val="009C6082"/>
    <w:rsid w:val="009C64EA"/>
    <w:rsid w:val="009C691E"/>
    <w:rsid w:val="009C6E3D"/>
    <w:rsid w:val="009C7344"/>
    <w:rsid w:val="009C7B65"/>
    <w:rsid w:val="009C7CF0"/>
    <w:rsid w:val="009D036D"/>
    <w:rsid w:val="009D06D9"/>
    <w:rsid w:val="009D06EB"/>
    <w:rsid w:val="009D0A68"/>
    <w:rsid w:val="009D1928"/>
    <w:rsid w:val="009D2211"/>
    <w:rsid w:val="009D3DF1"/>
    <w:rsid w:val="009D47A1"/>
    <w:rsid w:val="009D47AA"/>
    <w:rsid w:val="009D48DC"/>
    <w:rsid w:val="009D4EA1"/>
    <w:rsid w:val="009D50D3"/>
    <w:rsid w:val="009D55C7"/>
    <w:rsid w:val="009D5749"/>
    <w:rsid w:val="009D594D"/>
    <w:rsid w:val="009D5C3B"/>
    <w:rsid w:val="009D5C8A"/>
    <w:rsid w:val="009D6328"/>
    <w:rsid w:val="009D6F05"/>
    <w:rsid w:val="009D6FC5"/>
    <w:rsid w:val="009D7029"/>
    <w:rsid w:val="009D75E4"/>
    <w:rsid w:val="009D7B07"/>
    <w:rsid w:val="009D7B57"/>
    <w:rsid w:val="009D7DA3"/>
    <w:rsid w:val="009D7FEA"/>
    <w:rsid w:val="009E03FE"/>
    <w:rsid w:val="009E0C69"/>
    <w:rsid w:val="009E149B"/>
    <w:rsid w:val="009E1894"/>
    <w:rsid w:val="009E1DC1"/>
    <w:rsid w:val="009E23AA"/>
    <w:rsid w:val="009E2B16"/>
    <w:rsid w:val="009E2BA6"/>
    <w:rsid w:val="009E2BF8"/>
    <w:rsid w:val="009E2D49"/>
    <w:rsid w:val="009E3A7B"/>
    <w:rsid w:val="009E3E26"/>
    <w:rsid w:val="009E40D2"/>
    <w:rsid w:val="009E47B3"/>
    <w:rsid w:val="009E54BC"/>
    <w:rsid w:val="009E564D"/>
    <w:rsid w:val="009E61BB"/>
    <w:rsid w:val="009E62A1"/>
    <w:rsid w:val="009E6384"/>
    <w:rsid w:val="009E7609"/>
    <w:rsid w:val="009E76E5"/>
    <w:rsid w:val="009E770E"/>
    <w:rsid w:val="009E7EBB"/>
    <w:rsid w:val="009E7F8C"/>
    <w:rsid w:val="009F074F"/>
    <w:rsid w:val="009F16F1"/>
    <w:rsid w:val="009F2065"/>
    <w:rsid w:val="009F224E"/>
    <w:rsid w:val="009F25A7"/>
    <w:rsid w:val="009F25AF"/>
    <w:rsid w:val="009F282C"/>
    <w:rsid w:val="009F2876"/>
    <w:rsid w:val="009F304C"/>
    <w:rsid w:val="009F3B72"/>
    <w:rsid w:val="009F3C10"/>
    <w:rsid w:val="009F3E8D"/>
    <w:rsid w:val="009F4B15"/>
    <w:rsid w:val="009F4F1B"/>
    <w:rsid w:val="009F4F30"/>
    <w:rsid w:val="009F559A"/>
    <w:rsid w:val="009F6821"/>
    <w:rsid w:val="009F725B"/>
    <w:rsid w:val="009F7D89"/>
    <w:rsid w:val="00A0071A"/>
    <w:rsid w:val="00A00E54"/>
    <w:rsid w:val="00A0172E"/>
    <w:rsid w:val="00A01875"/>
    <w:rsid w:val="00A01B88"/>
    <w:rsid w:val="00A024F6"/>
    <w:rsid w:val="00A028CF"/>
    <w:rsid w:val="00A0350E"/>
    <w:rsid w:val="00A0377F"/>
    <w:rsid w:val="00A03F27"/>
    <w:rsid w:val="00A0485E"/>
    <w:rsid w:val="00A0487C"/>
    <w:rsid w:val="00A05175"/>
    <w:rsid w:val="00A05547"/>
    <w:rsid w:val="00A06100"/>
    <w:rsid w:val="00A061BA"/>
    <w:rsid w:val="00A071CE"/>
    <w:rsid w:val="00A076CE"/>
    <w:rsid w:val="00A07E6B"/>
    <w:rsid w:val="00A10875"/>
    <w:rsid w:val="00A10F56"/>
    <w:rsid w:val="00A11413"/>
    <w:rsid w:val="00A11775"/>
    <w:rsid w:val="00A12377"/>
    <w:rsid w:val="00A12BBE"/>
    <w:rsid w:val="00A12C31"/>
    <w:rsid w:val="00A1353F"/>
    <w:rsid w:val="00A13C12"/>
    <w:rsid w:val="00A1418D"/>
    <w:rsid w:val="00A1527C"/>
    <w:rsid w:val="00A157E7"/>
    <w:rsid w:val="00A15DA7"/>
    <w:rsid w:val="00A16EE7"/>
    <w:rsid w:val="00A172BE"/>
    <w:rsid w:val="00A17BD0"/>
    <w:rsid w:val="00A2017D"/>
    <w:rsid w:val="00A203AB"/>
    <w:rsid w:val="00A20D2E"/>
    <w:rsid w:val="00A2153D"/>
    <w:rsid w:val="00A21ABA"/>
    <w:rsid w:val="00A21B39"/>
    <w:rsid w:val="00A21F1C"/>
    <w:rsid w:val="00A22AFB"/>
    <w:rsid w:val="00A23FD9"/>
    <w:rsid w:val="00A24377"/>
    <w:rsid w:val="00A247F3"/>
    <w:rsid w:val="00A2507B"/>
    <w:rsid w:val="00A25735"/>
    <w:rsid w:val="00A264B6"/>
    <w:rsid w:val="00A27638"/>
    <w:rsid w:val="00A27D0C"/>
    <w:rsid w:val="00A27E72"/>
    <w:rsid w:val="00A30B11"/>
    <w:rsid w:val="00A31824"/>
    <w:rsid w:val="00A319AE"/>
    <w:rsid w:val="00A33031"/>
    <w:rsid w:val="00A330E5"/>
    <w:rsid w:val="00A3321F"/>
    <w:rsid w:val="00A333C6"/>
    <w:rsid w:val="00A33B95"/>
    <w:rsid w:val="00A33D05"/>
    <w:rsid w:val="00A33F5F"/>
    <w:rsid w:val="00A33FAC"/>
    <w:rsid w:val="00A34521"/>
    <w:rsid w:val="00A345F5"/>
    <w:rsid w:val="00A347E3"/>
    <w:rsid w:val="00A35411"/>
    <w:rsid w:val="00A35873"/>
    <w:rsid w:val="00A367DB"/>
    <w:rsid w:val="00A40274"/>
    <w:rsid w:val="00A40375"/>
    <w:rsid w:val="00A405CB"/>
    <w:rsid w:val="00A407C3"/>
    <w:rsid w:val="00A40FB6"/>
    <w:rsid w:val="00A4118B"/>
    <w:rsid w:val="00A41808"/>
    <w:rsid w:val="00A42102"/>
    <w:rsid w:val="00A424B5"/>
    <w:rsid w:val="00A429E6"/>
    <w:rsid w:val="00A438F0"/>
    <w:rsid w:val="00A43EDA"/>
    <w:rsid w:val="00A44009"/>
    <w:rsid w:val="00A44569"/>
    <w:rsid w:val="00A445EB"/>
    <w:rsid w:val="00A448CD"/>
    <w:rsid w:val="00A4552A"/>
    <w:rsid w:val="00A4591C"/>
    <w:rsid w:val="00A45E01"/>
    <w:rsid w:val="00A45F33"/>
    <w:rsid w:val="00A46E68"/>
    <w:rsid w:val="00A4746D"/>
    <w:rsid w:val="00A47BC2"/>
    <w:rsid w:val="00A50201"/>
    <w:rsid w:val="00A50B0B"/>
    <w:rsid w:val="00A51183"/>
    <w:rsid w:val="00A5229D"/>
    <w:rsid w:val="00A52B86"/>
    <w:rsid w:val="00A53446"/>
    <w:rsid w:val="00A53646"/>
    <w:rsid w:val="00A549D6"/>
    <w:rsid w:val="00A54B67"/>
    <w:rsid w:val="00A568DD"/>
    <w:rsid w:val="00A601A1"/>
    <w:rsid w:val="00A60401"/>
    <w:rsid w:val="00A60B7C"/>
    <w:rsid w:val="00A60DE6"/>
    <w:rsid w:val="00A61912"/>
    <w:rsid w:val="00A62009"/>
    <w:rsid w:val="00A6215F"/>
    <w:rsid w:val="00A62B16"/>
    <w:rsid w:val="00A62D6C"/>
    <w:rsid w:val="00A62DEC"/>
    <w:rsid w:val="00A631CA"/>
    <w:rsid w:val="00A63636"/>
    <w:rsid w:val="00A642A8"/>
    <w:rsid w:val="00A64384"/>
    <w:rsid w:val="00A646CD"/>
    <w:rsid w:val="00A64E2A"/>
    <w:rsid w:val="00A64F2E"/>
    <w:rsid w:val="00A65101"/>
    <w:rsid w:val="00A65992"/>
    <w:rsid w:val="00A6660C"/>
    <w:rsid w:val="00A675AC"/>
    <w:rsid w:val="00A67B21"/>
    <w:rsid w:val="00A67ED7"/>
    <w:rsid w:val="00A707E6"/>
    <w:rsid w:val="00A71A27"/>
    <w:rsid w:val="00A723F7"/>
    <w:rsid w:val="00A72A3A"/>
    <w:rsid w:val="00A72B12"/>
    <w:rsid w:val="00A72CAC"/>
    <w:rsid w:val="00A72E2D"/>
    <w:rsid w:val="00A72F09"/>
    <w:rsid w:val="00A7340B"/>
    <w:rsid w:val="00A737F8"/>
    <w:rsid w:val="00A73E81"/>
    <w:rsid w:val="00A73FE3"/>
    <w:rsid w:val="00A75938"/>
    <w:rsid w:val="00A75A51"/>
    <w:rsid w:val="00A765FA"/>
    <w:rsid w:val="00A768F0"/>
    <w:rsid w:val="00A7707E"/>
    <w:rsid w:val="00A77C9D"/>
    <w:rsid w:val="00A80AAC"/>
    <w:rsid w:val="00A81970"/>
    <w:rsid w:val="00A81A1C"/>
    <w:rsid w:val="00A81AF6"/>
    <w:rsid w:val="00A81B3F"/>
    <w:rsid w:val="00A81D37"/>
    <w:rsid w:val="00A82CB1"/>
    <w:rsid w:val="00A82EA2"/>
    <w:rsid w:val="00A83621"/>
    <w:rsid w:val="00A84DCA"/>
    <w:rsid w:val="00A854E8"/>
    <w:rsid w:val="00A8556D"/>
    <w:rsid w:val="00A85773"/>
    <w:rsid w:val="00A860B2"/>
    <w:rsid w:val="00A866B3"/>
    <w:rsid w:val="00A86780"/>
    <w:rsid w:val="00A86D7A"/>
    <w:rsid w:val="00A86DB3"/>
    <w:rsid w:val="00A905BA"/>
    <w:rsid w:val="00A91EF0"/>
    <w:rsid w:val="00A938E0"/>
    <w:rsid w:val="00A93A5F"/>
    <w:rsid w:val="00A93B06"/>
    <w:rsid w:val="00A93DF2"/>
    <w:rsid w:val="00A9432E"/>
    <w:rsid w:val="00A9457E"/>
    <w:rsid w:val="00A94738"/>
    <w:rsid w:val="00A947E2"/>
    <w:rsid w:val="00A94C02"/>
    <w:rsid w:val="00A94D3D"/>
    <w:rsid w:val="00A94FDF"/>
    <w:rsid w:val="00A97EC7"/>
    <w:rsid w:val="00AA02E4"/>
    <w:rsid w:val="00AA0B21"/>
    <w:rsid w:val="00AA0F4D"/>
    <w:rsid w:val="00AA21A4"/>
    <w:rsid w:val="00AA2CC4"/>
    <w:rsid w:val="00AA2E12"/>
    <w:rsid w:val="00AA37DD"/>
    <w:rsid w:val="00AA3975"/>
    <w:rsid w:val="00AA43CF"/>
    <w:rsid w:val="00AA483D"/>
    <w:rsid w:val="00AA56FC"/>
    <w:rsid w:val="00AA5AD3"/>
    <w:rsid w:val="00AA5EC0"/>
    <w:rsid w:val="00AA6837"/>
    <w:rsid w:val="00AA69BE"/>
    <w:rsid w:val="00AA6B16"/>
    <w:rsid w:val="00AB0098"/>
    <w:rsid w:val="00AB03DB"/>
    <w:rsid w:val="00AB06F3"/>
    <w:rsid w:val="00AB0C57"/>
    <w:rsid w:val="00AB0F2A"/>
    <w:rsid w:val="00AB1667"/>
    <w:rsid w:val="00AB1D45"/>
    <w:rsid w:val="00AB223B"/>
    <w:rsid w:val="00AB2AD5"/>
    <w:rsid w:val="00AB2EED"/>
    <w:rsid w:val="00AB3B99"/>
    <w:rsid w:val="00AB48DD"/>
    <w:rsid w:val="00AB60A6"/>
    <w:rsid w:val="00AB60B1"/>
    <w:rsid w:val="00AB64F8"/>
    <w:rsid w:val="00AB6630"/>
    <w:rsid w:val="00AB66E8"/>
    <w:rsid w:val="00AB6E4B"/>
    <w:rsid w:val="00AB6F2C"/>
    <w:rsid w:val="00AB71EC"/>
    <w:rsid w:val="00AB73C5"/>
    <w:rsid w:val="00AB785C"/>
    <w:rsid w:val="00AC025E"/>
    <w:rsid w:val="00AC1338"/>
    <w:rsid w:val="00AC1EF4"/>
    <w:rsid w:val="00AC2365"/>
    <w:rsid w:val="00AC28B1"/>
    <w:rsid w:val="00AC2980"/>
    <w:rsid w:val="00AC2D3E"/>
    <w:rsid w:val="00AC3BA6"/>
    <w:rsid w:val="00AC3EEF"/>
    <w:rsid w:val="00AC404D"/>
    <w:rsid w:val="00AC4071"/>
    <w:rsid w:val="00AC41BB"/>
    <w:rsid w:val="00AC48A7"/>
    <w:rsid w:val="00AC4F3A"/>
    <w:rsid w:val="00AC5165"/>
    <w:rsid w:val="00AC61DE"/>
    <w:rsid w:val="00AC6C7B"/>
    <w:rsid w:val="00AC7E59"/>
    <w:rsid w:val="00AC7F34"/>
    <w:rsid w:val="00AD068B"/>
    <w:rsid w:val="00AD0967"/>
    <w:rsid w:val="00AD0F99"/>
    <w:rsid w:val="00AD13B7"/>
    <w:rsid w:val="00AD1888"/>
    <w:rsid w:val="00AD1A32"/>
    <w:rsid w:val="00AD1D54"/>
    <w:rsid w:val="00AD1FEE"/>
    <w:rsid w:val="00AD224C"/>
    <w:rsid w:val="00AD25A5"/>
    <w:rsid w:val="00AD2B2E"/>
    <w:rsid w:val="00AD30BE"/>
    <w:rsid w:val="00AD36CE"/>
    <w:rsid w:val="00AD47E7"/>
    <w:rsid w:val="00AD53EA"/>
    <w:rsid w:val="00AD56BC"/>
    <w:rsid w:val="00AD5C31"/>
    <w:rsid w:val="00AD6527"/>
    <w:rsid w:val="00AD6536"/>
    <w:rsid w:val="00AD6CDF"/>
    <w:rsid w:val="00AD6DB4"/>
    <w:rsid w:val="00AD7853"/>
    <w:rsid w:val="00AD79AA"/>
    <w:rsid w:val="00AD7BC9"/>
    <w:rsid w:val="00AD7E9D"/>
    <w:rsid w:val="00AE08F5"/>
    <w:rsid w:val="00AE12F3"/>
    <w:rsid w:val="00AE1CE5"/>
    <w:rsid w:val="00AE1E55"/>
    <w:rsid w:val="00AE2118"/>
    <w:rsid w:val="00AE24BE"/>
    <w:rsid w:val="00AE3327"/>
    <w:rsid w:val="00AE3436"/>
    <w:rsid w:val="00AE3D1A"/>
    <w:rsid w:val="00AE3D4D"/>
    <w:rsid w:val="00AE404D"/>
    <w:rsid w:val="00AE433F"/>
    <w:rsid w:val="00AE4930"/>
    <w:rsid w:val="00AE4E8D"/>
    <w:rsid w:val="00AE50C5"/>
    <w:rsid w:val="00AE55C3"/>
    <w:rsid w:val="00AE5935"/>
    <w:rsid w:val="00AE64A9"/>
    <w:rsid w:val="00AE6D38"/>
    <w:rsid w:val="00AE6F98"/>
    <w:rsid w:val="00AE709D"/>
    <w:rsid w:val="00AE7165"/>
    <w:rsid w:val="00AE7ACC"/>
    <w:rsid w:val="00AE7D8E"/>
    <w:rsid w:val="00AF23C9"/>
    <w:rsid w:val="00AF563D"/>
    <w:rsid w:val="00AF65FF"/>
    <w:rsid w:val="00AF661C"/>
    <w:rsid w:val="00AF6659"/>
    <w:rsid w:val="00AF67A7"/>
    <w:rsid w:val="00AF74AE"/>
    <w:rsid w:val="00AF793E"/>
    <w:rsid w:val="00B00A28"/>
    <w:rsid w:val="00B00BE0"/>
    <w:rsid w:val="00B00DD7"/>
    <w:rsid w:val="00B01751"/>
    <w:rsid w:val="00B01933"/>
    <w:rsid w:val="00B01F34"/>
    <w:rsid w:val="00B02FB2"/>
    <w:rsid w:val="00B03C1D"/>
    <w:rsid w:val="00B03C2F"/>
    <w:rsid w:val="00B03FD2"/>
    <w:rsid w:val="00B05042"/>
    <w:rsid w:val="00B05095"/>
    <w:rsid w:val="00B051E0"/>
    <w:rsid w:val="00B06335"/>
    <w:rsid w:val="00B06E74"/>
    <w:rsid w:val="00B070CB"/>
    <w:rsid w:val="00B071C6"/>
    <w:rsid w:val="00B0776A"/>
    <w:rsid w:val="00B0782A"/>
    <w:rsid w:val="00B07CE9"/>
    <w:rsid w:val="00B10588"/>
    <w:rsid w:val="00B10CFF"/>
    <w:rsid w:val="00B10E8D"/>
    <w:rsid w:val="00B115C4"/>
    <w:rsid w:val="00B124DF"/>
    <w:rsid w:val="00B12C95"/>
    <w:rsid w:val="00B1333B"/>
    <w:rsid w:val="00B16D0C"/>
    <w:rsid w:val="00B17611"/>
    <w:rsid w:val="00B17972"/>
    <w:rsid w:val="00B17BDD"/>
    <w:rsid w:val="00B17EE6"/>
    <w:rsid w:val="00B2013C"/>
    <w:rsid w:val="00B20876"/>
    <w:rsid w:val="00B20F28"/>
    <w:rsid w:val="00B213A8"/>
    <w:rsid w:val="00B21533"/>
    <w:rsid w:val="00B21869"/>
    <w:rsid w:val="00B21DA3"/>
    <w:rsid w:val="00B21E4F"/>
    <w:rsid w:val="00B22605"/>
    <w:rsid w:val="00B22835"/>
    <w:rsid w:val="00B238F8"/>
    <w:rsid w:val="00B23914"/>
    <w:rsid w:val="00B23DB8"/>
    <w:rsid w:val="00B2562C"/>
    <w:rsid w:val="00B258FC"/>
    <w:rsid w:val="00B26BEF"/>
    <w:rsid w:val="00B303AD"/>
    <w:rsid w:val="00B311A3"/>
    <w:rsid w:val="00B31F12"/>
    <w:rsid w:val="00B32966"/>
    <w:rsid w:val="00B32E8E"/>
    <w:rsid w:val="00B33746"/>
    <w:rsid w:val="00B341D6"/>
    <w:rsid w:val="00B345AF"/>
    <w:rsid w:val="00B35314"/>
    <w:rsid w:val="00B3709F"/>
    <w:rsid w:val="00B3758F"/>
    <w:rsid w:val="00B3772C"/>
    <w:rsid w:val="00B37A98"/>
    <w:rsid w:val="00B427E6"/>
    <w:rsid w:val="00B42878"/>
    <w:rsid w:val="00B42B9E"/>
    <w:rsid w:val="00B432FA"/>
    <w:rsid w:val="00B4343E"/>
    <w:rsid w:val="00B43790"/>
    <w:rsid w:val="00B438B1"/>
    <w:rsid w:val="00B43BCB"/>
    <w:rsid w:val="00B44476"/>
    <w:rsid w:val="00B4467C"/>
    <w:rsid w:val="00B44C15"/>
    <w:rsid w:val="00B44CF9"/>
    <w:rsid w:val="00B45BE8"/>
    <w:rsid w:val="00B46527"/>
    <w:rsid w:val="00B4696A"/>
    <w:rsid w:val="00B46AF4"/>
    <w:rsid w:val="00B46B6A"/>
    <w:rsid w:val="00B4717C"/>
    <w:rsid w:val="00B4740C"/>
    <w:rsid w:val="00B47BC3"/>
    <w:rsid w:val="00B47CD0"/>
    <w:rsid w:val="00B504F8"/>
    <w:rsid w:val="00B50E44"/>
    <w:rsid w:val="00B51C72"/>
    <w:rsid w:val="00B5200C"/>
    <w:rsid w:val="00B542DE"/>
    <w:rsid w:val="00B5449A"/>
    <w:rsid w:val="00B557E3"/>
    <w:rsid w:val="00B55E83"/>
    <w:rsid w:val="00B56633"/>
    <w:rsid w:val="00B566CA"/>
    <w:rsid w:val="00B56D9C"/>
    <w:rsid w:val="00B572E6"/>
    <w:rsid w:val="00B6046E"/>
    <w:rsid w:val="00B60825"/>
    <w:rsid w:val="00B608EC"/>
    <w:rsid w:val="00B60CD2"/>
    <w:rsid w:val="00B60ECF"/>
    <w:rsid w:val="00B60F1C"/>
    <w:rsid w:val="00B61029"/>
    <w:rsid w:val="00B6118C"/>
    <w:rsid w:val="00B627C2"/>
    <w:rsid w:val="00B627EE"/>
    <w:rsid w:val="00B62813"/>
    <w:rsid w:val="00B63A53"/>
    <w:rsid w:val="00B63A5E"/>
    <w:rsid w:val="00B64912"/>
    <w:rsid w:val="00B64EAD"/>
    <w:rsid w:val="00B6541B"/>
    <w:rsid w:val="00B65827"/>
    <w:rsid w:val="00B65D42"/>
    <w:rsid w:val="00B660A1"/>
    <w:rsid w:val="00B66D05"/>
    <w:rsid w:val="00B66D72"/>
    <w:rsid w:val="00B674C3"/>
    <w:rsid w:val="00B67D4D"/>
    <w:rsid w:val="00B7044F"/>
    <w:rsid w:val="00B70B42"/>
    <w:rsid w:val="00B70E21"/>
    <w:rsid w:val="00B710C4"/>
    <w:rsid w:val="00B71CC4"/>
    <w:rsid w:val="00B72DC8"/>
    <w:rsid w:val="00B73958"/>
    <w:rsid w:val="00B739D8"/>
    <w:rsid w:val="00B73AC6"/>
    <w:rsid w:val="00B740AF"/>
    <w:rsid w:val="00B74B20"/>
    <w:rsid w:val="00B75220"/>
    <w:rsid w:val="00B758F4"/>
    <w:rsid w:val="00B75BF8"/>
    <w:rsid w:val="00B75CB7"/>
    <w:rsid w:val="00B75F87"/>
    <w:rsid w:val="00B7645F"/>
    <w:rsid w:val="00B76D83"/>
    <w:rsid w:val="00B76E16"/>
    <w:rsid w:val="00B76E27"/>
    <w:rsid w:val="00B779E3"/>
    <w:rsid w:val="00B803E2"/>
    <w:rsid w:val="00B80DB3"/>
    <w:rsid w:val="00B8101E"/>
    <w:rsid w:val="00B8103D"/>
    <w:rsid w:val="00B81530"/>
    <w:rsid w:val="00B81749"/>
    <w:rsid w:val="00B82CAC"/>
    <w:rsid w:val="00B83124"/>
    <w:rsid w:val="00B8325B"/>
    <w:rsid w:val="00B84298"/>
    <w:rsid w:val="00B84D9B"/>
    <w:rsid w:val="00B85CA9"/>
    <w:rsid w:val="00B86C5F"/>
    <w:rsid w:val="00B8761B"/>
    <w:rsid w:val="00B876EB"/>
    <w:rsid w:val="00B87CC0"/>
    <w:rsid w:val="00B922BB"/>
    <w:rsid w:val="00B92890"/>
    <w:rsid w:val="00B92B25"/>
    <w:rsid w:val="00B92CF4"/>
    <w:rsid w:val="00B92E09"/>
    <w:rsid w:val="00B92E8E"/>
    <w:rsid w:val="00B9361B"/>
    <w:rsid w:val="00B942D8"/>
    <w:rsid w:val="00B94358"/>
    <w:rsid w:val="00B959E3"/>
    <w:rsid w:val="00B96E35"/>
    <w:rsid w:val="00B96E63"/>
    <w:rsid w:val="00B97796"/>
    <w:rsid w:val="00B97C36"/>
    <w:rsid w:val="00B97CE6"/>
    <w:rsid w:val="00BA01DF"/>
    <w:rsid w:val="00BA09A6"/>
    <w:rsid w:val="00BA129F"/>
    <w:rsid w:val="00BA12C4"/>
    <w:rsid w:val="00BA1B6A"/>
    <w:rsid w:val="00BA2ACE"/>
    <w:rsid w:val="00BA3034"/>
    <w:rsid w:val="00BA33EB"/>
    <w:rsid w:val="00BA3473"/>
    <w:rsid w:val="00BA3910"/>
    <w:rsid w:val="00BA3D0D"/>
    <w:rsid w:val="00BA461F"/>
    <w:rsid w:val="00BA49EA"/>
    <w:rsid w:val="00BA49F6"/>
    <w:rsid w:val="00BA580E"/>
    <w:rsid w:val="00BA65F5"/>
    <w:rsid w:val="00BA6B4A"/>
    <w:rsid w:val="00BA7269"/>
    <w:rsid w:val="00BA7277"/>
    <w:rsid w:val="00BA763C"/>
    <w:rsid w:val="00BA77FC"/>
    <w:rsid w:val="00BA79A8"/>
    <w:rsid w:val="00BA7CE6"/>
    <w:rsid w:val="00BA7D54"/>
    <w:rsid w:val="00BA7EBB"/>
    <w:rsid w:val="00BB1F35"/>
    <w:rsid w:val="00BB2576"/>
    <w:rsid w:val="00BB2A1A"/>
    <w:rsid w:val="00BB3BDA"/>
    <w:rsid w:val="00BB45F5"/>
    <w:rsid w:val="00BB635C"/>
    <w:rsid w:val="00BB69CB"/>
    <w:rsid w:val="00BB6C44"/>
    <w:rsid w:val="00BB6E17"/>
    <w:rsid w:val="00BB72EA"/>
    <w:rsid w:val="00BC01B9"/>
    <w:rsid w:val="00BC068E"/>
    <w:rsid w:val="00BC0BD3"/>
    <w:rsid w:val="00BC0BEF"/>
    <w:rsid w:val="00BC0C31"/>
    <w:rsid w:val="00BC139A"/>
    <w:rsid w:val="00BC2336"/>
    <w:rsid w:val="00BC2A9C"/>
    <w:rsid w:val="00BC2E68"/>
    <w:rsid w:val="00BC33D0"/>
    <w:rsid w:val="00BC35B6"/>
    <w:rsid w:val="00BC37C3"/>
    <w:rsid w:val="00BC45D7"/>
    <w:rsid w:val="00BC5096"/>
    <w:rsid w:val="00BC5957"/>
    <w:rsid w:val="00BC5FA8"/>
    <w:rsid w:val="00BC626C"/>
    <w:rsid w:val="00BC6487"/>
    <w:rsid w:val="00BC654E"/>
    <w:rsid w:val="00BC65E9"/>
    <w:rsid w:val="00BC66A8"/>
    <w:rsid w:val="00BC681F"/>
    <w:rsid w:val="00BC760E"/>
    <w:rsid w:val="00BC7AF7"/>
    <w:rsid w:val="00BC7B31"/>
    <w:rsid w:val="00BC7EA5"/>
    <w:rsid w:val="00BD03EC"/>
    <w:rsid w:val="00BD1863"/>
    <w:rsid w:val="00BD3C4D"/>
    <w:rsid w:val="00BD3D55"/>
    <w:rsid w:val="00BD3F33"/>
    <w:rsid w:val="00BD41A0"/>
    <w:rsid w:val="00BD46E6"/>
    <w:rsid w:val="00BD47DE"/>
    <w:rsid w:val="00BD4EF0"/>
    <w:rsid w:val="00BD502E"/>
    <w:rsid w:val="00BD50E5"/>
    <w:rsid w:val="00BD623B"/>
    <w:rsid w:val="00BD6370"/>
    <w:rsid w:val="00BD698C"/>
    <w:rsid w:val="00BD69A1"/>
    <w:rsid w:val="00BD73C0"/>
    <w:rsid w:val="00BD7835"/>
    <w:rsid w:val="00BD79C3"/>
    <w:rsid w:val="00BD7A68"/>
    <w:rsid w:val="00BD7D7A"/>
    <w:rsid w:val="00BE1793"/>
    <w:rsid w:val="00BE1DA8"/>
    <w:rsid w:val="00BE213D"/>
    <w:rsid w:val="00BE27AD"/>
    <w:rsid w:val="00BE289C"/>
    <w:rsid w:val="00BE2987"/>
    <w:rsid w:val="00BE2AB2"/>
    <w:rsid w:val="00BE2DF6"/>
    <w:rsid w:val="00BE318B"/>
    <w:rsid w:val="00BE34E2"/>
    <w:rsid w:val="00BE396A"/>
    <w:rsid w:val="00BE3A21"/>
    <w:rsid w:val="00BE4681"/>
    <w:rsid w:val="00BE4EB5"/>
    <w:rsid w:val="00BE5E98"/>
    <w:rsid w:val="00BE5F55"/>
    <w:rsid w:val="00BE646A"/>
    <w:rsid w:val="00BE646B"/>
    <w:rsid w:val="00BE6786"/>
    <w:rsid w:val="00BE6F82"/>
    <w:rsid w:val="00BE719D"/>
    <w:rsid w:val="00BE7B7B"/>
    <w:rsid w:val="00BF0492"/>
    <w:rsid w:val="00BF1085"/>
    <w:rsid w:val="00BF15F8"/>
    <w:rsid w:val="00BF2938"/>
    <w:rsid w:val="00BF3499"/>
    <w:rsid w:val="00BF38EF"/>
    <w:rsid w:val="00BF408D"/>
    <w:rsid w:val="00BF5B01"/>
    <w:rsid w:val="00BF69BC"/>
    <w:rsid w:val="00BF6A60"/>
    <w:rsid w:val="00BF6CBF"/>
    <w:rsid w:val="00BF6EA8"/>
    <w:rsid w:val="00BF7633"/>
    <w:rsid w:val="00BF7B8F"/>
    <w:rsid w:val="00BF7B9E"/>
    <w:rsid w:val="00BF7BCA"/>
    <w:rsid w:val="00C00EF6"/>
    <w:rsid w:val="00C01526"/>
    <w:rsid w:val="00C01569"/>
    <w:rsid w:val="00C01BB4"/>
    <w:rsid w:val="00C02802"/>
    <w:rsid w:val="00C0319E"/>
    <w:rsid w:val="00C03B5E"/>
    <w:rsid w:val="00C0401B"/>
    <w:rsid w:val="00C040A1"/>
    <w:rsid w:val="00C0435C"/>
    <w:rsid w:val="00C046EB"/>
    <w:rsid w:val="00C04B1E"/>
    <w:rsid w:val="00C05647"/>
    <w:rsid w:val="00C05A53"/>
    <w:rsid w:val="00C0717F"/>
    <w:rsid w:val="00C074BC"/>
    <w:rsid w:val="00C076CA"/>
    <w:rsid w:val="00C07811"/>
    <w:rsid w:val="00C10580"/>
    <w:rsid w:val="00C10F04"/>
    <w:rsid w:val="00C112CC"/>
    <w:rsid w:val="00C11AC4"/>
    <w:rsid w:val="00C11DBC"/>
    <w:rsid w:val="00C12532"/>
    <w:rsid w:val="00C13DF8"/>
    <w:rsid w:val="00C14C07"/>
    <w:rsid w:val="00C157AE"/>
    <w:rsid w:val="00C15BAF"/>
    <w:rsid w:val="00C15E68"/>
    <w:rsid w:val="00C15EBB"/>
    <w:rsid w:val="00C1682B"/>
    <w:rsid w:val="00C16CDA"/>
    <w:rsid w:val="00C17C66"/>
    <w:rsid w:val="00C202AE"/>
    <w:rsid w:val="00C20F60"/>
    <w:rsid w:val="00C215C5"/>
    <w:rsid w:val="00C21E41"/>
    <w:rsid w:val="00C225E9"/>
    <w:rsid w:val="00C22AAF"/>
    <w:rsid w:val="00C22F1E"/>
    <w:rsid w:val="00C22FFB"/>
    <w:rsid w:val="00C2361A"/>
    <w:rsid w:val="00C23A75"/>
    <w:rsid w:val="00C24477"/>
    <w:rsid w:val="00C2472D"/>
    <w:rsid w:val="00C2483D"/>
    <w:rsid w:val="00C24853"/>
    <w:rsid w:val="00C24FBA"/>
    <w:rsid w:val="00C25207"/>
    <w:rsid w:val="00C25295"/>
    <w:rsid w:val="00C25405"/>
    <w:rsid w:val="00C25664"/>
    <w:rsid w:val="00C25AAC"/>
    <w:rsid w:val="00C2792B"/>
    <w:rsid w:val="00C27BE4"/>
    <w:rsid w:val="00C30890"/>
    <w:rsid w:val="00C314A0"/>
    <w:rsid w:val="00C33A1E"/>
    <w:rsid w:val="00C33F00"/>
    <w:rsid w:val="00C347FF"/>
    <w:rsid w:val="00C34B3D"/>
    <w:rsid w:val="00C351CD"/>
    <w:rsid w:val="00C35601"/>
    <w:rsid w:val="00C3569B"/>
    <w:rsid w:val="00C357BE"/>
    <w:rsid w:val="00C35C62"/>
    <w:rsid w:val="00C36031"/>
    <w:rsid w:val="00C360C7"/>
    <w:rsid w:val="00C36553"/>
    <w:rsid w:val="00C36DBB"/>
    <w:rsid w:val="00C37C7A"/>
    <w:rsid w:val="00C40642"/>
    <w:rsid w:val="00C407EF"/>
    <w:rsid w:val="00C40D7E"/>
    <w:rsid w:val="00C41789"/>
    <w:rsid w:val="00C419B4"/>
    <w:rsid w:val="00C422FE"/>
    <w:rsid w:val="00C42436"/>
    <w:rsid w:val="00C432A4"/>
    <w:rsid w:val="00C438E8"/>
    <w:rsid w:val="00C446FE"/>
    <w:rsid w:val="00C44909"/>
    <w:rsid w:val="00C44B40"/>
    <w:rsid w:val="00C44B5C"/>
    <w:rsid w:val="00C4555E"/>
    <w:rsid w:val="00C457FA"/>
    <w:rsid w:val="00C4587C"/>
    <w:rsid w:val="00C45F3B"/>
    <w:rsid w:val="00C4629F"/>
    <w:rsid w:val="00C4636F"/>
    <w:rsid w:val="00C46E27"/>
    <w:rsid w:val="00C46F26"/>
    <w:rsid w:val="00C47037"/>
    <w:rsid w:val="00C47698"/>
    <w:rsid w:val="00C47D85"/>
    <w:rsid w:val="00C5065F"/>
    <w:rsid w:val="00C50DB6"/>
    <w:rsid w:val="00C513D8"/>
    <w:rsid w:val="00C51D74"/>
    <w:rsid w:val="00C524DB"/>
    <w:rsid w:val="00C527F3"/>
    <w:rsid w:val="00C5280A"/>
    <w:rsid w:val="00C5457E"/>
    <w:rsid w:val="00C54E9C"/>
    <w:rsid w:val="00C55C00"/>
    <w:rsid w:val="00C55E46"/>
    <w:rsid w:val="00C56D72"/>
    <w:rsid w:val="00C5766D"/>
    <w:rsid w:val="00C57C25"/>
    <w:rsid w:val="00C57CA9"/>
    <w:rsid w:val="00C609A8"/>
    <w:rsid w:val="00C609B4"/>
    <w:rsid w:val="00C60C0B"/>
    <w:rsid w:val="00C614E7"/>
    <w:rsid w:val="00C615B1"/>
    <w:rsid w:val="00C61F50"/>
    <w:rsid w:val="00C626F4"/>
    <w:rsid w:val="00C6271A"/>
    <w:rsid w:val="00C62D07"/>
    <w:rsid w:val="00C63C3F"/>
    <w:rsid w:val="00C6401A"/>
    <w:rsid w:val="00C64207"/>
    <w:rsid w:val="00C64945"/>
    <w:rsid w:val="00C64C21"/>
    <w:rsid w:val="00C659CB"/>
    <w:rsid w:val="00C66B25"/>
    <w:rsid w:val="00C66C0B"/>
    <w:rsid w:val="00C67E13"/>
    <w:rsid w:val="00C701A0"/>
    <w:rsid w:val="00C70991"/>
    <w:rsid w:val="00C70D10"/>
    <w:rsid w:val="00C71243"/>
    <w:rsid w:val="00C716A6"/>
    <w:rsid w:val="00C71783"/>
    <w:rsid w:val="00C718F1"/>
    <w:rsid w:val="00C7355C"/>
    <w:rsid w:val="00C7400B"/>
    <w:rsid w:val="00C7444D"/>
    <w:rsid w:val="00C744BD"/>
    <w:rsid w:val="00C75B50"/>
    <w:rsid w:val="00C75BE1"/>
    <w:rsid w:val="00C76752"/>
    <w:rsid w:val="00C76DF3"/>
    <w:rsid w:val="00C801FD"/>
    <w:rsid w:val="00C81E30"/>
    <w:rsid w:val="00C83165"/>
    <w:rsid w:val="00C8391A"/>
    <w:rsid w:val="00C83DC9"/>
    <w:rsid w:val="00C8590C"/>
    <w:rsid w:val="00C85D75"/>
    <w:rsid w:val="00C86171"/>
    <w:rsid w:val="00C86427"/>
    <w:rsid w:val="00C8675E"/>
    <w:rsid w:val="00C86919"/>
    <w:rsid w:val="00C86BDF"/>
    <w:rsid w:val="00C900FA"/>
    <w:rsid w:val="00C9065D"/>
    <w:rsid w:val="00C9074A"/>
    <w:rsid w:val="00C9089F"/>
    <w:rsid w:val="00C91080"/>
    <w:rsid w:val="00C913B8"/>
    <w:rsid w:val="00C91885"/>
    <w:rsid w:val="00C91F92"/>
    <w:rsid w:val="00C927F7"/>
    <w:rsid w:val="00C92DC7"/>
    <w:rsid w:val="00C9307D"/>
    <w:rsid w:val="00C93EA7"/>
    <w:rsid w:val="00C93F31"/>
    <w:rsid w:val="00C93FF1"/>
    <w:rsid w:val="00C9410A"/>
    <w:rsid w:val="00C9437B"/>
    <w:rsid w:val="00C9518F"/>
    <w:rsid w:val="00C952C9"/>
    <w:rsid w:val="00C961F0"/>
    <w:rsid w:val="00C9663F"/>
    <w:rsid w:val="00C966D4"/>
    <w:rsid w:val="00C96A29"/>
    <w:rsid w:val="00C9711E"/>
    <w:rsid w:val="00C9746A"/>
    <w:rsid w:val="00CA0936"/>
    <w:rsid w:val="00CA0FF7"/>
    <w:rsid w:val="00CA2047"/>
    <w:rsid w:val="00CA2662"/>
    <w:rsid w:val="00CA305C"/>
    <w:rsid w:val="00CA332F"/>
    <w:rsid w:val="00CA461C"/>
    <w:rsid w:val="00CA4A89"/>
    <w:rsid w:val="00CA509E"/>
    <w:rsid w:val="00CA536B"/>
    <w:rsid w:val="00CA55D9"/>
    <w:rsid w:val="00CA5B94"/>
    <w:rsid w:val="00CA5CE3"/>
    <w:rsid w:val="00CA623A"/>
    <w:rsid w:val="00CA66E5"/>
    <w:rsid w:val="00CA6B41"/>
    <w:rsid w:val="00CA71D7"/>
    <w:rsid w:val="00CA759D"/>
    <w:rsid w:val="00CA7BE1"/>
    <w:rsid w:val="00CB0E1A"/>
    <w:rsid w:val="00CB138C"/>
    <w:rsid w:val="00CB1C65"/>
    <w:rsid w:val="00CB2737"/>
    <w:rsid w:val="00CB2A13"/>
    <w:rsid w:val="00CB303E"/>
    <w:rsid w:val="00CB33DA"/>
    <w:rsid w:val="00CB3B01"/>
    <w:rsid w:val="00CB3D69"/>
    <w:rsid w:val="00CB3F45"/>
    <w:rsid w:val="00CB4168"/>
    <w:rsid w:val="00CB4443"/>
    <w:rsid w:val="00CB4A17"/>
    <w:rsid w:val="00CB563D"/>
    <w:rsid w:val="00CB66D7"/>
    <w:rsid w:val="00CB7596"/>
    <w:rsid w:val="00CC0487"/>
    <w:rsid w:val="00CC258E"/>
    <w:rsid w:val="00CC2904"/>
    <w:rsid w:val="00CC2C63"/>
    <w:rsid w:val="00CC2D6F"/>
    <w:rsid w:val="00CC3273"/>
    <w:rsid w:val="00CC338A"/>
    <w:rsid w:val="00CC5137"/>
    <w:rsid w:val="00CC54F7"/>
    <w:rsid w:val="00CC5FD6"/>
    <w:rsid w:val="00CC615D"/>
    <w:rsid w:val="00CC62F9"/>
    <w:rsid w:val="00CC6BFE"/>
    <w:rsid w:val="00CC7292"/>
    <w:rsid w:val="00CC758E"/>
    <w:rsid w:val="00CC78FF"/>
    <w:rsid w:val="00CD00BE"/>
    <w:rsid w:val="00CD10C2"/>
    <w:rsid w:val="00CD12B3"/>
    <w:rsid w:val="00CD23BA"/>
    <w:rsid w:val="00CD240F"/>
    <w:rsid w:val="00CD2F67"/>
    <w:rsid w:val="00CD2FBD"/>
    <w:rsid w:val="00CD35FB"/>
    <w:rsid w:val="00CD3CDB"/>
    <w:rsid w:val="00CD3F90"/>
    <w:rsid w:val="00CD5187"/>
    <w:rsid w:val="00CD538A"/>
    <w:rsid w:val="00CD601A"/>
    <w:rsid w:val="00CD6151"/>
    <w:rsid w:val="00CD6EAB"/>
    <w:rsid w:val="00CD72A6"/>
    <w:rsid w:val="00CD740E"/>
    <w:rsid w:val="00CE018F"/>
    <w:rsid w:val="00CE0C80"/>
    <w:rsid w:val="00CE1320"/>
    <w:rsid w:val="00CE136B"/>
    <w:rsid w:val="00CE1FBF"/>
    <w:rsid w:val="00CE29C1"/>
    <w:rsid w:val="00CE2A50"/>
    <w:rsid w:val="00CE2C91"/>
    <w:rsid w:val="00CE3214"/>
    <w:rsid w:val="00CE324F"/>
    <w:rsid w:val="00CE4450"/>
    <w:rsid w:val="00CE45F9"/>
    <w:rsid w:val="00CE4E7D"/>
    <w:rsid w:val="00CE4F5E"/>
    <w:rsid w:val="00CE54EA"/>
    <w:rsid w:val="00CE5C9E"/>
    <w:rsid w:val="00CE5EEC"/>
    <w:rsid w:val="00CE62C3"/>
    <w:rsid w:val="00CE67FE"/>
    <w:rsid w:val="00CE6EBB"/>
    <w:rsid w:val="00CE7091"/>
    <w:rsid w:val="00CE7247"/>
    <w:rsid w:val="00CF012D"/>
    <w:rsid w:val="00CF0211"/>
    <w:rsid w:val="00CF0B3D"/>
    <w:rsid w:val="00CF18DD"/>
    <w:rsid w:val="00CF19C2"/>
    <w:rsid w:val="00CF3581"/>
    <w:rsid w:val="00CF4D41"/>
    <w:rsid w:val="00CF5798"/>
    <w:rsid w:val="00CF6160"/>
    <w:rsid w:val="00CF6C2D"/>
    <w:rsid w:val="00CF7038"/>
    <w:rsid w:val="00CF7488"/>
    <w:rsid w:val="00CF7A47"/>
    <w:rsid w:val="00CF7B6D"/>
    <w:rsid w:val="00CF7C6F"/>
    <w:rsid w:val="00CF7D22"/>
    <w:rsid w:val="00CF7DD7"/>
    <w:rsid w:val="00D004A3"/>
    <w:rsid w:val="00D00A7E"/>
    <w:rsid w:val="00D00B94"/>
    <w:rsid w:val="00D015D2"/>
    <w:rsid w:val="00D01F5E"/>
    <w:rsid w:val="00D02D40"/>
    <w:rsid w:val="00D02FC9"/>
    <w:rsid w:val="00D03064"/>
    <w:rsid w:val="00D03CDC"/>
    <w:rsid w:val="00D03DA5"/>
    <w:rsid w:val="00D041BB"/>
    <w:rsid w:val="00D04844"/>
    <w:rsid w:val="00D050C5"/>
    <w:rsid w:val="00D0516A"/>
    <w:rsid w:val="00D05387"/>
    <w:rsid w:val="00D055FF"/>
    <w:rsid w:val="00D05F6D"/>
    <w:rsid w:val="00D06289"/>
    <w:rsid w:val="00D066A8"/>
    <w:rsid w:val="00D06830"/>
    <w:rsid w:val="00D07070"/>
    <w:rsid w:val="00D07284"/>
    <w:rsid w:val="00D074CF"/>
    <w:rsid w:val="00D07EF0"/>
    <w:rsid w:val="00D1024F"/>
    <w:rsid w:val="00D103AF"/>
    <w:rsid w:val="00D1097B"/>
    <w:rsid w:val="00D10BA7"/>
    <w:rsid w:val="00D110CA"/>
    <w:rsid w:val="00D11F4A"/>
    <w:rsid w:val="00D12B19"/>
    <w:rsid w:val="00D13FCD"/>
    <w:rsid w:val="00D14649"/>
    <w:rsid w:val="00D14E32"/>
    <w:rsid w:val="00D14E6F"/>
    <w:rsid w:val="00D1557B"/>
    <w:rsid w:val="00D15B9F"/>
    <w:rsid w:val="00D1684A"/>
    <w:rsid w:val="00D16D10"/>
    <w:rsid w:val="00D1755F"/>
    <w:rsid w:val="00D17680"/>
    <w:rsid w:val="00D17D13"/>
    <w:rsid w:val="00D20FC9"/>
    <w:rsid w:val="00D21422"/>
    <w:rsid w:val="00D21C78"/>
    <w:rsid w:val="00D21E5E"/>
    <w:rsid w:val="00D2226A"/>
    <w:rsid w:val="00D230CD"/>
    <w:rsid w:val="00D23649"/>
    <w:rsid w:val="00D241BB"/>
    <w:rsid w:val="00D243ED"/>
    <w:rsid w:val="00D244FB"/>
    <w:rsid w:val="00D253AA"/>
    <w:rsid w:val="00D2547D"/>
    <w:rsid w:val="00D25E0F"/>
    <w:rsid w:val="00D25E5E"/>
    <w:rsid w:val="00D2642C"/>
    <w:rsid w:val="00D26825"/>
    <w:rsid w:val="00D2686E"/>
    <w:rsid w:val="00D26892"/>
    <w:rsid w:val="00D2725C"/>
    <w:rsid w:val="00D27ABE"/>
    <w:rsid w:val="00D3001A"/>
    <w:rsid w:val="00D30437"/>
    <w:rsid w:val="00D30681"/>
    <w:rsid w:val="00D306FE"/>
    <w:rsid w:val="00D3079F"/>
    <w:rsid w:val="00D30B89"/>
    <w:rsid w:val="00D30CA5"/>
    <w:rsid w:val="00D315FF"/>
    <w:rsid w:val="00D317E9"/>
    <w:rsid w:val="00D318B0"/>
    <w:rsid w:val="00D31A83"/>
    <w:rsid w:val="00D31A98"/>
    <w:rsid w:val="00D32C97"/>
    <w:rsid w:val="00D338A5"/>
    <w:rsid w:val="00D338CA"/>
    <w:rsid w:val="00D33C4C"/>
    <w:rsid w:val="00D33CE7"/>
    <w:rsid w:val="00D3417F"/>
    <w:rsid w:val="00D341DE"/>
    <w:rsid w:val="00D3434F"/>
    <w:rsid w:val="00D35241"/>
    <w:rsid w:val="00D3580E"/>
    <w:rsid w:val="00D35ED2"/>
    <w:rsid w:val="00D36A29"/>
    <w:rsid w:val="00D37367"/>
    <w:rsid w:val="00D37586"/>
    <w:rsid w:val="00D3758A"/>
    <w:rsid w:val="00D3788A"/>
    <w:rsid w:val="00D37A8E"/>
    <w:rsid w:val="00D37B13"/>
    <w:rsid w:val="00D37F31"/>
    <w:rsid w:val="00D40866"/>
    <w:rsid w:val="00D41199"/>
    <w:rsid w:val="00D41408"/>
    <w:rsid w:val="00D41AF5"/>
    <w:rsid w:val="00D420DB"/>
    <w:rsid w:val="00D421F3"/>
    <w:rsid w:val="00D4228D"/>
    <w:rsid w:val="00D42562"/>
    <w:rsid w:val="00D4310C"/>
    <w:rsid w:val="00D43447"/>
    <w:rsid w:val="00D43685"/>
    <w:rsid w:val="00D437A5"/>
    <w:rsid w:val="00D443C7"/>
    <w:rsid w:val="00D44813"/>
    <w:rsid w:val="00D44BDA"/>
    <w:rsid w:val="00D450D0"/>
    <w:rsid w:val="00D457C9"/>
    <w:rsid w:val="00D465A4"/>
    <w:rsid w:val="00D46BBE"/>
    <w:rsid w:val="00D46DC5"/>
    <w:rsid w:val="00D46E2F"/>
    <w:rsid w:val="00D47742"/>
    <w:rsid w:val="00D47AF4"/>
    <w:rsid w:val="00D47E80"/>
    <w:rsid w:val="00D47F97"/>
    <w:rsid w:val="00D500D5"/>
    <w:rsid w:val="00D502E2"/>
    <w:rsid w:val="00D50DE8"/>
    <w:rsid w:val="00D50DF9"/>
    <w:rsid w:val="00D510DA"/>
    <w:rsid w:val="00D51790"/>
    <w:rsid w:val="00D51A52"/>
    <w:rsid w:val="00D51F02"/>
    <w:rsid w:val="00D51F23"/>
    <w:rsid w:val="00D5202B"/>
    <w:rsid w:val="00D522CD"/>
    <w:rsid w:val="00D53585"/>
    <w:rsid w:val="00D5365D"/>
    <w:rsid w:val="00D53B5F"/>
    <w:rsid w:val="00D5434B"/>
    <w:rsid w:val="00D5489D"/>
    <w:rsid w:val="00D5519A"/>
    <w:rsid w:val="00D55B20"/>
    <w:rsid w:val="00D56684"/>
    <w:rsid w:val="00D56CFD"/>
    <w:rsid w:val="00D604AE"/>
    <w:rsid w:val="00D60869"/>
    <w:rsid w:val="00D608A0"/>
    <w:rsid w:val="00D6097D"/>
    <w:rsid w:val="00D609CB"/>
    <w:rsid w:val="00D618BB"/>
    <w:rsid w:val="00D61D13"/>
    <w:rsid w:val="00D62610"/>
    <w:rsid w:val="00D62D5D"/>
    <w:rsid w:val="00D632AD"/>
    <w:rsid w:val="00D6337A"/>
    <w:rsid w:val="00D63B7D"/>
    <w:rsid w:val="00D63D0B"/>
    <w:rsid w:val="00D64410"/>
    <w:rsid w:val="00D64CD1"/>
    <w:rsid w:val="00D65305"/>
    <w:rsid w:val="00D655C1"/>
    <w:rsid w:val="00D65BE7"/>
    <w:rsid w:val="00D65DA3"/>
    <w:rsid w:val="00D66A67"/>
    <w:rsid w:val="00D66DA1"/>
    <w:rsid w:val="00D67331"/>
    <w:rsid w:val="00D67524"/>
    <w:rsid w:val="00D6770D"/>
    <w:rsid w:val="00D67764"/>
    <w:rsid w:val="00D67904"/>
    <w:rsid w:val="00D67CD9"/>
    <w:rsid w:val="00D67D10"/>
    <w:rsid w:val="00D70B5E"/>
    <w:rsid w:val="00D70F12"/>
    <w:rsid w:val="00D71C83"/>
    <w:rsid w:val="00D7240E"/>
    <w:rsid w:val="00D72477"/>
    <w:rsid w:val="00D72A39"/>
    <w:rsid w:val="00D73C40"/>
    <w:rsid w:val="00D73C82"/>
    <w:rsid w:val="00D7458A"/>
    <w:rsid w:val="00D74656"/>
    <w:rsid w:val="00D758F0"/>
    <w:rsid w:val="00D75B54"/>
    <w:rsid w:val="00D76773"/>
    <w:rsid w:val="00D76F8C"/>
    <w:rsid w:val="00D77036"/>
    <w:rsid w:val="00D77857"/>
    <w:rsid w:val="00D77FA0"/>
    <w:rsid w:val="00D80379"/>
    <w:rsid w:val="00D80A12"/>
    <w:rsid w:val="00D80B98"/>
    <w:rsid w:val="00D8160E"/>
    <w:rsid w:val="00D8182E"/>
    <w:rsid w:val="00D82325"/>
    <w:rsid w:val="00D8251F"/>
    <w:rsid w:val="00D825C9"/>
    <w:rsid w:val="00D82B54"/>
    <w:rsid w:val="00D83191"/>
    <w:rsid w:val="00D8325D"/>
    <w:rsid w:val="00D83434"/>
    <w:rsid w:val="00D83D15"/>
    <w:rsid w:val="00D8533F"/>
    <w:rsid w:val="00D86163"/>
    <w:rsid w:val="00D866F6"/>
    <w:rsid w:val="00D86CF6"/>
    <w:rsid w:val="00D87086"/>
    <w:rsid w:val="00D870BC"/>
    <w:rsid w:val="00D8788C"/>
    <w:rsid w:val="00D87BC3"/>
    <w:rsid w:val="00D87C26"/>
    <w:rsid w:val="00D87D89"/>
    <w:rsid w:val="00D9068E"/>
    <w:rsid w:val="00D9073A"/>
    <w:rsid w:val="00D909A5"/>
    <w:rsid w:val="00D91150"/>
    <w:rsid w:val="00D91814"/>
    <w:rsid w:val="00D91B17"/>
    <w:rsid w:val="00D93E58"/>
    <w:rsid w:val="00D93F83"/>
    <w:rsid w:val="00D94C93"/>
    <w:rsid w:val="00D95212"/>
    <w:rsid w:val="00D9543D"/>
    <w:rsid w:val="00D979D3"/>
    <w:rsid w:val="00D97B54"/>
    <w:rsid w:val="00DA018C"/>
    <w:rsid w:val="00DA02E9"/>
    <w:rsid w:val="00DA0833"/>
    <w:rsid w:val="00DA0B76"/>
    <w:rsid w:val="00DA2143"/>
    <w:rsid w:val="00DA242A"/>
    <w:rsid w:val="00DA24B2"/>
    <w:rsid w:val="00DA2953"/>
    <w:rsid w:val="00DA3382"/>
    <w:rsid w:val="00DA42EE"/>
    <w:rsid w:val="00DA4C8F"/>
    <w:rsid w:val="00DA52EC"/>
    <w:rsid w:val="00DA52F9"/>
    <w:rsid w:val="00DA5C94"/>
    <w:rsid w:val="00DA5EB4"/>
    <w:rsid w:val="00DA6241"/>
    <w:rsid w:val="00DB0AD4"/>
    <w:rsid w:val="00DB0BA2"/>
    <w:rsid w:val="00DB0FA5"/>
    <w:rsid w:val="00DB161C"/>
    <w:rsid w:val="00DB1B7E"/>
    <w:rsid w:val="00DB2657"/>
    <w:rsid w:val="00DB2836"/>
    <w:rsid w:val="00DB2A2C"/>
    <w:rsid w:val="00DB3C8D"/>
    <w:rsid w:val="00DB3D96"/>
    <w:rsid w:val="00DB3DBF"/>
    <w:rsid w:val="00DB3E5D"/>
    <w:rsid w:val="00DB405B"/>
    <w:rsid w:val="00DB4A2A"/>
    <w:rsid w:val="00DB4B0C"/>
    <w:rsid w:val="00DB5001"/>
    <w:rsid w:val="00DB5453"/>
    <w:rsid w:val="00DB5F71"/>
    <w:rsid w:val="00DB6414"/>
    <w:rsid w:val="00DB7A1F"/>
    <w:rsid w:val="00DC0385"/>
    <w:rsid w:val="00DC0631"/>
    <w:rsid w:val="00DC097C"/>
    <w:rsid w:val="00DC1476"/>
    <w:rsid w:val="00DC19A2"/>
    <w:rsid w:val="00DC2685"/>
    <w:rsid w:val="00DC2CCC"/>
    <w:rsid w:val="00DC38ED"/>
    <w:rsid w:val="00DC40C2"/>
    <w:rsid w:val="00DC47E5"/>
    <w:rsid w:val="00DC66F8"/>
    <w:rsid w:val="00DC6F8F"/>
    <w:rsid w:val="00DC7ACC"/>
    <w:rsid w:val="00DC7CDF"/>
    <w:rsid w:val="00DC7D20"/>
    <w:rsid w:val="00DC7E22"/>
    <w:rsid w:val="00DD012C"/>
    <w:rsid w:val="00DD02FA"/>
    <w:rsid w:val="00DD0B52"/>
    <w:rsid w:val="00DD1742"/>
    <w:rsid w:val="00DD1A45"/>
    <w:rsid w:val="00DD1CA9"/>
    <w:rsid w:val="00DD1F37"/>
    <w:rsid w:val="00DD22FB"/>
    <w:rsid w:val="00DD29AD"/>
    <w:rsid w:val="00DD3EFA"/>
    <w:rsid w:val="00DD4100"/>
    <w:rsid w:val="00DD4A55"/>
    <w:rsid w:val="00DD75F1"/>
    <w:rsid w:val="00DE0056"/>
    <w:rsid w:val="00DE00C0"/>
    <w:rsid w:val="00DE064E"/>
    <w:rsid w:val="00DE1024"/>
    <w:rsid w:val="00DE1242"/>
    <w:rsid w:val="00DE1335"/>
    <w:rsid w:val="00DE1FEF"/>
    <w:rsid w:val="00DE237E"/>
    <w:rsid w:val="00DE24F0"/>
    <w:rsid w:val="00DE2833"/>
    <w:rsid w:val="00DE29C2"/>
    <w:rsid w:val="00DE302F"/>
    <w:rsid w:val="00DE3485"/>
    <w:rsid w:val="00DE36E2"/>
    <w:rsid w:val="00DE3B3F"/>
    <w:rsid w:val="00DE3DCB"/>
    <w:rsid w:val="00DE4435"/>
    <w:rsid w:val="00DE44BF"/>
    <w:rsid w:val="00DE47A9"/>
    <w:rsid w:val="00DE50D1"/>
    <w:rsid w:val="00DE5BF4"/>
    <w:rsid w:val="00DE5D23"/>
    <w:rsid w:val="00DE5D84"/>
    <w:rsid w:val="00DE5F5E"/>
    <w:rsid w:val="00DE7170"/>
    <w:rsid w:val="00DE7535"/>
    <w:rsid w:val="00DE78D8"/>
    <w:rsid w:val="00DF0F86"/>
    <w:rsid w:val="00DF12EB"/>
    <w:rsid w:val="00DF1449"/>
    <w:rsid w:val="00DF229E"/>
    <w:rsid w:val="00DF2A90"/>
    <w:rsid w:val="00DF2CB0"/>
    <w:rsid w:val="00DF329A"/>
    <w:rsid w:val="00DF331D"/>
    <w:rsid w:val="00DF38A7"/>
    <w:rsid w:val="00DF3BB8"/>
    <w:rsid w:val="00DF3DB9"/>
    <w:rsid w:val="00DF3E55"/>
    <w:rsid w:val="00DF42DA"/>
    <w:rsid w:val="00DF45EB"/>
    <w:rsid w:val="00DF470E"/>
    <w:rsid w:val="00DF4BA9"/>
    <w:rsid w:val="00DF52E3"/>
    <w:rsid w:val="00DF5E3C"/>
    <w:rsid w:val="00DF6114"/>
    <w:rsid w:val="00DF6868"/>
    <w:rsid w:val="00E000DB"/>
    <w:rsid w:val="00E00488"/>
    <w:rsid w:val="00E0097B"/>
    <w:rsid w:val="00E00AAE"/>
    <w:rsid w:val="00E0289B"/>
    <w:rsid w:val="00E028E7"/>
    <w:rsid w:val="00E02A7B"/>
    <w:rsid w:val="00E03396"/>
    <w:rsid w:val="00E03E25"/>
    <w:rsid w:val="00E04037"/>
    <w:rsid w:val="00E043BF"/>
    <w:rsid w:val="00E044E6"/>
    <w:rsid w:val="00E05DAC"/>
    <w:rsid w:val="00E05F95"/>
    <w:rsid w:val="00E0647C"/>
    <w:rsid w:val="00E11454"/>
    <w:rsid w:val="00E11614"/>
    <w:rsid w:val="00E11DA2"/>
    <w:rsid w:val="00E1260A"/>
    <w:rsid w:val="00E12A9E"/>
    <w:rsid w:val="00E13801"/>
    <w:rsid w:val="00E13B53"/>
    <w:rsid w:val="00E13FFE"/>
    <w:rsid w:val="00E1539C"/>
    <w:rsid w:val="00E15C18"/>
    <w:rsid w:val="00E15D39"/>
    <w:rsid w:val="00E15FC0"/>
    <w:rsid w:val="00E163B8"/>
    <w:rsid w:val="00E1741C"/>
    <w:rsid w:val="00E1785C"/>
    <w:rsid w:val="00E20815"/>
    <w:rsid w:val="00E2100B"/>
    <w:rsid w:val="00E21477"/>
    <w:rsid w:val="00E21E81"/>
    <w:rsid w:val="00E22A1A"/>
    <w:rsid w:val="00E22ED9"/>
    <w:rsid w:val="00E244C6"/>
    <w:rsid w:val="00E24565"/>
    <w:rsid w:val="00E253FF"/>
    <w:rsid w:val="00E25A96"/>
    <w:rsid w:val="00E25E0F"/>
    <w:rsid w:val="00E301E9"/>
    <w:rsid w:val="00E3049A"/>
    <w:rsid w:val="00E30D47"/>
    <w:rsid w:val="00E310A0"/>
    <w:rsid w:val="00E311A7"/>
    <w:rsid w:val="00E31349"/>
    <w:rsid w:val="00E318A5"/>
    <w:rsid w:val="00E31CE3"/>
    <w:rsid w:val="00E329BD"/>
    <w:rsid w:val="00E333C5"/>
    <w:rsid w:val="00E338FE"/>
    <w:rsid w:val="00E34B6D"/>
    <w:rsid w:val="00E36443"/>
    <w:rsid w:val="00E366FD"/>
    <w:rsid w:val="00E374FB"/>
    <w:rsid w:val="00E3770D"/>
    <w:rsid w:val="00E3795E"/>
    <w:rsid w:val="00E3795F"/>
    <w:rsid w:val="00E40100"/>
    <w:rsid w:val="00E4075B"/>
    <w:rsid w:val="00E40A34"/>
    <w:rsid w:val="00E41311"/>
    <w:rsid w:val="00E418E6"/>
    <w:rsid w:val="00E41E47"/>
    <w:rsid w:val="00E4293A"/>
    <w:rsid w:val="00E430E1"/>
    <w:rsid w:val="00E437A7"/>
    <w:rsid w:val="00E4380F"/>
    <w:rsid w:val="00E43F8B"/>
    <w:rsid w:val="00E4415E"/>
    <w:rsid w:val="00E44416"/>
    <w:rsid w:val="00E4442E"/>
    <w:rsid w:val="00E44A07"/>
    <w:rsid w:val="00E44D93"/>
    <w:rsid w:val="00E4511B"/>
    <w:rsid w:val="00E453E5"/>
    <w:rsid w:val="00E45745"/>
    <w:rsid w:val="00E45A5A"/>
    <w:rsid w:val="00E46232"/>
    <w:rsid w:val="00E46975"/>
    <w:rsid w:val="00E46C71"/>
    <w:rsid w:val="00E46FF7"/>
    <w:rsid w:val="00E474EB"/>
    <w:rsid w:val="00E47557"/>
    <w:rsid w:val="00E47D53"/>
    <w:rsid w:val="00E503D6"/>
    <w:rsid w:val="00E50D6A"/>
    <w:rsid w:val="00E50DA2"/>
    <w:rsid w:val="00E5189B"/>
    <w:rsid w:val="00E51CB1"/>
    <w:rsid w:val="00E526D8"/>
    <w:rsid w:val="00E539DD"/>
    <w:rsid w:val="00E53F8E"/>
    <w:rsid w:val="00E5457E"/>
    <w:rsid w:val="00E54951"/>
    <w:rsid w:val="00E54AF6"/>
    <w:rsid w:val="00E54B96"/>
    <w:rsid w:val="00E54BD6"/>
    <w:rsid w:val="00E550A4"/>
    <w:rsid w:val="00E553C4"/>
    <w:rsid w:val="00E5548C"/>
    <w:rsid w:val="00E55E03"/>
    <w:rsid w:val="00E56122"/>
    <w:rsid w:val="00E563FF"/>
    <w:rsid w:val="00E56418"/>
    <w:rsid w:val="00E564B7"/>
    <w:rsid w:val="00E575FA"/>
    <w:rsid w:val="00E57CE5"/>
    <w:rsid w:val="00E608E2"/>
    <w:rsid w:val="00E609B0"/>
    <w:rsid w:val="00E6141A"/>
    <w:rsid w:val="00E6194F"/>
    <w:rsid w:val="00E61DFC"/>
    <w:rsid w:val="00E62D9C"/>
    <w:rsid w:val="00E649E3"/>
    <w:rsid w:val="00E6529B"/>
    <w:rsid w:val="00E652A8"/>
    <w:rsid w:val="00E6633A"/>
    <w:rsid w:val="00E66354"/>
    <w:rsid w:val="00E67156"/>
    <w:rsid w:val="00E67F37"/>
    <w:rsid w:val="00E70098"/>
    <w:rsid w:val="00E70643"/>
    <w:rsid w:val="00E70CC1"/>
    <w:rsid w:val="00E70E72"/>
    <w:rsid w:val="00E71098"/>
    <w:rsid w:val="00E71A2E"/>
    <w:rsid w:val="00E72179"/>
    <w:rsid w:val="00E73EB0"/>
    <w:rsid w:val="00E74183"/>
    <w:rsid w:val="00E74244"/>
    <w:rsid w:val="00E74A85"/>
    <w:rsid w:val="00E74CED"/>
    <w:rsid w:val="00E75532"/>
    <w:rsid w:val="00E76C11"/>
    <w:rsid w:val="00E76FE2"/>
    <w:rsid w:val="00E77864"/>
    <w:rsid w:val="00E8031A"/>
    <w:rsid w:val="00E80B8A"/>
    <w:rsid w:val="00E8131C"/>
    <w:rsid w:val="00E816C4"/>
    <w:rsid w:val="00E81B38"/>
    <w:rsid w:val="00E81D86"/>
    <w:rsid w:val="00E8283A"/>
    <w:rsid w:val="00E83157"/>
    <w:rsid w:val="00E833C7"/>
    <w:rsid w:val="00E8396C"/>
    <w:rsid w:val="00E83C0A"/>
    <w:rsid w:val="00E83CB8"/>
    <w:rsid w:val="00E84A23"/>
    <w:rsid w:val="00E8548C"/>
    <w:rsid w:val="00E856FE"/>
    <w:rsid w:val="00E85897"/>
    <w:rsid w:val="00E8637C"/>
    <w:rsid w:val="00E8647C"/>
    <w:rsid w:val="00E865C5"/>
    <w:rsid w:val="00E87EC1"/>
    <w:rsid w:val="00E901E0"/>
    <w:rsid w:val="00E90BE7"/>
    <w:rsid w:val="00E90DFF"/>
    <w:rsid w:val="00E915FD"/>
    <w:rsid w:val="00E92C40"/>
    <w:rsid w:val="00E93C40"/>
    <w:rsid w:val="00E957F0"/>
    <w:rsid w:val="00E960C1"/>
    <w:rsid w:val="00E96D66"/>
    <w:rsid w:val="00E96EE7"/>
    <w:rsid w:val="00E96F15"/>
    <w:rsid w:val="00E97BC3"/>
    <w:rsid w:val="00EA044F"/>
    <w:rsid w:val="00EA09B8"/>
    <w:rsid w:val="00EA116D"/>
    <w:rsid w:val="00EA1447"/>
    <w:rsid w:val="00EA28FF"/>
    <w:rsid w:val="00EA3FA8"/>
    <w:rsid w:val="00EA4BEE"/>
    <w:rsid w:val="00EA53A5"/>
    <w:rsid w:val="00EA5412"/>
    <w:rsid w:val="00EA5CBA"/>
    <w:rsid w:val="00EA5FB1"/>
    <w:rsid w:val="00EA5FCC"/>
    <w:rsid w:val="00EA61DC"/>
    <w:rsid w:val="00EA6E2F"/>
    <w:rsid w:val="00EA700B"/>
    <w:rsid w:val="00EA7423"/>
    <w:rsid w:val="00EB07BF"/>
    <w:rsid w:val="00EB1241"/>
    <w:rsid w:val="00EB1B5A"/>
    <w:rsid w:val="00EB3633"/>
    <w:rsid w:val="00EB3D56"/>
    <w:rsid w:val="00EB3F9F"/>
    <w:rsid w:val="00EB401F"/>
    <w:rsid w:val="00EB42C1"/>
    <w:rsid w:val="00EB4400"/>
    <w:rsid w:val="00EB4506"/>
    <w:rsid w:val="00EB46C3"/>
    <w:rsid w:val="00EB579E"/>
    <w:rsid w:val="00EB5DF1"/>
    <w:rsid w:val="00EB6087"/>
    <w:rsid w:val="00EB63E8"/>
    <w:rsid w:val="00EB7526"/>
    <w:rsid w:val="00EB7DEB"/>
    <w:rsid w:val="00EC07A5"/>
    <w:rsid w:val="00EC0EF3"/>
    <w:rsid w:val="00EC17F5"/>
    <w:rsid w:val="00EC1871"/>
    <w:rsid w:val="00EC1A5E"/>
    <w:rsid w:val="00EC1B71"/>
    <w:rsid w:val="00EC1E28"/>
    <w:rsid w:val="00EC2549"/>
    <w:rsid w:val="00EC2618"/>
    <w:rsid w:val="00EC33B8"/>
    <w:rsid w:val="00EC38EC"/>
    <w:rsid w:val="00EC3AD1"/>
    <w:rsid w:val="00EC3D50"/>
    <w:rsid w:val="00EC3F08"/>
    <w:rsid w:val="00EC4160"/>
    <w:rsid w:val="00EC4F2C"/>
    <w:rsid w:val="00EC51F0"/>
    <w:rsid w:val="00EC5566"/>
    <w:rsid w:val="00EC57F2"/>
    <w:rsid w:val="00EC5EAE"/>
    <w:rsid w:val="00EC6254"/>
    <w:rsid w:val="00EC64EA"/>
    <w:rsid w:val="00EC67F6"/>
    <w:rsid w:val="00EC6866"/>
    <w:rsid w:val="00EC6931"/>
    <w:rsid w:val="00EC7241"/>
    <w:rsid w:val="00EC7C56"/>
    <w:rsid w:val="00EC7E96"/>
    <w:rsid w:val="00ED06AE"/>
    <w:rsid w:val="00ED080D"/>
    <w:rsid w:val="00ED1331"/>
    <w:rsid w:val="00ED14D9"/>
    <w:rsid w:val="00ED3399"/>
    <w:rsid w:val="00ED3A16"/>
    <w:rsid w:val="00ED3A2C"/>
    <w:rsid w:val="00ED3D56"/>
    <w:rsid w:val="00ED3D82"/>
    <w:rsid w:val="00ED4056"/>
    <w:rsid w:val="00ED53AF"/>
    <w:rsid w:val="00ED5A72"/>
    <w:rsid w:val="00ED5B1B"/>
    <w:rsid w:val="00ED6501"/>
    <w:rsid w:val="00ED6637"/>
    <w:rsid w:val="00ED67BA"/>
    <w:rsid w:val="00ED7066"/>
    <w:rsid w:val="00ED77B7"/>
    <w:rsid w:val="00EE04BA"/>
    <w:rsid w:val="00EE07E3"/>
    <w:rsid w:val="00EE07F7"/>
    <w:rsid w:val="00EE0836"/>
    <w:rsid w:val="00EE0874"/>
    <w:rsid w:val="00EE116F"/>
    <w:rsid w:val="00EE1519"/>
    <w:rsid w:val="00EE1B79"/>
    <w:rsid w:val="00EE2557"/>
    <w:rsid w:val="00EE2EFC"/>
    <w:rsid w:val="00EE3DA5"/>
    <w:rsid w:val="00EE40B5"/>
    <w:rsid w:val="00EE4264"/>
    <w:rsid w:val="00EE429C"/>
    <w:rsid w:val="00EE4D37"/>
    <w:rsid w:val="00EE6CC5"/>
    <w:rsid w:val="00EE6CFD"/>
    <w:rsid w:val="00EE6E3C"/>
    <w:rsid w:val="00EE7B09"/>
    <w:rsid w:val="00EF0466"/>
    <w:rsid w:val="00EF0970"/>
    <w:rsid w:val="00EF16BC"/>
    <w:rsid w:val="00EF171D"/>
    <w:rsid w:val="00EF1A8C"/>
    <w:rsid w:val="00EF27AF"/>
    <w:rsid w:val="00EF2C44"/>
    <w:rsid w:val="00EF2FC2"/>
    <w:rsid w:val="00EF37C3"/>
    <w:rsid w:val="00EF3BE5"/>
    <w:rsid w:val="00EF4E22"/>
    <w:rsid w:val="00EF4E82"/>
    <w:rsid w:val="00EF4F51"/>
    <w:rsid w:val="00EF5E58"/>
    <w:rsid w:val="00EF6654"/>
    <w:rsid w:val="00EF6AA8"/>
    <w:rsid w:val="00EF70EE"/>
    <w:rsid w:val="00EF726E"/>
    <w:rsid w:val="00EF764A"/>
    <w:rsid w:val="00EF76BC"/>
    <w:rsid w:val="00EF7CF9"/>
    <w:rsid w:val="00F00113"/>
    <w:rsid w:val="00F00DCA"/>
    <w:rsid w:val="00F01038"/>
    <w:rsid w:val="00F01ED6"/>
    <w:rsid w:val="00F0284F"/>
    <w:rsid w:val="00F03925"/>
    <w:rsid w:val="00F03BB9"/>
    <w:rsid w:val="00F03F61"/>
    <w:rsid w:val="00F047A8"/>
    <w:rsid w:val="00F06310"/>
    <w:rsid w:val="00F06A37"/>
    <w:rsid w:val="00F06C94"/>
    <w:rsid w:val="00F06D44"/>
    <w:rsid w:val="00F07542"/>
    <w:rsid w:val="00F0760D"/>
    <w:rsid w:val="00F07B0C"/>
    <w:rsid w:val="00F10723"/>
    <w:rsid w:val="00F111B2"/>
    <w:rsid w:val="00F11336"/>
    <w:rsid w:val="00F11463"/>
    <w:rsid w:val="00F11719"/>
    <w:rsid w:val="00F1192B"/>
    <w:rsid w:val="00F11B17"/>
    <w:rsid w:val="00F12492"/>
    <w:rsid w:val="00F12ED9"/>
    <w:rsid w:val="00F131AB"/>
    <w:rsid w:val="00F13330"/>
    <w:rsid w:val="00F148E4"/>
    <w:rsid w:val="00F14ACF"/>
    <w:rsid w:val="00F151AE"/>
    <w:rsid w:val="00F16390"/>
    <w:rsid w:val="00F1654C"/>
    <w:rsid w:val="00F166D0"/>
    <w:rsid w:val="00F169CE"/>
    <w:rsid w:val="00F17C77"/>
    <w:rsid w:val="00F17F7A"/>
    <w:rsid w:val="00F2068A"/>
    <w:rsid w:val="00F20AFE"/>
    <w:rsid w:val="00F215C9"/>
    <w:rsid w:val="00F219BA"/>
    <w:rsid w:val="00F21BFC"/>
    <w:rsid w:val="00F21E07"/>
    <w:rsid w:val="00F21F65"/>
    <w:rsid w:val="00F22455"/>
    <w:rsid w:val="00F23557"/>
    <w:rsid w:val="00F23B07"/>
    <w:rsid w:val="00F240D4"/>
    <w:rsid w:val="00F25E06"/>
    <w:rsid w:val="00F25FD1"/>
    <w:rsid w:val="00F2636E"/>
    <w:rsid w:val="00F26938"/>
    <w:rsid w:val="00F26BF1"/>
    <w:rsid w:val="00F271E1"/>
    <w:rsid w:val="00F273B0"/>
    <w:rsid w:val="00F27944"/>
    <w:rsid w:val="00F27966"/>
    <w:rsid w:val="00F27C5D"/>
    <w:rsid w:val="00F3017D"/>
    <w:rsid w:val="00F306FC"/>
    <w:rsid w:val="00F30E8F"/>
    <w:rsid w:val="00F30FB3"/>
    <w:rsid w:val="00F30FD2"/>
    <w:rsid w:val="00F31029"/>
    <w:rsid w:val="00F31F6E"/>
    <w:rsid w:val="00F31F97"/>
    <w:rsid w:val="00F324B8"/>
    <w:rsid w:val="00F3261B"/>
    <w:rsid w:val="00F32697"/>
    <w:rsid w:val="00F32AEC"/>
    <w:rsid w:val="00F32BAA"/>
    <w:rsid w:val="00F33D73"/>
    <w:rsid w:val="00F33FCB"/>
    <w:rsid w:val="00F34FEB"/>
    <w:rsid w:val="00F359A7"/>
    <w:rsid w:val="00F359AF"/>
    <w:rsid w:val="00F35F6F"/>
    <w:rsid w:val="00F364BF"/>
    <w:rsid w:val="00F3669D"/>
    <w:rsid w:val="00F37CAF"/>
    <w:rsid w:val="00F37D2E"/>
    <w:rsid w:val="00F41EBE"/>
    <w:rsid w:val="00F4260E"/>
    <w:rsid w:val="00F43933"/>
    <w:rsid w:val="00F44E86"/>
    <w:rsid w:val="00F4500B"/>
    <w:rsid w:val="00F4592A"/>
    <w:rsid w:val="00F45DF2"/>
    <w:rsid w:val="00F45E67"/>
    <w:rsid w:val="00F46E5A"/>
    <w:rsid w:val="00F47B10"/>
    <w:rsid w:val="00F501B1"/>
    <w:rsid w:val="00F5268E"/>
    <w:rsid w:val="00F52BD7"/>
    <w:rsid w:val="00F53A36"/>
    <w:rsid w:val="00F5471E"/>
    <w:rsid w:val="00F54ACA"/>
    <w:rsid w:val="00F55590"/>
    <w:rsid w:val="00F55BA6"/>
    <w:rsid w:val="00F55ECE"/>
    <w:rsid w:val="00F5696E"/>
    <w:rsid w:val="00F56E2C"/>
    <w:rsid w:val="00F575B8"/>
    <w:rsid w:val="00F575DA"/>
    <w:rsid w:val="00F578AB"/>
    <w:rsid w:val="00F579D4"/>
    <w:rsid w:val="00F57EB9"/>
    <w:rsid w:val="00F57FBD"/>
    <w:rsid w:val="00F601F4"/>
    <w:rsid w:val="00F6028C"/>
    <w:rsid w:val="00F6031E"/>
    <w:rsid w:val="00F603D6"/>
    <w:rsid w:val="00F617BB"/>
    <w:rsid w:val="00F61A85"/>
    <w:rsid w:val="00F638CE"/>
    <w:rsid w:val="00F643EA"/>
    <w:rsid w:val="00F64628"/>
    <w:rsid w:val="00F6521D"/>
    <w:rsid w:val="00F65AC1"/>
    <w:rsid w:val="00F66206"/>
    <w:rsid w:val="00F664B8"/>
    <w:rsid w:val="00F66A13"/>
    <w:rsid w:val="00F66EA1"/>
    <w:rsid w:val="00F66EFA"/>
    <w:rsid w:val="00F66F7F"/>
    <w:rsid w:val="00F67265"/>
    <w:rsid w:val="00F704A8"/>
    <w:rsid w:val="00F706D2"/>
    <w:rsid w:val="00F71AD3"/>
    <w:rsid w:val="00F71C8E"/>
    <w:rsid w:val="00F72194"/>
    <w:rsid w:val="00F7282F"/>
    <w:rsid w:val="00F72CC2"/>
    <w:rsid w:val="00F7347E"/>
    <w:rsid w:val="00F734A8"/>
    <w:rsid w:val="00F73609"/>
    <w:rsid w:val="00F73F32"/>
    <w:rsid w:val="00F7500B"/>
    <w:rsid w:val="00F76524"/>
    <w:rsid w:val="00F76E42"/>
    <w:rsid w:val="00F77400"/>
    <w:rsid w:val="00F776A8"/>
    <w:rsid w:val="00F7774D"/>
    <w:rsid w:val="00F8070D"/>
    <w:rsid w:val="00F80A49"/>
    <w:rsid w:val="00F80F30"/>
    <w:rsid w:val="00F81110"/>
    <w:rsid w:val="00F81332"/>
    <w:rsid w:val="00F81546"/>
    <w:rsid w:val="00F815DA"/>
    <w:rsid w:val="00F81A5C"/>
    <w:rsid w:val="00F822FF"/>
    <w:rsid w:val="00F8261A"/>
    <w:rsid w:val="00F8294E"/>
    <w:rsid w:val="00F82B61"/>
    <w:rsid w:val="00F82DA2"/>
    <w:rsid w:val="00F82E18"/>
    <w:rsid w:val="00F84975"/>
    <w:rsid w:val="00F849AE"/>
    <w:rsid w:val="00F8533B"/>
    <w:rsid w:val="00F86874"/>
    <w:rsid w:val="00F868C9"/>
    <w:rsid w:val="00F86AAF"/>
    <w:rsid w:val="00F875F9"/>
    <w:rsid w:val="00F87D5A"/>
    <w:rsid w:val="00F9034B"/>
    <w:rsid w:val="00F905DC"/>
    <w:rsid w:val="00F9064F"/>
    <w:rsid w:val="00F90D7F"/>
    <w:rsid w:val="00F90F7C"/>
    <w:rsid w:val="00F910AC"/>
    <w:rsid w:val="00F91892"/>
    <w:rsid w:val="00F92554"/>
    <w:rsid w:val="00F92613"/>
    <w:rsid w:val="00F92EAF"/>
    <w:rsid w:val="00F938A2"/>
    <w:rsid w:val="00F93EC8"/>
    <w:rsid w:val="00F944EC"/>
    <w:rsid w:val="00F94ECD"/>
    <w:rsid w:val="00F94EE1"/>
    <w:rsid w:val="00F954A6"/>
    <w:rsid w:val="00F967C5"/>
    <w:rsid w:val="00F97607"/>
    <w:rsid w:val="00F97681"/>
    <w:rsid w:val="00F9776A"/>
    <w:rsid w:val="00FA00BF"/>
    <w:rsid w:val="00FA05FF"/>
    <w:rsid w:val="00FA110B"/>
    <w:rsid w:val="00FA18B4"/>
    <w:rsid w:val="00FA2596"/>
    <w:rsid w:val="00FA2BAD"/>
    <w:rsid w:val="00FA2BFA"/>
    <w:rsid w:val="00FA2E4E"/>
    <w:rsid w:val="00FA3EEB"/>
    <w:rsid w:val="00FA4844"/>
    <w:rsid w:val="00FA4985"/>
    <w:rsid w:val="00FA5543"/>
    <w:rsid w:val="00FA5CC1"/>
    <w:rsid w:val="00FA682D"/>
    <w:rsid w:val="00FA691A"/>
    <w:rsid w:val="00FA69EA"/>
    <w:rsid w:val="00FA6B7E"/>
    <w:rsid w:val="00FA6E9B"/>
    <w:rsid w:val="00FA72EE"/>
    <w:rsid w:val="00FA74B2"/>
    <w:rsid w:val="00FB0A40"/>
    <w:rsid w:val="00FB0DBB"/>
    <w:rsid w:val="00FB1558"/>
    <w:rsid w:val="00FB1ECC"/>
    <w:rsid w:val="00FB2E57"/>
    <w:rsid w:val="00FB33DB"/>
    <w:rsid w:val="00FB3990"/>
    <w:rsid w:val="00FB5759"/>
    <w:rsid w:val="00FB5D11"/>
    <w:rsid w:val="00FB5E33"/>
    <w:rsid w:val="00FB6373"/>
    <w:rsid w:val="00FB67A8"/>
    <w:rsid w:val="00FB719E"/>
    <w:rsid w:val="00FB7B75"/>
    <w:rsid w:val="00FB7D29"/>
    <w:rsid w:val="00FC035E"/>
    <w:rsid w:val="00FC0E4A"/>
    <w:rsid w:val="00FC0EEC"/>
    <w:rsid w:val="00FC13C6"/>
    <w:rsid w:val="00FC1AB9"/>
    <w:rsid w:val="00FC1DF8"/>
    <w:rsid w:val="00FC28A9"/>
    <w:rsid w:val="00FC298D"/>
    <w:rsid w:val="00FC2B19"/>
    <w:rsid w:val="00FC2DA8"/>
    <w:rsid w:val="00FC34A4"/>
    <w:rsid w:val="00FC3DF4"/>
    <w:rsid w:val="00FC3FF1"/>
    <w:rsid w:val="00FC460F"/>
    <w:rsid w:val="00FC5FD2"/>
    <w:rsid w:val="00FC7379"/>
    <w:rsid w:val="00FC77E3"/>
    <w:rsid w:val="00FD16FB"/>
    <w:rsid w:val="00FD17DB"/>
    <w:rsid w:val="00FD1815"/>
    <w:rsid w:val="00FD2170"/>
    <w:rsid w:val="00FD2ABD"/>
    <w:rsid w:val="00FD2B4B"/>
    <w:rsid w:val="00FD3209"/>
    <w:rsid w:val="00FD3474"/>
    <w:rsid w:val="00FD34F8"/>
    <w:rsid w:val="00FD463A"/>
    <w:rsid w:val="00FD4A5C"/>
    <w:rsid w:val="00FD4F22"/>
    <w:rsid w:val="00FD4F89"/>
    <w:rsid w:val="00FD56A3"/>
    <w:rsid w:val="00FD5737"/>
    <w:rsid w:val="00FD587A"/>
    <w:rsid w:val="00FD67D5"/>
    <w:rsid w:val="00FD6942"/>
    <w:rsid w:val="00FD6A5E"/>
    <w:rsid w:val="00FD6AB8"/>
    <w:rsid w:val="00FD6BB5"/>
    <w:rsid w:val="00FD7891"/>
    <w:rsid w:val="00FD7C04"/>
    <w:rsid w:val="00FE0079"/>
    <w:rsid w:val="00FE06B4"/>
    <w:rsid w:val="00FE081C"/>
    <w:rsid w:val="00FE0A91"/>
    <w:rsid w:val="00FE161B"/>
    <w:rsid w:val="00FE16CC"/>
    <w:rsid w:val="00FE1B61"/>
    <w:rsid w:val="00FE2401"/>
    <w:rsid w:val="00FE26E3"/>
    <w:rsid w:val="00FE3644"/>
    <w:rsid w:val="00FE3A87"/>
    <w:rsid w:val="00FE3DE1"/>
    <w:rsid w:val="00FE45CF"/>
    <w:rsid w:val="00FE5018"/>
    <w:rsid w:val="00FE58C7"/>
    <w:rsid w:val="00FE5AA9"/>
    <w:rsid w:val="00FE668A"/>
    <w:rsid w:val="00FE674F"/>
    <w:rsid w:val="00FE6D61"/>
    <w:rsid w:val="00FE7BCF"/>
    <w:rsid w:val="00FF0224"/>
    <w:rsid w:val="00FF08DB"/>
    <w:rsid w:val="00FF23BB"/>
    <w:rsid w:val="00FF2556"/>
    <w:rsid w:val="00FF2768"/>
    <w:rsid w:val="00FF355E"/>
    <w:rsid w:val="00FF3E89"/>
    <w:rsid w:val="00FF4139"/>
    <w:rsid w:val="00FF430F"/>
    <w:rsid w:val="00FF455E"/>
    <w:rsid w:val="00FF4808"/>
    <w:rsid w:val="00FF4B22"/>
    <w:rsid w:val="00FF4D5E"/>
    <w:rsid w:val="00FF6D96"/>
    <w:rsid w:val="00FF766C"/>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pt-PT" w:bidi="pt-PT"/>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4C6"/>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622DF6"/>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customStyle="1" w:styleId="UnresolvedMention2">
    <w:name w:val="Unresolved Mention2"/>
    <w:basedOn w:val="DefaultParagraphFont"/>
    <w:uiPriority w:val="99"/>
    <w:semiHidden/>
    <w:unhideWhenUsed/>
    <w:rsid w:val="00E4442E"/>
    <w:rPr>
      <w:color w:val="605E5C"/>
      <w:shd w:val="clear" w:color="auto" w:fill="E1DFDD"/>
    </w:rPr>
  </w:style>
  <w:style w:type="character" w:styleId="UnresolvedMention">
    <w:name w:val="Unresolved Mention"/>
    <w:basedOn w:val="DefaultParagraphFont"/>
    <w:uiPriority w:val="99"/>
    <w:semiHidden/>
    <w:unhideWhenUsed/>
    <w:rsid w:val="008A1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docs.microsoft.com/en-us/azure/virtual-machines/capacity-reservation-overview"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learn.microsoft.com/en-us/azure/virtual-machines/capacity-reservation-overview?tabs=cli1"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aka.ms/DSLARegion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8" Type="http://schemas.openxmlformats.org/officeDocument/2006/relationships/hyperlink" Target="https://docs.vmware.com/en/VMware-vSphere/6.7/vsan-671-administration-guide.pdf"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learn.microsoft.com/en-us/azure/databricks/" TargetMode="External"/><Relationship Id="rId27"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0"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A3B8A7-D0EA-45AC-A94E-9570DA14C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773C6-3475-4871-80C9-30780B00BAA1}">
  <ds:schemaRefs>
    <ds:schemaRef ds:uri="http://schemas.openxmlformats.org/officeDocument/2006/bibliography"/>
  </ds:schemaRefs>
</ds:datastoreItem>
</file>

<file path=customXml/itemProps3.xml><?xml version="1.0" encoding="utf-8"?>
<ds:datastoreItem xmlns:ds="http://schemas.openxmlformats.org/officeDocument/2006/customXml" ds:itemID="{BA652935-FCBC-461B-8124-7A5E97D845D6}">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4.xml><?xml version="1.0" encoding="utf-8"?>
<ds:datastoreItem xmlns:ds="http://schemas.openxmlformats.org/officeDocument/2006/customXml" ds:itemID="{8AC04708-839B-4A82-B357-5D05A46C9E34}">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121</Pages>
  <Words>69777</Words>
  <Characters>397732</Characters>
  <Application>Microsoft Office Word</Application>
  <DocSecurity>8</DocSecurity>
  <Lines>3314</Lines>
  <Paragraphs>933</Paragraphs>
  <ScaleCrop>false</ScaleCrop>
  <Company/>
  <LinksUpToDate>false</LinksUpToDate>
  <CharactersWithSpaces>466576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2024-01-09T00:05:00Z</dcterms:created>
  <dcterms:modified xsi:type="dcterms:W3CDTF">2026-09-02T19:22:00Z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2024-12-19T21:36:43Z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5430b130-207f-43f1-a3ad-bbd8bd14ac4b</vt:lpwstr>
  </property>
  <property fmtid="{D5CDD505-2E9C-101B-9397-08002B2CF9AE}" pid="10" name="MSIP_Label_4f1eb69c-1f4c-4df4-a01b-922f0787bf11_ContentBits">
    <vt:lpwstr>0</vt:lpwstr>
  </property>
  <property fmtid="{D5CDD505-2E9C-101B-9397-08002B2CF9AE}" pid="11" name="docLang">
    <vt:lpwstr>pt</vt:lpwstr>
  </property>
</Properties>
</file>